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23CAC6">
      <w:pPr>
        <w:adjustRightInd w:val="0"/>
        <w:snapToGrid w:val="0"/>
        <w:spacing w:line="360" w:lineRule="auto"/>
        <w:jc w:val="center"/>
        <w:outlineLvl w:val="9"/>
        <w:rPr>
          <w:rFonts w:hint="default" w:ascii="Times New Roman" w:hAnsi="Times New Roman" w:eastAsia="宋体" w:cs="Times New Roman"/>
          <w:bCs/>
          <w:color w:val="auto"/>
          <w:sz w:val="72"/>
          <w:szCs w:val="72"/>
        </w:rPr>
      </w:pPr>
    </w:p>
    <w:p w14:paraId="6E92A5FD">
      <w:pPr>
        <w:adjustRightInd w:val="0"/>
        <w:snapToGrid w:val="0"/>
        <w:spacing w:line="360" w:lineRule="auto"/>
        <w:jc w:val="center"/>
        <w:outlineLvl w:val="9"/>
        <w:rPr>
          <w:rFonts w:hint="default" w:ascii="Times New Roman" w:hAnsi="Times New Roman" w:eastAsia="宋体" w:cs="Times New Roman"/>
          <w:bCs/>
          <w:color w:val="auto"/>
          <w:sz w:val="72"/>
          <w:szCs w:val="72"/>
        </w:rPr>
      </w:pPr>
    </w:p>
    <w:p w14:paraId="3B35D566">
      <w:pPr>
        <w:adjustRightInd w:val="0"/>
        <w:snapToGrid w:val="0"/>
        <w:spacing w:line="360" w:lineRule="auto"/>
        <w:jc w:val="center"/>
        <w:outlineLvl w:val="9"/>
        <w:rPr>
          <w:rFonts w:hint="eastAsia" w:asciiTheme="minorEastAsia" w:hAnsiTheme="minorEastAsia" w:eastAsiaTheme="minorEastAsia" w:cstheme="minorEastAsia"/>
          <w:b/>
          <w:bCs w:val="0"/>
          <w:color w:val="auto"/>
          <w:sz w:val="72"/>
          <w:szCs w:val="72"/>
        </w:rPr>
      </w:pPr>
      <w:r>
        <w:rPr>
          <w:rFonts w:hint="eastAsia" w:asciiTheme="minorEastAsia" w:hAnsiTheme="minorEastAsia" w:eastAsiaTheme="minorEastAsia" w:cstheme="minorEastAsia"/>
          <w:b/>
          <w:bCs w:val="0"/>
          <w:color w:val="auto"/>
          <w:sz w:val="72"/>
          <w:szCs w:val="72"/>
        </w:rPr>
        <w:t>建设项目环境影响报告表</w:t>
      </w:r>
    </w:p>
    <w:p w14:paraId="690DB8D6">
      <w:pPr>
        <w:adjustRightInd w:val="0"/>
        <w:snapToGrid w:val="0"/>
        <w:spacing w:before="192" w:beforeLines="80" w:line="360" w:lineRule="auto"/>
        <w:jc w:val="center"/>
        <w:outlineLvl w:val="9"/>
        <w:rPr>
          <w:rFonts w:hint="eastAsia" w:ascii="楷体" w:hAnsi="楷体" w:eastAsia="楷体" w:cs="楷体"/>
          <w:bCs/>
          <w:color w:val="auto"/>
          <w:sz w:val="48"/>
          <w:szCs w:val="48"/>
        </w:rPr>
      </w:pPr>
      <w:r>
        <w:rPr>
          <w:rFonts w:hint="eastAsia" w:ascii="楷体" w:hAnsi="楷体" w:eastAsia="楷体" w:cs="楷体"/>
          <w:bCs/>
          <w:color w:val="auto"/>
          <w:sz w:val="48"/>
          <w:szCs w:val="48"/>
        </w:rPr>
        <w:t>（污染影响类）</w:t>
      </w:r>
    </w:p>
    <w:p w14:paraId="0EDDE459">
      <w:pPr>
        <w:adjustRightInd w:val="0"/>
        <w:snapToGrid w:val="0"/>
        <w:spacing w:line="288" w:lineRule="auto"/>
        <w:jc w:val="center"/>
        <w:outlineLvl w:val="9"/>
        <w:rPr>
          <w:rFonts w:hint="default" w:ascii="Times New Roman" w:hAnsi="Times New Roman" w:eastAsia="宋体" w:cs="Times New Roman"/>
          <w:color w:val="auto"/>
          <w:kern w:val="44"/>
          <w:sz w:val="44"/>
          <w:szCs w:val="44"/>
        </w:rPr>
      </w:pPr>
    </w:p>
    <w:p w14:paraId="00FE4180">
      <w:pPr>
        <w:jc w:val="center"/>
        <w:outlineLvl w:val="9"/>
        <w:rPr>
          <w:rFonts w:hint="default" w:ascii="Times New Roman" w:hAnsi="Times New Roman" w:eastAsia="宋体" w:cs="Times New Roman"/>
          <w:color w:val="auto"/>
          <w:sz w:val="52"/>
          <w:szCs w:val="52"/>
        </w:rPr>
      </w:pPr>
    </w:p>
    <w:p w14:paraId="2CC00752">
      <w:pPr>
        <w:ind w:firstLine="1040"/>
        <w:outlineLvl w:val="9"/>
        <w:rPr>
          <w:rFonts w:hint="default" w:ascii="Times New Roman" w:hAnsi="Times New Roman" w:eastAsia="宋体" w:cs="Times New Roman"/>
          <w:color w:val="auto"/>
          <w:sz w:val="44"/>
          <w:szCs w:val="44"/>
        </w:rPr>
      </w:pPr>
    </w:p>
    <w:p w14:paraId="212BDE5B">
      <w:pPr>
        <w:ind w:firstLine="1040"/>
        <w:outlineLvl w:val="9"/>
        <w:rPr>
          <w:rFonts w:hint="default" w:ascii="Times New Roman" w:hAnsi="Times New Roman" w:eastAsia="宋体" w:cs="Times New Roman"/>
          <w:color w:val="auto"/>
          <w:sz w:val="44"/>
          <w:szCs w:val="44"/>
        </w:rPr>
      </w:pPr>
    </w:p>
    <w:p w14:paraId="64CB32FB">
      <w:pPr>
        <w:ind w:firstLine="1040"/>
        <w:outlineLvl w:val="9"/>
        <w:rPr>
          <w:rFonts w:hint="default" w:ascii="Times New Roman" w:hAnsi="Times New Roman" w:eastAsia="宋体" w:cs="Times New Roman"/>
          <w:color w:val="auto"/>
          <w:sz w:val="44"/>
          <w:szCs w:val="44"/>
        </w:rPr>
      </w:pPr>
    </w:p>
    <w:p w14:paraId="746E833C">
      <w:pPr>
        <w:ind w:firstLine="1040"/>
        <w:outlineLvl w:val="9"/>
        <w:rPr>
          <w:rFonts w:hint="default" w:ascii="Times New Roman" w:hAnsi="Times New Roman" w:eastAsia="宋体" w:cs="Times New Roman"/>
          <w:color w:val="auto"/>
          <w:sz w:val="44"/>
          <w:szCs w:val="44"/>
        </w:rPr>
      </w:pPr>
    </w:p>
    <w:p w14:paraId="33D216CE">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仿宋" w:hAnsi="仿宋" w:eastAsia="仿宋" w:cs="仿宋"/>
          <w:color w:val="auto"/>
          <w:sz w:val="36"/>
          <w:szCs w:val="36"/>
          <w:u w:val="single"/>
        </w:rPr>
      </w:pPr>
      <w:r>
        <w:rPr>
          <w:rFonts w:hint="eastAsia" w:ascii="仿宋" w:hAnsi="仿宋" w:eastAsia="仿宋" w:cs="仿宋"/>
          <w:b/>
          <w:bCs/>
          <w:color w:val="auto"/>
          <w:sz w:val="36"/>
          <w:szCs w:val="36"/>
        </w:rPr>
        <w:t>项目名称：</w:t>
      </w:r>
      <w:r>
        <w:rPr>
          <w:rFonts w:hint="eastAsia" w:ascii="仿宋" w:hAnsi="仿宋" w:eastAsia="仿宋" w:cs="仿宋"/>
          <w:color w:val="auto"/>
          <w:sz w:val="36"/>
          <w:szCs w:val="36"/>
          <w:u w:val="single"/>
        </w:rPr>
        <w:t>云南恒禹检测技术服务有限公司水质检测中心项目</w:t>
      </w:r>
    </w:p>
    <w:p w14:paraId="18A030EB">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default" w:ascii="仿宋" w:hAnsi="仿宋" w:eastAsia="仿宋" w:cs="仿宋"/>
          <w:color w:val="auto"/>
          <w:sz w:val="36"/>
          <w:szCs w:val="36"/>
          <w:u w:val="single"/>
          <w:lang w:val="en-US" w:eastAsia="zh-CN"/>
        </w:rPr>
      </w:pPr>
      <w:r>
        <w:rPr>
          <w:rFonts w:hint="eastAsia" w:ascii="仿宋" w:hAnsi="仿宋" w:eastAsia="仿宋" w:cs="仿宋"/>
          <w:b/>
          <w:bCs/>
          <w:color w:val="auto"/>
          <w:sz w:val="36"/>
          <w:szCs w:val="36"/>
        </w:rPr>
        <w:t>建设单位（盖章）：</w:t>
      </w:r>
      <w:r>
        <w:rPr>
          <w:rFonts w:hint="eastAsia" w:ascii="仿宋" w:hAnsi="仿宋" w:eastAsia="仿宋" w:cs="仿宋"/>
          <w:b/>
          <w:bCs/>
          <w:color w:val="auto"/>
          <w:sz w:val="36"/>
          <w:szCs w:val="36"/>
          <w:u w:val="single"/>
          <w:lang w:val="en-US" w:eastAsia="zh-CN"/>
        </w:rPr>
        <w:t xml:space="preserve">   </w:t>
      </w:r>
      <w:r>
        <w:rPr>
          <w:rFonts w:hint="eastAsia" w:ascii="仿宋" w:hAnsi="仿宋" w:eastAsia="仿宋" w:cs="仿宋"/>
          <w:color w:val="auto"/>
          <w:sz w:val="36"/>
          <w:szCs w:val="36"/>
          <w:u w:val="single"/>
        </w:rPr>
        <w:t>云南恒禹检测技术服务有限公司</w:t>
      </w:r>
      <w:r>
        <w:rPr>
          <w:rFonts w:hint="eastAsia" w:ascii="仿宋" w:hAnsi="仿宋" w:eastAsia="仿宋" w:cs="仿宋"/>
          <w:color w:val="auto"/>
          <w:sz w:val="36"/>
          <w:szCs w:val="36"/>
          <w:u w:val="single"/>
          <w:lang w:val="en-US" w:eastAsia="zh-CN"/>
        </w:rPr>
        <w:t xml:space="preserve">       </w:t>
      </w:r>
    </w:p>
    <w:p w14:paraId="4480BCB7">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仿宋" w:hAnsi="仿宋" w:eastAsia="仿宋" w:cs="仿宋"/>
          <w:color w:val="auto"/>
          <w:sz w:val="36"/>
          <w:szCs w:val="36"/>
          <w:u w:val="single"/>
          <w:lang w:val="en-US" w:eastAsia="zh-CN"/>
        </w:rPr>
      </w:pPr>
      <w:r>
        <w:rPr>
          <w:rFonts w:hint="eastAsia" w:ascii="仿宋" w:hAnsi="仿宋" w:eastAsia="仿宋" w:cs="仿宋"/>
          <w:b/>
          <w:bCs/>
          <w:color w:val="auto"/>
          <w:sz w:val="36"/>
          <w:szCs w:val="36"/>
        </w:rPr>
        <w:t>编制日期：</w:t>
      </w:r>
      <w:r>
        <w:rPr>
          <w:rFonts w:hint="eastAsia" w:ascii="仿宋" w:hAnsi="仿宋" w:eastAsia="仿宋" w:cs="仿宋"/>
          <w:color w:val="auto"/>
          <w:sz w:val="36"/>
          <w:szCs w:val="36"/>
          <w:u w:val="single"/>
        </w:rPr>
        <w:t xml:space="preserve">  </w:t>
      </w:r>
      <w:r>
        <w:rPr>
          <w:rFonts w:hint="eastAsia" w:ascii="仿宋" w:hAnsi="仿宋" w:eastAsia="仿宋" w:cs="仿宋"/>
          <w:color w:val="auto"/>
          <w:sz w:val="36"/>
          <w:szCs w:val="36"/>
          <w:u w:val="single"/>
          <w:lang w:val="en-US" w:eastAsia="zh-CN"/>
        </w:rPr>
        <w:t xml:space="preserve">              2025年4月</w:t>
      </w:r>
      <w:r>
        <w:rPr>
          <w:rFonts w:hint="eastAsia" w:ascii="仿宋" w:hAnsi="仿宋" w:eastAsia="仿宋" w:cs="仿宋"/>
          <w:color w:val="auto"/>
          <w:sz w:val="36"/>
          <w:szCs w:val="36"/>
          <w:u w:val="single"/>
        </w:rPr>
        <w:t xml:space="preserve">  </w:t>
      </w:r>
      <w:r>
        <w:rPr>
          <w:rFonts w:hint="eastAsia" w:ascii="仿宋" w:hAnsi="仿宋" w:eastAsia="仿宋" w:cs="仿宋"/>
          <w:color w:val="auto"/>
          <w:sz w:val="36"/>
          <w:szCs w:val="36"/>
          <w:u w:val="single"/>
          <w:lang w:val="en-US" w:eastAsia="zh-CN"/>
        </w:rPr>
        <w:t xml:space="preserve"> </w:t>
      </w:r>
      <w:r>
        <w:rPr>
          <w:rFonts w:hint="eastAsia" w:ascii="仿宋" w:hAnsi="仿宋" w:eastAsia="仿宋" w:cs="仿宋"/>
          <w:color w:val="auto"/>
          <w:sz w:val="36"/>
          <w:szCs w:val="36"/>
          <w:u w:val="single"/>
        </w:rPr>
        <w:t xml:space="preserve">   </w:t>
      </w:r>
      <w:r>
        <w:rPr>
          <w:rFonts w:hint="eastAsia" w:ascii="仿宋" w:hAnsi="仿宋" w:eastAsia="仿宋" w:cs="仿宋"/>
          <w:color w:val="auto"/>
          <w:sz w:val="36"/>
          <w:szCs w:val="36"/>
          <w:u w:val="single"/>
          <w:lang w:val="en-US" w:eastAsia="zh-CN"/>
        </w:rPr>
        <w:t xml:space="preserve">                  </w:t>
      </w:r>
    </w:p>
    <w:p w14:paraId="6B6E4163">
      <w:pPr>
        <w:rPr>
          <w:rFonts w:hint="default"/>
          <w:color w:val="auto"/>
          <w:lang w:val="en-US" w:eastAsia="zh-CN"/>
        </w:rPr>
      </w:pPr>
    </w:p>
    <w:p w14:paraId="5333AC79">
      <w:pPr>
        <w:rPr>
          <w:rFonts w:hint="default"/>
          <w:color w:val="auto"/>
          <w:lang w:val="en-US" w:eastAsia="zh-CN"/>
        </w:rPr>
      </w:pPr>
    </w:p>
    <w:p w14:paraId="4972A275">
      <w:pPr>
        <w:rPr>
          <w:rFonts w:hint="default"/>
          <w:color w:val="auto"/>
          <w:lang w:val="en-US" w:eastAsia="zh-CN"/>
        </w:rPr>
      </w:pPr>
    </w:p>
    <w:p w14:paraId="2733E8DE">
      <w:pPr>
        <w:rPr>
          <w:rFonts w:hint="default"/>
          <w:color w:val="auto"/>
          <w:lang w:val="en-US" w:eastAsia="zh-CN"/>
        </w:rPr>
      </w:pPr>
    </w:p>
    <w:p w14:paraId="33EC8E41">
      <w:pPr>
        <w:rPr>
          <w:rFonts w:hint="default"/>
          <w:color w:val="auto"/>
          <w:lang w:val="en-US" w:eastAsia="zh-CN"/>
        </w:rPr>
      </w:pPr>
    </w:p>
    <w:p w14:paraId="6E70DA86">
      <w:pPr>
        <w:rPr>
          <w:rFonts w:hint="default"/>
          <w:color w:val="auto"/>
          <w:lang w:val="en-US" w:eastAsia="zh-CN"/>
        </w:rPr>
      </w:pPr>
    </w:p>
    <w:p w14:paraId="24A7C47E">
      <w:pPr>
        <w:jc w:val="center"/>
        <w:rPr>
          <w:rFonts w:hint="eastAsia" w:ascii="楷体" w:hAnsi="楷体" w:eastAsia="楷体" w:cs="楷体"/>
          <w:color w:val="auto"/>
          <w:sz w:val="36"/>
          <w:szCs w:val="36"/>
        </w:rPr>
        <w:sectPr>
          <w:footerReference r:id="rId3" w:type="default"/>
          <w:footerReference r:id="rId4" w:type="even"/>
          <w:pgSz w:w="11906" w:h="16838"/>
          <w:pgMar w:top="1701" w:right="1134" w:bottom="1701" w:left="1134" w:header="851" w:footer="1077" w:gutter="0"/>
          <w:pgNumType w:start="3"/>
          <w:cols w:space="720" w:num="1"/>
          <w:docGrid w:linePitch="312" w:charSpace="0"/>
        </w:sectPr>
      </w:pPr>
      <w:r>
        <w:rPr>
          <w:rFonts w:hint="eastAsia" w:ascii="楷体" w:hAnsi="楷体" w:eastAsia="楷体" w:cs="楷体"/>
          <w:color w:val="auto"/>
          <w:sz w:val="36"/>
          <w:szCs w:val="36"/>
        </w:rPr>
        <w:t>中华人民共和国生态环境部制</w:t>
      </w:r>
    </w:p>
    <w:p w14:paraId="1D84B2C9">
      <w:pPr>
        <w:adjustRightInd w:val="0"/>
        <w:snapToGrid w:val="0"/>
        <w:spacing w:line="288" w:lineRule="auto"/>
        <w:jc w:val="center"/>
        <w:outlineLvl w:val="9"/>
        <w:rPr>
          <w:rFonts w:hint="eastAsia" w:ascii="宋体" w:hAnsi="宋体" w:cs="宋体"/>
          <w:b/>
          <w:bCs/>
          <w:color w:val="auto"/>
          <w:kern w:val="24"/>
          <w:sz w:val="24"/>
          <w:highlight w:val="none"/>
        </w:rPr>
      </w:pPr>
      <w:r>
        <w:rPr>
          <w:rFonts w:hint="eastAsia" w:ascii="宋体" w:hAnsi="宋体" w:cs="宋体"/>
          <w:b/>
          <w:bCs/>
          <w:color w:val="auto"/>
          <w:kern w:val="24"/>
          <w:sz w:val="24"/>
          <w:highlight w:val="none"/>
        </w:rPr>
        <w:t>现场照片</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6"/>
        <w:gridCol w:w="4416"/>
      </w:tblGrid>
      <w:tr w14:paraId="63EA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6" w:type="dxa"/>
            <w:noWrap w:val="0"/>
            <w:vAlign w:val="center"/>
          </w:tcPr>
          <w:p w14:paraId="77E6D2A7">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eastAsia" w:eastAsia="宋体"/>
                <w:color w:val="auto"/>
                <w:sz w:val="21"/>
                <w:szCs w:val="21"/>
                <w:vertAlign w:val="baseline"/>
                <w:lang w:eastAsia="zh-CN"/>
              </w:rPr>
            </w:pPr>
            <w:r>
              <w:rPr>
                <w:color w:val="auto"/>
                <w:sz w:val="21"/>
                <w:szCs w:val="21"/>
              </w:rPr>
              <w:drawing>
                <wp:inline distT="0" distB="0" distL="114300" distR="114300">
                  <wp:extent cx="2653030" cy="1989455"/>
                  <wp:effectExtent l="0" t="0" r="13970" b="10795"/>
                  <wp:docPr id="31" name="图片 31" descr="微信图片_20250416145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微信图片_20250416145426"/>
                          <pic:cNvPicPr>
                            <a:picLocks noChangeAspect="1"/>
                          </pic:cNvPicPr>
                        </pic:nvPicPr>
                        <pic:blipFill>
                          <a:blip r:embed="rId8"/>
                          <a:stretch>
                            <a:fillRect/>
                          </a:stretch>
                        </pic:blipFill>
                        <pic:spPr>
                          <a:xfrm>
                            <a:off x="0" y="0"/>
                            <a:ext cx="2653030" cy="1989455"/>
                          </a:xfrm>
                          <a:prstGeom prst="rect">
                            <a:avLst/>
                          </a:prstGeom>
                        </pic:spPr>
                      </pic:pic>
                    </a:graphicData>
                  </a:graphic>
                </wp:inline>
              </w:drawing>
            </w:r>
            <w:r>
              <w:rPr>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2012950</wp:posOffset>
                      </wp:positionH>
                      <wp:positionV relativeFrom="paragraph">
                        <wp:posOffset>1753870</wp:posOffset>
                      </wp:positionV>
                      <wp:extent cx="638175" cy="236220"/>
                      <wp:effectExtent l="0" t="0" r="0" b="0"/>
                      <wp:wrapNone/>
                      <wp:docPr id="32" name="文本框 32"/>
                      <wp:cNvGraphicFramePr/>
                      <a:graphic xmlns:a="http://schemas.openxmlformats.org/drawingml/2006/main">
                        <a:graphicData uri="http://schemas.microsoft.com/office/word/2010/wordprocessingShape">
                          <wps:wsp>
                            <wps:cNvSpPr txBox="1"/>
                            <wps:spPr>
                              <a:xfrm>
                                <a:off x="3146425" y="3013075"/>
                                <a:ext cx="638175" cy="236220"/>
                              </a:xfrm>
                              <a:prstGeom prst="rect">
                                <a:avLst/>
                              </a:prstGeom>
                              <a:noFill/>
                              <a:ln w="6350">
                                <a:noFill/>
                              </a:ln>
                              <a:effectLst/>
                            </wps:spPr>
                            <wps:txbx>
                              <w:txbxContent>
                                <w:p w14:paraId="07102AC2">
                                  <w:pPr>
                                    <w:rPr>
                                      <w:rFonts w:hint="default" w:eastAsia="宋体"/>
                                      <w:color w:val="FFFFFF"/>
                                      <w:sz w:val="15"/>
                                      <w:szCs w:val="15"/>
                                      <w:lang w:val="en-US" w:eastAsia="zh-CN"/>
                                    </w:rPr>
                                  </w:pPr>
                                  <w:r>
                                    <w:rPr>
                                      <w:rFonts w:hint="eastAsia"/>
                                      <w:color w:val="FFFFFF"/>
                                      <w:sz w:val="15"/>
                                      <w:szCs w:val="15"/>
                                      <w:lang w:val="en-US" w:eastAsia="zh-CN"/>
                                    </w:rPr>
                                    <w:t>2025.3.25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5pt;margin-top:138.1pt;height:18.6pt;width:50.25pt;z-index:251661312;mso-width-relative:page;mso-height-relative:page;" filled="f" stroked="f" coordsize="21600,21600" o:gfxdata="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Mmf/9wAAAALAQAA&#10;DwAAAAAAAAABACAAAAAiAAAAZHJzL2Rvd25yZXYueG1sUEsBAhQAFAAAAAgAh07iQH5dWzVOAgAA&#10;gQQAAA4AAAAAAAAAAQAgAAAAKwEAAGRycy9lMm9Eb2MueG1sUEsFBgAAAAAGAAYAWQEAAOsFAAAA&#10;AA==&#10;">
                      <v:fill on="f" focussize="0,0"/>
                      <v:stroke on="f" weight="0.5pt"/>
                      <v:imagedata o:title=""/>
                      <o:lock v:ext="edit" aspectratio="f"/>
                      <v:textbox>
                        <w:txbxContent>
                          <w:p w14:paraId="07102AC2">
                            <w:pPr>
                              <w:rPr>
                                <w:rFonts w:hint="default" w:eastAsia="宋体"/>
                                <w:color w:val="FFFFFF"/>
                                <w:sz w:val="15"/>
                                <w:szCs w:val="15"/>
                                <w:lang w:val="en-US" w:eastAsia="zh-CN"/>
                              </w:rPr>
                            </w:pPr>
                            <w:r>
                              <w:rPr>
                                <w:rFonts w:hint="eastAsia"/>
                                <w:color w:val="FFFFFF"/>
                                <w:sz w:val="15"/>
                                <w:szCs w:val="15"/>
                                <w:lang w:val="en-US" w:eastAsia="zh-CN"/>
                              </w:rPr>
                              <w:t>2025.3.25</w:t>
                            </w:r>
                          </w:p>
                        </w:txbxContent>
                      </v:textbox>
                    </v:shape>
                  </w:pict>
                </mc:Fallback>
              </mc:AlternateContent>
            </w:r>
          </w:p>
        </w:tc>
        <w:tc>
          <w:tcPr>
            <w:tcW w:w="4416" w:type="dxa"/>
            <w:noWrap w:val="0"/>
            <w:vAlign w:val="center"/>
          </w:tcPr>
          <w:p w14:paraId="30029094">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eastAsia" w:eastAsia="宋体"/>
                <w:color w:val="auto"/>
                <w:sz w:val="21"/>
                <w:szCs w:val="21"/>
                <w:vertAlign w:val="baseline"/>
                <w:lang w:eastAsia="zh-CN"/>
              </w:rPr>
            </w:pPr>
            <w:r>
              <w:rPr>
                <w:color w:val="auto"/>
                <w:sz w:val="21"/>
                <w:szCs w:val="21"/>
              </w:rPr>
              <mc:AlternateContent>
                <mc:Choice Requires="wps">
                  <w:drawing>
                    <wp:anchor distT="0" distB="0" distL="114300" distR="114300" simplePos="0" relativeHeight="251662336" behindDoc="0" locked="0" layoutInCell="1" allowOverlap="1">
                      <wp:simplePos x="0" y="0"/>
                      <wp:positionH relativeFrom="column">
                        <wp:posOffset>2008505</wp:posOffset>
                      </wp:positionH>
                      <wp:positionV relativeFrom="paragraph">
                        <wp:posOffset>1755775</wp:posOffset>
                      </wp:positionV>
                      <wp:extent cx="638175" cy="23622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638175" cy="236220"/>
                              </a:xfrm>
                              <a:prstGeom prst="rect">
                                <a:avLst/>
                              </a:prstGeom>
                              <a:noFill/>
                              <a:ln w="6350">
                                <a:noFill/>
                              </a:ln>
                              <a:effectLst/>
                            </wps:spPr>
                            <wps:txbx>
                              <w:txbxContent>
                                <w:p w14:paraId="77827E72">
                                  <w:pPr>
                                    <w:rPr>
                                      <w:rFonts w:hint="default" w:eastAsia="宋体"/>
                                      <w:color w:val="FFFFFF"/>
                                      <w:sz w:val="15"/>
                                      <w:szCs w:val="15"/>
                                      <w:lang w:val="en-US" w:eastAsia="zh-CN"/>
                                    </w:rPr>
                                  </w:pPr>
                                  <w:r>
                                    <w:rPr>
                                      <w:rFonts w:hint="eastAsia"/>
                                      <w:color w:val="FFFFFF"/>
                                      <w:sz w:val="15"/>
                                      <w:szCs w:val="15"/>
                                      <w:lang w:val="en-US" w:eastAsia="zh-CN"/>
                                    </w:rPr>
                                    <w:t>2025.3.25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15pt;margin-top:138.25pt;height:18.6pt;width:50.25pt;z-index:251662336;mso-width-relative:page;mso-height-relative:page;" filled="f" stroked="f" coordsize="21600,21600" o:gfxdata="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LuRLo2wAAAAsBAAAPAAAAAAAAAAEAIAAA&#10;ACIAAABkcnMvZG93bnJldi54bWxQSwECFAAUAAAACACHTuJAQbQXtEICAAB1BAAADgAAAAAAAAAB&#10;ACAAAAAqAQAAZHJzL2Uyb0RvYy54bWxQSwUGAAAAAAYABgBZAQAA3gUAAAAA&#10;">
                      <v:fill on="f" focussize="0,0"/>
                      <v:stroke on="f" weight="0.5pt"/>
                      <v:imagedata o:title=""/>
                      <o:lock v:ext="edit" aspectratio="f"/>
                      <v:textbox>
                        <w:txbxContent>
                          <w:p w14:paraId="77827E72">
                            <w:pPr>
                              <w:rPr>
                                <w:rFonts w:hint="default" w:eastAsia="宋体"/>
                                <w:color w:val="FFFFFF"/>
                                <w:sz w:val="15"/>
                                <w:szCs w:val="15"/>
                                <w:lang w:val="en-US" w:eastAsia="zh-CN"/>
                              </w:rPr>
                            </w:pPr>
                            <w:r>
                              <w:rPr>
                                <w:rFonts w:hint="eastAsia"/>
                                <w:color w:val="FFFFFF"/>
                                <w:sz w:val="15"/>
                                <w:szCs w:val="15"/>
                                <w:lang w:val="en-US" w:eastAsia="zh-CN"/>
                              </w:rPr>
                              <w:t>2025.3.25</w:t>
                            </w:r>
                          </w:p>
                        </w:txbxContent>
                      </v:textbox>
                    </v:shape>
                  </w:pict>
                </mc:Fallback>
              </mc:AlternateContent>
            </w:r>
            <w:r>
              <w:rPr>
                <w:color w:val="auto"/>
                <w:sz w:val="21"/>
                <w:szCs w:val="21"/>
              </w:rPr>
              <w:drawing>
                <wp:inline distT="0" distB="0" distL="114300" distR="114300">
                  <wp:extent cx="2653030" cy="1989455"/>
                  <wp:effectExtent l="0" t="0" r="13970" b="10795"/>
                  <wp:docPr id="34" name="图片 34" descr="微信图片_20250416145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504161454251"/>
                          <pic:cNvPicPr>
                            <a:picLocks noChangeAspect="1"/>
                          </pic:cNvPicPr>
                        </pic:nvPicPr>
                        <pic:blipFill>
                          <a:blip r:embed="rId9"/>
                          <a:stretch>
                            <a:fillRect/>
                          </a:stretch>
                        </pic:blipFill>
                        <pic:spPr>
                          <a:xfrm>
                            <a:off x="0" y="0"/>
                            <a:ext cx="2653030" cy="1989455"/>
                          </a:xfrm>
                          <a:prstGeom prst="rect">
                            <a:avLst/>
                          </a:prstGeom>
                        </pic:spPr>
                      </pic:pic>
                    </a:graphicData>
                  </a:graphic>
                </wp:inline>
              </w:drawing>
            </w:r>
          </w:p>
        </w:tc>
      </w:tr>
      <w:tr w14:paraId="57F8C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6" w:type="dxa"/>
            <w:noWrap w:val="0"/>
            <w:vAlign w:val="center"/>
          </w:tcPr>
          <w:p w14:paraId="7AF2C714">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default" w:eastAsia="宋体"/>
                <w:b/>
                <w:bCs/>
                <w:color w:val="auto"/>
                <w:sz w:val="21"/>
                <w:szCs w:val="21"/>
                <w:vertAlign w:val="baseline"/>
                <w:lang w:val="en-US" w:eastAsia="zh-CN"/>
              </w:rPr>
            </w:pPr>
            <w:r>
              <w:rPr>
                <w:rFonts w:hint="eastAsia"/>
                <w:b w:val="0"/>
                <w:bCs w:val="0"/>
                <w:color w:val="auto"/>
                <w:sz w:val="21"/>
                <w:szCs w:val="21"/>
                <w:vertAlign w:val="baseline"/>
                <w:lang w:val="en-US" w:eastAsia="zh-CN"/>
              </w:rPr>
              <w:t>项目租用场地现状1</w:t>
            </w:r>
          </w:p>
        </w:tc>
        <w:tc>
          <w:tcPr>
            <w:tcW w:w="4416" w:type="dxa"/>
            <w:noWrap w:val="0"/>
            <w:vAlign w:val="center"/>
          </w:tcPr>
          <w:p w14:paraId="1D76052D">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default"/>
                <w:color w:val="auto"/>
                <w:sz w:val="21"/>
                <w:szCs w:val="21"/>
                <w:lang w:val="en-US"/>
              </w:rPr>
            </w:pPr>
            <w:r>
              <w:rPr>
                <w:rFonts w:hint="eastAsia"/>
                <w:b w:val="0"/>
                <w:bCs w:val="0"/>
                <w:color w:val="auto"/>
                <w:sz w:val="21"/>
                <w:szCs w:val="21"/>
                <w:vertAlign w:val="baseline"/>
                <w:lang w:val="en-US" w:eastAsia="zh-CN"/>
              </w:rPr>
              <w:t>项目租用场地现状2</w:t>
            </w:r>
          </w:p>
        </w:tc>
      </w:tr>
      <w:tr w14:paraId="230F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6" w:type="dxa"/>
            <w:noWrap w:val="0"/>
            <w:vAlign w:val="center"/>
          </w:tcPr>
          <w:p w14:paraId="00D8E02A">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eastAsia" w:eastAsia="宋体"/>
                <w:color w:val="auto"/>
                <w:sz w:val="21"/>
                <w:szCs w:val="21"/>
                <w:vertAlign w:val="baseline"/>
                <w:lang w:eastAsia="zh-CN"/>
              </w:rPr>
            </w:pPr>
            <w:r>
              <w:rPr>
                <w:color w:val="auto"/>
                <w:sz w:val="21"/>
                <w:szCs w:val="21"/>
              </w:rPr>
              <mc:AlternateContent>
                <mc:Choice Requires="wps">
                  <w:drawing>
                    <wp:anchor distT="0" distB="0" distL="114300" distR="114300" simplePos="0" relativeHeight="251663360" behindDoc="0" locked="0" layoutInCell="1" allowOverlap="1">
                      <wp:simplePos x="0" y="0"/>
                      <wp:positionH relativeFrom="column">
                        <wp:posOffset>2004695</wp:posOffset>
                      </wp:positionH>
                      <wp:positionV relativeFrom="paragraph">
                        <wp:posOffset>1743075</wp:posOffset>
                      </wp:positionV>
                      <wp:extent cx="638175" cy="23622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638175" cy="236220"/>
                              </a:xfrm>
                              <a:prstGeom prst="rect">
                                <a:avLst/>
                              </a:prstGeom>
                              <a:noFill/>
                              <a:ln w="6350">
                                <a:noFill/>
                              </a:ln>
                              <a:effectLst/>
                            </wps:spPr>
                            <wps:txbx>
                              <w:txbxContent>
                                <w:p w14:paraId="67DABEDA">
                                  <w:pPr>
                                    <w:rPr>
                                      <w:rFonts w:hint="default" w:eastAsia="宋体"/>
                                      <w:color w:val="FFFFFF"/>
                                      <w:sz w:val="15"/>
                                      <w:szCs w:val="15"/>
                                      <w:lang w:val="en-US" w:eastAsia="zh-CN"/>
                                    </w:rPr>
                                  </w:pPr>
                                  <w:r>
                                    <w:rPr>
                                      <w:rFonts w:hint="eastAsia"/>
                                      <w:color w:val="FFFFFF"/>
                                      <w:sz w:val="15"/>
                                      <w:szCs w:val="15"/>
                                      <w:lang w:val="en-US" w:eastAsia="zh-CN"/>
                                    </w:rPr>
                                    <w:t>2025.3.25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85pt;margin-top:137.25pt;height:18.6pt;width:50.25pt;z-index:251663360;mso-width-relative:page;mso-height-relative:page;" filled="f" stroked="f" coordsize="21600,21600" o:gfxdata="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JVpHPcAAAACwEAAA8AAAAAAAAAAQAg&#10;AAAAIgAAAGRycy9kb3ducmV2LnhtbFBLAQIUABQAAAAIAIdO4kD64DRuQwIAAHUEAAAOAAAAAAAA&#10;AAEAIAAAACsBAABkcnMvZTJvRG9jLnhtbFBLBQYAAAAABgAGAFkBAADgBQAAAAA=&#10;">
                      <v:fill on="f" focussize="0,0"/>
                      <v:stroke on="f" weight="0.5pt"/>
                      <v:imagedata o:title=""/>
                      <o:lock v:ext="edit" aspectratio="f"/>
                      <v:textbox>
                        <w:txbxContent>
                          <w:p w14:paraId="67DABEDA">
                            <w:pPr>
                              <w:rPr>
                                <w:rFonts w:hint="default" w:eastAsia="宋体"/>
                                <w:color w:val="FFFFFF"/>
                                <w:sz w:val="15"/>
                                <w:szCs w:val="15"/>
                                <w:lang w:val="en-US" w:eastAsia="zh-CN"/>
                              </w:rPr>
                            </w:pPr>
                            <w:r>
                              <w:rPr>
                                <w:rFonts w:hint="eastAsia"/>
                                <w:color w:val="FFFFFF"/>
                                <w:sz w:val="15"/>
                                <w:szCs w:val="15"/>
                                <w:lang w:val="en-US" w:eastAsia="zh-CN"/>
                              </w:rPr>
                              <w:t>2025.3.25</w:t>
                            </w:r>
                          </w:p>
                        </w:txbxContent>
                      </v:textbox>
                    </v:shape>
                  </w:pict>
                </mc:Fallback>
              </mc:AlternateContent>
            </w:r>
            <w:r>
              <w:rPr>
                <w:rFonts w:hint="eastAsia" w:eastAsia="宋体"/>
                <w:color w:val="auto"/>
                <w:sz w:val="21"/>
                <w:szCs w:val="21"/>
                <w:vertAlign w:val="baseline"/>
                <w:lang w:eastAsia="zh-CN"/>
              </w:rPr>
              <w:drawing>
                <wp:inline distT="0" distB="0" distL="114300" distR="114300">
                  <wp:extent cx="2653030" cy="1989455"/>
                  <wp:effectExtent l="0" t="0" r="13970" b="10795"/>
                  <wp:docPr id="36" name="图片 36" descr="微信图片_20250416145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504161454283"/>
                          <pic:cNvPicPr>
                            <a:picLocks noChangeAspect="1"/>
                          </pic:cNvPicPr>
                        </pic:nvPicPr>
                        <pic:blipFill>
                          <a:blip r:embed="rId10"/>
                          <a:stretch>
                            <a:fillRect/>
                          </a:stretch>
                        </pic:blipFill>
                        <pic:spPr>
                          <a:xfrm>
                            <a:off x="0" y="0"/>
                            <a:ext cx="2653030" cy="1989455"/>
                          </a:xfrm>
                          <a:prstGeom prst="rect">
                            <a:avLst/>
                          </a:prstGeom>
                        </pic:spPr>
                      </pic:pic>
                    </a:graphicData>
                  </a:graphic>
                </wp:inline>
              </w:drawing>
            </w:r>
          </w:p>
        </w:tc>
        <w:tc>
          <w:tcPr>
            <w:tcW w:w="4416" w:type="dxa"/>
            <w:noWrap w:val="0"/>
            <w:vAlign w:val="center"/>
          </w:tcPr>
          <w:p w14:paraId="222DB237">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eastAsia" w:eastAsia="宋体"/>
                <w:color w:val="auto"/>
                <w:sz w:val="21"/>
                <w:szCs w:val="21"/>
                <w:vertAlign w:val="baseline"/>
                <w:lang w:eastAsia="zh-CN"/>
              </w:rPr>
            </w:pPr>
            <w:r>
              <w:rPr>
                <w:color w:val="auto"/>
                <w:sz w:val="21"/>
                <w:szCs w:val="21"/>
              </w:rPr>
              <mc:AlternateContent>
                <mc:Choice Requires="wps">
                  <w:drawing>
                    <wp:anchor distT="0" distB="0" distL="114300" distR="114300" simplePos="0" relativeHeight="251664384" behindDoc="0" locked="0" layoutInCell="1" allowOverlap="1">
                      <wp:simplePos x="0" y="0"/>
                      <wp:positionH relativeFrom="column">
                        <wp:posOffset>2028190</wp:posOffset>
                      </wp:positionH>
                      <wp:positionV relativeFrom="paragraph">
                        <wp:posOffset>1743075</wp:posOffset>
                      </wp:positionV>
                      <wp:extent cx="638175" cy="23622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638175" cy="236220"/>
                              </a:xfrm>
                              <a:prstGeom prst="rect">
                                <a:avLst/>
                              </a:prstGeom>
                              <a:noFill/>
                              <a:ln w="6350">
                                <a:noFill/>
                              </a:ln>
                              <a:effectLst/>
                            </wps:spPr>
                            <wps:txbx>
                              <w:txbxContent>
                                <w:p w14:paraId="6AC0377C">
                                  <w:pPr>
                                    <w:rPr>
                                      <w:rFonts w:hint="default" w:eastAsia="宋体"/>
                                      <w:color w:val="FFFFFF"/>
                                      <w:sz w:val="15"/>
                                      <w:szCs w:val="15"/>
                                      <w:lang w:val="en-US" w:eastAsia="zh-CN"/>
                                    </w:rPr>
                                  </w:pPr>
                                  <w:r>
                                    <w:rPr>
                                      <w:rFonts w:hint="eastAsia"/>
                                      <w:color w:val="FFFFFF"/>
                                      <w:sz w:val="15"/>
                                      <w:szCs w:val="15"/>
                                      <w:lang w:val="en-US" w:eastAsia="zh-CN"/>
                                    </w:rPr>
                                    <w:t>2025.3.25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7pt;margin-top:137.25pt;height:18.6pt;width:50.25pt;z-index:251664384;mso-width-relative:page;mso-height-relative:page;" filled="f" stroked="f" coordsize="21600,21600" o:gfxdata="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opooj2wAAAAsBAAAPAAAAAAAAAAEAIAAA&#10;ACIAAABkcnMvZG93bnJldi54bWxQSwECFAAUAAAACACHTuJA+R2/DEICAAB1BAAADgAAAAAAAAAB&#10;ACAAAAAqAQAAZHJzL2Uyb0RvYy54bWxQSwUGAAAAAAYABgBZAQAA3gUAAAAA&#10;">
                      <v:fill on="f" focussize="0,0"/>
                      <v:stroke on="f" weight="0.5pt"/>
                      <v:imagedata o:title=""/>
                      <o:lock v:ext="edit" aspectratio="f"/>
                      <v:textbox>
                        <w:txbxContent>
                          <w:p w14:paraId="6AC0377C">
                            <w:pPr>
                              <w:rPr>
                                <w:rFonts w:hint="default" w:eastAsia="宋体"/>
                                <w:color w:val="FFFFFF"/>
                                <w:sz w:val="15"/>
                                <w:szCs w:val="15"/>
                                <w:lang w:val="en-US" w:eastAsia="zh-CN"/>
                              </w:rPr>
                            </w:pPr>
                            <w:r>
                              <w:rPr>
                                <w:rFonts w:hint="eastAsia"/>
                                <w:color w:val="FFFFFF"/>
                                <w:sz w:val="15"/>
                                <w:szCs w:val="15"/>
                                <w:lang w:val="en-US" w:eastAsia="zh-CN"/>
                              </w:rPr>
                              <w:t>2025.3.25</w:t>
                            </w:r>
                          </w:p>
                        </w:txbxContent>
                      </v:textbox>
                    </v:shape>
                  </w:pict>
                </mc:Fallback>
              </mc:AlternateContent>
            </w:r>
            <w:r>
              <w:rPr>
                <w:color w:val="auto"/>
                <w:sz w:val="21"/>
                <w:szCs w:val="21"/>
              </w:rPr>
              <w:drawing>
                <wp:inline distT="0" distB="0" distL="114300" distR="114300">
                  <wp:extent cx="2665095" cy="1997710"/>
                  <wp:effectExtent l="0" t="0" r="1905" b="2540"/>
                  <wp:docPr id="29" name="图片 29" descr="f8090d294120816ffa28ddae2a816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8090d294120816ffa28ddae2a8167f"/>
                          <pic:cNvPicPr>
                            <a:picLocks noChangeAspect="1"/>
                          </pic:cNvPicPr>
                        </pic:nvPicPr>
                        <pic:blipFill>
                          <a:blip r:embed="rId11"/>
                          <a:stretch>
                            <a:fillRect/>
                          </a:stretch>
                        </pic:blipFill>
                        <pic:spPr>
                          <a:xfrm>
                            <a:off x="0" y="0"/>
                            <a:ext cx="2665095" cy="1997710"/>
                          </a:xfrm>
                          <a:prstGeom prst="rect">
                            <a:avLst/>
                          </a:prstGeom>
                        </pic:spPr>
                      </pic:pic>
                    </a:graphicData>
                  </a:graphic>
                </wp:inline>
              </w:drawing>
            </w:r>
          </w:p>
        </w:tc>
      </w:tr>
      <w:tr w14:paraId="581A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6" w:type="dxa"/>
            <w:noWrap w:val="0"/>
            <w:vAlign w:val="center"/>
          </w:tcPr>
          <w:p w14:paraId="65CB5F4B">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eastAsia" w:eastAsia="宋体"/>
                <w:color w:val="auto"/>
                <w:sz w:val="21"/>
                <w:szCs w:val="21"/>
                <w:vertAlign w:val="baseline"/>
                <w:lang w:eastAsia="zh-CN"/>
              </w:rPr>
            </w:pPr>
            <w:r>
              <w:rPr>
                <w:rFonts w:hint="default" w:ascii="Calibri" w:hAnsi="Calibri" w:eastAsia="宋体" w:cs="Times New Roman"/>
                <w:color w:val="auto"/>
                <w:kern w:val="24"/>
                <w:sz w:val="21"/>
                <w:szCs w:val="21"/>
                <w:highlight w:val="none"/>
                <w:lang w:val="en-US" w:eastAsia="zh-CN"/>
              </w:rPr>
              <w:t>项目</w:t>
            </w:r>
            <w:r>
              <w:rPr>
                <w:rFonts w:hint="eastAsia" w:ascii="Calibri" w:hAnsi="Calibri" w:cs="Times New Roman"/>
                <w:color w:val="auto"/>
                <w:kern w:val="24"/>
                <w:sz w:val="21"/>
                <w:szCs w:val="21"/>
                <w:highlight w:val="none"/>
                <w:lang w:val="en-US" w:eastAsia="zh-CN"/>
              </w:rPr>
              <w:t>租用场地入口</w:t>
            </w:r>
          </w:p>
        </w:tc>
        <w:tc>
          <w:tcPr>
            <w:tcW w:w="4416" w:type="dxa"/>
            <w:noWrap w:val="0"/>
            <w:vAlign w:val="center"/>
          </w:tcPr>
          <w:p w14:paraId="0471B287">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default"/>
                <w:color w:val="auto"/>
                <w:sz w:val="21"/>
                <w:szCs w:val="21"/>
                <w:lang w:val="en-US"/>
              </w:rPr>
            </w:pPr>
            <w:r>
              <w:rPr>
                <w:rFonts w:hint="eastAsia" w:ascii="Calibri" w:hAnsi="Calibri" w:cs="Times New Roman"/>
                <w:color w:val="auto"/>
                <w:kern w:val="24"/>
                <w:sz w:val="21"/>
                <w:szCs w:val="21"/>
                <w:highlight w:val="none"/>
                <w:lang w:val="en-US" w:eastAsia="zh-CN"/>
              </w:rPr>
              <w:t>牛栏江公司污水管网</w:t>
            </w:r>
          </w:p>
        </w:tc>
      </w:tr>
      <w:tr w14:paraId="4539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6" w:type="dxa"/>
            <w:noWrap w:val="0"/>
            <w:vAlign w:val="center"/>
          </w:tcPr>
          <w:p w14:paraId="43C62172">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eastAsia" w:eastAsia="宋体"/>
                <w:b/>
                <w:bCs/>
                <w:color w:val="auto"/>
                <w:sz w:val="21"/>
                <w:szCs w:val="21"/>
                <w:vertAlign w:val="baseline"/>
                <w:lang w:val="en-US" w:eastAsia="zh-CN"/>
              </w:rPr>
            </w:pPr>
            <w:r>
              <w:rPr>
                <w:color w:val="auto"/>
                <w:sz w:val="21"/>
                <w:szCs w:val="21"/>
              </w:rPr>
              <mc:AlternateContent>
                <mc:Choice Requires="wps">
                  <w:drawing>
                    <wp:anchor distT="0" distB="0" distL="114300" distR="114300" simplePos="0" relativeHeight="251665408" behindDoc="0" locked="0" layoutInCell="1" allowOverlap="1">
                      <wp:simplePos x="0" y="0"/>
                      <wp:positionH relativeFrom="column">
                        <wp:posOffset>2025015</wp:posOffset>
                      </wp:positionH>
                      <wp:positionV relativeFrom="paragraph">
                        <wp:posOffset>1750060</wp:posOffset>
                      </wp:positionV>
                      <wp:extent cx="638175" cy="23622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638175" cy="236220"/>
                              </a:xfrm>
                              <a:prstGeom prst="rect">
                                <a:avLst/>
                              </a:prstGeom>
                              <a:noFill/>
                              <a:ln w="6350">
                                <a:noFill/>
                              </a:ln>
                              <a:effectLst/>
                            </wps:spPr>
                            <wps:txbx>
                              <w:txbxContent>
                                <w:p w14:paraId="75545258">
                                  <w:pPr>
                                    <w:rPr>
                                      <w:rFonts w:hint="default" w:eastAsia="宋体"/>
                                      <w:color w:val="FFFFFF"/>
                                      <w:sz w:val="15"/>
                                      <w:szCs w:val="15"/>
                                      <w:lang w:val="en-US" w:eastAsia="zh-CN"/>
                                    </w:rPr>
                                  </w:pPr>
                                  <w:r>
                                    <w:rPr>
                                      <w:rFonts w:hint="eastAsia"/>
                                      <w:color w:val="FFFFFF"/>
                                      <w:sz w:val="15"/>
                                      <w:szCs w:val="15"/>
                                      <w:lang w:val="en-US" w:eastAsia="zh-CN"/>
                                    </w:rPr>
                                    <w:t>2025.3.25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45pt;margin-top:137.8pt;height:18.6pt;width:50.25pt;z-index:251665408;mso-width-relative:page;mso-height-relative:page;" filled="f" stroked="f" coordsize="21600,21600" o:gfxdata="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nbRaNwAAAALAQAADwAAAAAAAAABACAA&#10;AAAiAAAAZHJzL2Rvd25yZXYueG1sUEsBAhQAFAAAAAgAh07iQEzty95CAgAAdQQAAA4AAAAAAAAA&#10;AQAgAAAAKwEAAGRycy9lMm9Eb2MueG1sUEsFBgAAAAAGAAYAWQEAAN8FAAAAAA==&#10;">
                      <v:fill on="f" focussize="0,0"/>
                      <v:stroke on="f" weight="0.5pt"/>
                      <v:imagedata o:title=""/>
                      <o:lock v:ext="edit" aspectratio="f"/>
                      <v:textbox>
                        <w:txbxContent>
                          <w:p w14:paraId="75545258">
                            <w:pPr>
                              <w:rPr>
                                <w:rFonts w:hint="default" w:eastAsia="宋体"/>
                                <w:color w:val="FFFFFF"/>
                                <w:sz w:val="15"/>
                                <w:szCs w:val="15"/>
                                <w:lang w:val="en-US" w:eastAsia="zh-CN"/>
                              </w:rPr>
                            </w:pPr>
                            <w:r>
                              <w:rPr>
                                <w:rFonts w:hint="eastAsia"/>
                                <w:color w:val="FFFFFF"/>
                                <w:sz w:val="15"/>
                                <w:szCs w:val="15"/>
                                <w:lang w:val="en-US" w:eastAsia="zh-CN"/>
                              </w:rPr>
                              <w:t>2025.3.25</w:t>
                            </w:r>
                          </w:p>
                        </w:txbxContent>
                      </v:textbox>
                    </v:shape>
                  </w:pict>
                </mc:Fallback>
              </mc:AlternateContent>
            </w:r>
            <w:r>
              <w:rPr>
                <w:rFonts w:hint="eastAsia" w:eastAsia="宋体"/>
                <w:color w:val="auto"/>
                <w:sz w:val="21"/>
                <w:szCs w:val="21"/>
                <w:vertAlign w:val="baseline"/>
                <w:lang w:eastAsia="zh-CN"/>
              </w:rPr>
              <w:drawing>
                <wp:inline distT="0" distB="0" distL="114300" distR="114300">
                  <wp:extent cx="2653030" cy="1989455"/>
                  <wp:effectExtent l="0" t="0" r="13970" b="10795"/>
                  <wp:docPr id="37" name="图片 37" descr="微信图片_20250416145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50416145328"/>
                          <pic:cNvPicPr>
                            <a:picLocks noChangeAspect="1"/>
                          </pic:cNvPicPr>
                        </pic:nvPicPr>
                        <pic:blipFill>
                          <a:blip r:embed="rId12"/>
                          <a:stretch>
                            <a:fillRect/>
                          </a:stretch>
                        </pic:blipFill>
                        <pic:spPr>
                          <a:xfrm>
                            <a:off x="0" y="0"/>
                            <a:ext cx="2653030" cy="1989455"/>
                          </a:xfrm>
                          <a:prstGeom prst="rect">
                            <a:avLst/>
                          </a:prstGeom>
                        </pic:spPr>
                      </pic:pic>
                    </a:graphicData>
                  </a:graphic>
                </wp:inline>
              </w:drawing>
            </w:r>
          </w:p>
        </w:tc>
        <w:tc>
          <w:tcPr>
            <w:tcW w:w="4416" w:type="dxa"/>
            <w:noWrap w:val="0"/>
            <w:vAlign w:val="center"/>
          </w:tcPr>
          <w:p w14:paraId="4BD07EE5">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eastAsia" w:eastAsia="宋体"/>
                <w:b/>
                <w:bCs/>
                <w:color w:val="auto"/>
                <w:sz w:val="21"/>
                <w:szCs w:val="21"/>
                <w:vertAlign w:val="baseline"/>
                <w:lang w:val="en-US" w:eastAsia="zh-CN"/>
              </w:rPr>
            </w:pPr>
            <w:r>
              <w:rPr>
                <w:color w:val="auto"/>
                <w:sz w:val="21"/>
                <w:szCs w:val="21"/>
              </w:rPr>
              <mc:AlternateContent>
                <mc:Choice Requires="wps">
                  <w:drawing>
                    <wp:anchor distT="0" distB="0" distL="114300" distR="114300" simplePos="0" relativeHeight="251666432" behindDoc="0" locked="0" layoutInCell="1" allowOverlap="1">
                      <wp:simplePos x="0" y="0"/>
                      <wp:positionH relativeFrom="column">
                        <wp:posOffset>2008505</wp:posOffset>
                      </wp:positionH>
                      <wp:positionV relativeFrom="paragraph">
                        <wp:posOffset>1739265</wp:posOffset>
                      </wp:positionV>
                      <wp:extent cx="638175" cy="23622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638175" cy="236220"/>
                              </a:xfrm>
                              <a:prstGeom prst="rect">
                                <a:avLst/>
                              </a:prstGeom>
                              <a:noFill/>
                              <a:ln w="6350">
                                <a:noFill/>
                              </a:ln>
                              <a:effectLst/>
                            </wps:spPr>
                            <wps:txbx>
                              <w:txbxContent>
                                <w:p w14:paraId="435BF579">
                                  <w:pPr>
                                    <w:rPr>
                                      <w:rFonts w:hint="default" w:eastAsia="宋体"/>
                                      <w:color w:val="FFFFFF"/>
                                      <w:sz w:val="15"/>
                                      <w:szCs w:val="15"/>
                                      <w:lang w:val="en-US" w:eastAsia="zh-CN"/>
                                    </w:rPr>
                                  </w:pPr>
                                  <w:r>
                                    <w:rPr>
                                      <w:rFonts w:hint="eastAsia"/>
                                      <w:color w:val="FFFFFF"/>
                                      <w:sz w:val="15"/>
                                      <w:szCs w:val="15"/>
                                      <w:lang w:val="en-US" w:eastAsia="zh-CN"/>
                                    </w:rPr>
                                    <w:t>2025.3.25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15pt;margin-top:136.95pt;height:18.6pt;width:50.25pt;z-index:251666432;mso-width-relative:page;mso-height-relative:page;" filled="f" stroked="f" coordsize="21600,21600" o:gfxdata="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D/N29sAAAALAQAADwAAAAAAAAABACAA&#10;AAAiAAAAZHJzL2Rvd25yZXYueG1sUEsBAhQAFAAAAAgAh07iQNL6J3NDAgAAdQQAAA4AAAAAAAAA&#10;AQAgAAAAKgEAAGRycy9lMm9Eb2MueG1sUEsFBgAAAAAGAAYAWQEAAN8FAAAAAA==&#10;">
                      <v:fill on="f" focussize="0,0"/>
                      <v:stroke on="f" weight="0.5pt"/>
                      <v:imagedata o:title=""/>
                      <o:lock v:ext="edit" aspectratio="f"/>
                      <v:textbox>
                        <w:txbxContent>
                          <w:p w14:paraId="435BF579">
                            <w:pPr>
                              <w:rPr>
                                <w:rFonts w:hint="default" w:eastAsia="宋体"/>
                                <w:color w:val="FFFFFF"/>
                                <w:sz w:val="15"/>
                                <w:szCs w:val="15"/>
                                <w:lang w:val="en-US" w:eastAsia="zh-CN"/>
                              </w:rPr>
                            </w:pPr>
                            <w:r>
                              <w:rPr>
                                <w:rFonts w:hint="eastAsia"/>
                                <w:color w:val="FFFFFF"/>
                                <w:sz w:val="15"/>
                                <w:szCs w:val="15"/>
                                <w:lang w:val="en-US" w:eastAsia="zh-CN"/>
                              </w:rPr>
                              <w:t>2025.3.25</w:t>
                            </w:r>
                          </w:p>
                        </w:txbxContent>
                      </v:textbox>
                    </v:shape>
                  </w:pict>
                </mc:Fallback>
              </mc:AlternateContent>
            </w:r>
            <w:r>
              <w:rPr>
                <w:rFonts w:hint="eastAsia" w:eastAsia="宋体"/>
                <w:b/>
                <w:bCs/>
                <w:color w:val="auto"/>
                <w:sz w:val="21"/>
                <w:szCs w:val="21"/>
                <w:vertAlign w:val="baseline"/>
                <w:lang w:val="en-US" w:eastAsia="zh-CN"/>
              </w:rPr>
              <w:drawing>
                <wp:inline distT="0" distB="0" distL="114300" distR="114300">
                  <wp:extent cx="2653030" cy="1989455"/>
                  <wp:effectExtent l="0" t="0" r="13970" b="10795"/>
                  <wp:docPr id="38" name="图片 38" descr="微信图片_20250416145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微信图片_20250416145424"/>
                          <pic:cNvPicPr>
                            <a:picLocks noChangeAspect="1"/>
                          </pic:cNvPicPr>
                        </pic:nvPicPr>
                        <pic:blipFill>
                          <a:blip r:embed="rId13"/>
                          <a:stretch>
                            <a:fillRect/>
                          </a:stretch>
                        </pic:blipFill>
                        <pic:spPr>
                          <a:xfrm>
                            <a:off x="0" y="0"/>
                            <a:ext cx="2653030" cy="1989455"/>
                          </a:xfrm>
                          <a:prstGeom prst="rect">
                            <a:avLst/>
                          </a:prstGeom>
                        </pic:spPr>
                      </pic:pic>
                    </a:graphicData>
                  </a:graphic>
                </wp:inline>
              </w:drawing>
            </w:r>
          </w:p>
        </w:tc>
      </w:tr>
      <w:tr w14:paraId="5A11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6" w:type="dxa"/>
            <w:noWrap w:val="0"/>
            <w:vAlign w:val="center"/>
          </w:tcPr>
          <w:p w14:paraId="4AAC8C84">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工程师踏勘现场1</w:t>
            </w:r>
          </w:p>
        </w:tc>
        <w:tc>
          <w:tcPr>
            <w:tcW w:w="4416" w:type="dxa"/>
            <w:noWrap w:val="0"/>
            <w:vAlign w:val="center"/>
          </w:tcPr>
          <w:p w14:paraId="78D7901A">
            <w:pPr>
              <w:pageBreakBefore w:val="0"/>
              <w:bidi w:val="0"/>
              <w:adjustRightInd w:val="0"/>
              <w:snapToGrid w:val="0"/>
              <w:spacing w:beforeAutospacing="0" w:afterAutospacing="0" w:line="360" w:lineRule="auto"/>
              <w:ind w:left="0" w:leftChars="0" w:right="0" w:rightChars="0" w:firstLine="0" w:firstLineChars="0"/>
              <w:jc w:val="center"/>
              <w:textAlignment w:val="auto"/>
              <w:rPr>
                <w:rFonts w:hint="default" w:eastAsia="宋体"/>
                <w:b w:val="0"/>
                <w:bCs w:val="0"/>
                <w:color w:val="auto"/>
                <w:sz w:val="21"/>
                <w:szCs w:val="21"/>
                <w:vertAlign w:val="baseline"/>
                <w:lang w:val="en-US" w:eastAsia="zh-CN"/>
              </w:rPr>
            </w:pPr>
            <w:r>
              <w:rPr>
                <w:rFonts w:hint="eastAsia"/>
                <w:b w:val="0"/>
                <w:bCs w:val="0"/>
                <w:color w:val="auto"/>
                <w:sz w:val="21"/>
                <w:szCs w:val="21"/>
                <w:vertAlign w:val="baseline"/>
                <w:lang w:val="en-US" w:eastAsia="zh-CN"/>
              </w:rPr>
              <w:t>工程师踏勘现场2</w:t>
            </w:r>
          </w:p>
        </w:tc>
      </w:tr>
    </w:tbl>
    <w:p w14:paraId="5A00AC8F">
      <w:pPr>
        <w:rPr>
          <w:rFonts w:hint="default"/>
          <w:color w:val="auto"/>
        </w:rPr>
        <w:sectPr>
          <w:pgSz w:w="11906" w:h="16838"/>
          <w:pgMar w:top="1701" w:right="1134" w:bottom="1701" w:left="1134" w:header="851" w:footer="1077" w:gutter="0"/>
          <w:pgNumType w:start="3"/>
          <w:cols w:space="720" w:num="1"/>
          <w:docGrid w:linePitch="312" w:charSpace="0"/>
        </w:sectPr>
      </w:pPr>
      <w:bookmarkStart w:id="0" w:name="_Hlk57884087"/>
    </w:p>
    <w:sdt>
      <w:sdtPr>
        <w:rPr>
          <w:rFonts w:ascii="宋体" w:hAnsi="宋体" w:eastAsia="宋体" w:cs="Times New Roman"/>
          <w:color w:val="auto"/>
          <w:kern w:val="2"/>
          <w:sz w:val="21"/>
          <w:szCs w:val="24"/>
          <w:lang w:val="en-US" w:eastAsia="zh-CN" w:bidi="ar-SA"/>
        </w:rPr>
        <w:id w:val="147482733"/>
        <w15:color w:val="DBDBDB"/>
        <w:docPartObj>
          <w:docPartGallery w:val="Table of Contents"/>
          <w:docPartUnique/>
        </w:docPartObj>
      </w:sdtPr>
      <w:sdtEndPr>
        <w:rPr>
          <w:rFonts w:hint="eastAsia" w:ascii="Times New Roman" w:hAnsi="Times New Roman" w:eastAsia="宋体" w:cs="Times New Roman"/>
          <w:color w:val="auto"/>
          <w:kern w:val="2"/>
          <w:sz w:val="21"/>
          <w:szCs w:val="24"/>
          <w:lang w:val="en-US" w:eastAsia="zh-CN" w:bidi="ar-SA"/>
        </w:rPr>
      </w:sdtEndPr>
      <w:sdtContent>
        <w:p w14:paraId="15FC0B96">
          <w:pPr>
            <w:spacing w:before="0" w:beforeLines="0" w:after="0" w:afterLines="0" w:line="240" w:lineRule="auto"/>
            <w:ind w:left="0" w:leftChars="0" w:right="0" w:rightChars="0" w:firstLine="0" w:firstLineChars="0"/>
            <w:jc w:val="center"/>
            <w:rPr>
              <w:color w:val="auto"/>
            </w:rPr>
          </w:pPr>
          <w:r>
            <w:rPr>
              <w:rFonts w:hint="default" w:ascii="Times New Roman" w:hAnsi="Times New Roman" w:eastAsia="宋体" w:cs="Times New Roman"/>
              <w:b/>
              <w:bCs/>
              <w:color w:val="auto"/>
              <w:sz w:val="30"/>
              <w:szCs w:val="30"/>
            </w:rPr>
            <w:t>目录</w:t>
          </w:r>
        </w:p>
        <w:p w14:paraId="5C0DAE1C">
          <w:pPr>
            <w:pStyle w:val="15"/>
            <w:tabs>
              <w:tab w:val="right" w:leader="dot" w:pos="8844"/>
            </w:tabs>
            <w:spacing w:line="480" w:lineRule="auto"/>
            <w:rPr>
              <w:rFonts w:hint="default" w:ascii="Times New Roman" w:hAnsi="Times New Roman" w:eastAsia="宋体" w:cs="Times New Roman"/>
              <w:b/>
              <w:bCs/>
              <w:color w:val="auto"/>
              <w:sz w:val="24"/>
              <w:szCs w:val="24"/>
            </w:rPr>
          </w:pPr>
          <w:r>
            <w:rPr>
              <w:rFonts w:hint="eastAsia"/>
              <w:color w:val="auto"/>
              <w:lang w:val="en-US" w:eastAsia="zh-CN"/>
            </w:rPr>
            <w:fldChar w:fldCharType="begin"/>
          </w:r>
          <w:r>
            <w:rPr>
              <w:rFonts w:hint="eastAsia"/>
              <w:color w:val="auto"/>
              <w:lang w:val="en-US" w:eastAsia="zh-CN"/>
            </w:rPr>
            <w:instrText xml:space="preserve">TOC \o "1-1" \h \u </w:instrText>
          </w:r>
          <w:r>
            <w:rPr>
              <w:rFonts w:hint="eastAsia"/>
              <w:color w:val="auto"/>
              <w:lang w:val="en-US" w:eastAsia="zh-CN"/>
            </w:rPr>
            <w:fldChar w:fldCharType="separate"/>
          </w:r>
          <w:r>
            <w:rPr>
              <w:rFonts w:hint="default" w:ascii="Times New Roman" w:hAnsi="Times New Roman" w:eastAsia="宋体" w:cs="Times New Roman"/>
              <w:b/>
              <w:bCs/>
              <w:color w:val="auto"/>
              <w:sz w:val="24"/>
              <w:szCs w:val="24"/>
              <w:lang w:val="en-US" w:eastAsia="zh-CN"/>
            </w:rPr>
            <w:fldChar w:fldCharType="begin"/>
          </w:r>
          <w:r>
            <w:rPr>
              <w:rFonts w:hint="default" w:ascii="Times New Roman" w:hAnsi="Times New Roman" w:eastAsia="宋体" w:cs="Times New Roman"/>
              <w:b/>
              <w:bCs/>
              <w:color w:val="auto"/>
              <w:sz w:val="24"/>
              <w:szCs w:val="24"/>
              <w:lang w:val="en-US" w:eastAsia="zh-CN"/>
            </w:rPr>
            <w:instrText xml:space="preserve"> HYPERLINK \l _Toc5461 </w:instrText>
          </w:r>
          <w:r>
            <w:rPr>
              <w:rFonts w:hint="default" w:ascii="Times New Roman" w:hAnsi="Times New Roman" w:eastAsia="宋体" w:cs="Times New Roman"/>
              <w:b/>
              <w:bCs/>
              <w:color w:val="auto"/>
              <w:sz w:val="24"/>
              <w:szCs w:val="24"/>
              <w:lang w:val="en-US" w:eastAsia="zh-CN"/>
            </w:rPr>
            <w:fldChar w:fldCharType="separate"/>
          </w:r>
          <w:r>
            <w:rPr>
              <w:rFonts w:hint="default" w:ascii="Times New Roman" w:hAnsi="Times New Roman" w:eastAsia="宋体" w:cs="Times New Roman"/>
              <w:b/>
              <w:bCs/>
              <w:snapToGrid w:val="0"/>
              <w:color w:val="auto"/>
              <w:sz w:val="24"/>
              <w:szCs w:val="24"/>
            </w:rPr>
            <w:t>一、建设项目基本情况</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_Toc5461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1</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lang w:val="en-US" w:eastAsia="zh-CN"/>
            </w:rPr>
            <w:fldChar w:fldCharType="end"/>
          </w:r>
        </w:p>
        <w:p w14:paraId="6E778DDB">
          <w:pPr>
            <w:pStyle w:val="15"/>
            <w:tabs>
              <w:tab w:val="right" w:leader="dot" w:pos="8844"/>
            </w:tabs>
            <w:spacing w:line="48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fldChar w:fldCharType="begin"/>
          </w:r>
          <w:r>
            <w:rPr>
              <w:rFonts w:hint="default" w:ascii="Times New Roman" w:hAnsi="Times New Roman" w:eastAsia="宋体" w:cs="Times New Roman"/>
              <w:b/>
              <w:bCs/>
              <w:color w:val="auto"/>
              <w:sz w:val="24"/>
              <w:szCs w:val="24"/>
              <w:lang w:val="en-US" w:eastAsia="zh-CN"/>
            </w:rPr>
            <w:instrText xml:space="preserve"> HYPERLINK \l _Toc29592 </w:instrText>
          </w:r>
          <w:r>
            <w:rPr>
              <w:rFonts w:hint="default" w:ascii="Times New Roman" w:hAnsi="Times New Roman" w:eastAsia="宋体" w:cs="Times New Roman"/>
              <w:b/>
              <w:bCs/>
              <w:color w:val="auto"/>
              <w:sz w:val="24"/>
              <w:szCs w:val="24"/>
              <w:lang w:val="en-US" w:eastAsia="zh-CN"/>
            </w:rPr>
            <w:fldChar w:fldCharType="separate"/>
          </w:r>
          <w:r>
            <w:rPr>
              <w:rFonts w:hint="default" w:ascii="Times New Roman" w:hAnsi="Times New Roman" w:eastAsia="宋体" w:cs="Times New Roman"/>
              <w:b/>
              <w:bCs/>
              <w:color w:val="auto"/>
              <w:sz w:val="24"/>
              <w:szCs w:val="24"/>
            </w:rPr>
            <w:t>二、建设项目工程分析</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_Toc29592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23</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lang w:val="en-US" w:eastAsia="zh-CN"/>
            </w:rPr>
            <w:fldChar w:fldCharType="end"/>
          </w:r>
        </w:p>
        <w:p w14:paraId="14A82F36">
          <w:pPr>
            <w:pStyle w:val="15"/>
            <w:tabs>
              <w:tab w:val="right" w:leader="dot" w:pos="8844"/>
            </w:tabs>
            <w:spacing w:line="48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fldChar w:fldCharType="begin"/>
          </w:r>
          <w:r>
            <w:rPr>
              <w:rFonts w:hint="default" w:ascii="Times New Roman" w:hAnsi="Times New Roman" w:eastAsia="宋体" w:cs="Times New Roman"/>
              <w:b/>
              <w:bCs/>
              <w:color w:val="auto"/>
              <w:sz w:val="24"/>
              <w:szCs w:val="24"/>
              <w:lang w:val="en-US" w:eastAsia="zh-CN"/>
            </w:rPr>
            <w:instrText xml:space="preserve"> HYPERLINK \l _Toc27749 </w:instrText>
          </w:r>
          <w:r>
            <w:rPr>
              <w:rFonts w:hint="default" w:ascii="Times New Roman" w:hAnsi="Times New Roman" w:eastAsia="宋体" w:cs="Times New Roman"/>
              <w:b/>
              <w:bCs/>
              <w:color w:val="auto"/>
              <w:sz w:val="24"/>
              <w:szCs w:val="24"/>
              <w:lang w:val="en-US" w:eastAsia="zh-CN"/>
            </w:rPr>
            <w:fldChar w:fldCharType="separate"/>
          </w:r>
          <w:r>
            <w:rPr>
              <w:rFonts w:hint="default" w:ascii="Times New Roman" w:hAnsi="Times New Roman" w:eastAsia="宋体" w:cs="Times New Roman"/>
              <w:b/>
              <w:bCs/>
              <w:color w:val="auto"/>
              <w:sz w:val="24"/>
              <w:szCs w:val="24"/>
            </w:rPr>
            <w:t>三、区域环境质量现状、环境保护目标及评价标准</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_Toc27749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53</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lang w:val="en-US" w:eastAsia="zh-CN"/>
            </w:rPr>
            <w:fldChar w:fldCharType="end"/>
          </w:r>
        </w:p>
        <w:p w14:paraId="6FF2B27F">
          <w:pPr>
            <w:pStyle w:val="15"/>
            <w:tabs>
              <w:tab w:val="right" w:leader="dot" w:pos="8844"/>
            </w:tabs>
            <w:spacing w:line="48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fldChar w:fldCharType="begin"/>
          </w:r>
          <w:r>
            <w:rPr>
              <w:rFonts w:hint="default" w:ascii="Times New Roman" w:hAnsi="Times New Roman" w:eastAsia="宋体" w:cs="Times New Roman"/>
              <w:b/>
              <w:bCs/>
              <w:color w:val="auto"/>
              <w:sz w:val="24"/>
              <w:szCs w:val="24"/>
              <w:lang w:val="en-US" w:eastAsia="zh-CN"/>
            </w:rPr>
            <w:instrText xml:space="preserve"> HYPERLINK \l _Toc26033 </w:instrText>
          </w:r>
          <w:r>
            <w:rPr>
              <w:rFonts w:hint="default" w:ascii="Times New Roman" w:hAnsi="Times New Roman" w:eastAsia="宋体" w:cs="Times New Roman"/>
              <w:b/>
              <w:bCs/>
              <w:color w:val="auto"/>
              <w:sz w:val="24"/>
              <w:szCs w:val="24"/>
              <w:lang w:val="en-US" w:eastAsia="zh-CN"/>
            </w:rPr>
            <w:fldChar w:fldCharType="separate"/>
          </w:r>
          <w:r>
            <w:rPr>
              <w:rFonts w:hint="default" w:ascii="Times New Roman" w:hAnsi="Times New Roman" w:eastAsia="宋体" w:cs="Times New Roman"/>
              <w:b/>
              <w:bCs/>
              <w:color w:val="auto"/>
              <w:sz w:val="24"/>
              <w:szCs w:val="24"/>
            </w:rPr>
            <w:t>四、主要环境影响和保护措施</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_Toc26033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59</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lang w:val="en-US" w:eastAsia="zh-CN"/>
            </w:rPr>
            <w:fldChar w:fldCharType="end"/>
          </w:r>
        </w:p>
        <w:p w14:paraId="615D7C46">
          <w:pPr>
            <w:pStyle w:val="15"/>
            <w:tabs>
              <w:tab w:val="right" w:leader="dot" w:pos="8844"/>
            </w:tabs>
            <w:spacing w:line="48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fldChar w:fldCharType="begin"/>
          </w:r>
          <w:r>
            <w:rPr>
              <w:rFonts w:hint="default" w:ascii="Times New Roman" w:hAnsi="Times New Roman" w:eastAsia="宋体" w:cs="Times New Roman"/>
              <w:b/>
              <w:bCs/>
              <w:color w:val="auto"/>
              <w:sz w:val="24"/>
              <w:szCs w:val="24"/>
              <w:lang w:val="en-US" w:eastAsia="zh-CN"/>
            </w:rPr>
            <w:instrText xml:space="preserve"> HYPERLINK \l _Toc13161 </w:instrText>
          </w:r>
          <w:r>
            <w:rPr>
              <w:rFonts w:hint="default" w:ascii="Times New Roman" w:hAnsi="Times New Roman" w:eastAsia="宋体" w:cs="Times New Roman"/>
              <w:b/>
              <w:bCs/>
              <w:color w:val="auto"/>
              <w:sz w:val="24"/>
              <w:szCs w:val="24"/>
              <w:lang w:val="en-US" w:eastAsia="zh-CN"/>
            </w:rPr>
            <w:fldChar w:fldCharType="separate"/>
          </w:r>
          <w:r>
            <w:rPr>
              <w:rFonts w:hint="default" w:ascii="Times New Roman" w:hAnsi="Times New Roman" w:eastAsia="宋体" w:cs="Times New Roman"/>
              <w:b/>
              <w:bCs/>
              <w:color w:val="auto"/>
              <w:sz w:val="24"/>
              <w:szCs w:val="24"/>
            </w:rPr>
            <w:t>五、环境保护措施监督检查清单</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_Toc13161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93</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lang w:val="en-US" w:eastAsia="zh-CN"/>
            </w:rPr>
            <w:fldChar w:fldCharType="end"/>
          </w:r>
        </w:p>
        <w:p w14:paraId="3F5731FC">
          <w:pPr>
            <w:pStyle w:val="15"/>
            <w:tabs>
              <w:tab w:val="right" w:leader="dot" w:pos="8844"/>
            </w:tabs>
            <w:spacing w:line="48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fldChar w:fldCharType="begin"/>
          </w:r>
          <w:r>
            <w:rPr>
              <w:rFonts w:hint="default" w:ascii="Times New Roman" w:hAnsi="Times New Roman" w:eastAsia="宋体" w:cs="Times New Roman"/>
              <w:b/>
              <w:bCs/>
              <w:color w:val="auto"/>
              <w:sz w:val="24"/>
              <w:szCs w:val="24"/>
              <w:lang w:val="en-US" w:eastAsia="zh-CN"/>
            </w:rPr>
            <w:instrText xml:space="preserve"> HYPERLINK \l _Toc12125 </w:instrText>
          </w:r>
          <w:r>
            <w:rPr>
              <w:rFonts w:hint="default" w:ascii="Times New Roman" w:hAnsi="Times New Roman" w:eastAsia="宋体" w:cs="Times New Roman"/>
              <w:b/>
              <w:bCs/>
              <w:color w:val="auto"/>
              <w:sz w:val="24"/>
              <w:szCs w:val="24"/>
              <w:lang w:val="en-US" w:eastAsia="zh-CN"/>
            </w:rPr>
            <w:fldChar w:fldCharType="separate"/>
          </w:r>
          <w:r>
            <w:rPr>
              <w:rFonts w:hint="default" w:ascii="Times New Roman" w:hAnsi="Times New Roman" w:eastAsia="宋体" w:cs="Times New Roman"/>
              <w:b/>
              <w:bCs/>
              <w:color w:val="auto"/>
              <w:sz w:val="24"/>
              <w:szCs w:val="24"/>
            </w:rPr>
            <w:t>六、结论</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_Toc12125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98</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lang w:val="en-US" w:eastAsia="zh-CN"/>
            </w:rPr>
            <w:fldChar w:fldCharType="end"/>
          </w:r>
        </w:p>
        <w:p w14:paraId="6557CC83">
          <w:pPr>
            <w:pStyle w:val="15"/>
            <w:tabs>
              <w:tab w:val="right" w:leader="dot" w:pos="8844"/>
            </w:tabs>
            <w:spacing w:line="480" w:lineRule="auto"/>
            <w:rPr>
              <w:color w:val="auto"/>
            </w:rPr>
          </w:pPr>
          <w:r>
            <w:rPr>
              <w:rFonts w:hint="default" w:ascii="Times New Roman" w:hAnsi="Times New Roman" w:eastAsia="宋体" w:cs="Times New Roman"/>
              <w:b/>
              <w:bCs/>
              <w:color w:val="auto"/>
              <w:sz w:val="24"/>
              <w:szCs w:val="24"/>
              <w:lang w:val="en-US" w:eastAsia="zh-CN"/>
            </w:rPr>
            <w:fldChar w:fldCharType="begin"/>
          </w:r>
          <w:r>
            <w:rPr>
              <w:rFonts w:hint="default" w:ascii="Times New Roman" w:hAnsi="Times New Roman" w:eastAsia="宋体" w:cs="Times New Roman"/>
              <w:b/>
              <w:bCs/>
              <w:color w:val="auto"/>
              <w:sz w:val="24"/>
              <w:szCs w:val="24"/>
              <w:lang w:val="en-US" w:eastAsia="zh-CN"/>
            </w:rPr>
            <w:instrText xml:space="preserve"> HYPERLINK \l _Toc5722 </w:instrText>
          </w:r>
          <w:r>
            <w:rPr>
              <w:rFonts w:hint="default" w:ascii="Times New Roman" w:hAnsi="Times New Roman" w:eastAsia="宋体" w:cs="Times New Roman"/>
              <w:b/>
              <w:bCs/>
              <w:color w:val="auto"/>
              <w:sz w:val="24"/>
              <w:szCs w:val="24"/>
              <w:lang w:val="en-US" w:eastAsia="zh-CN"/>
            </w:rPr>
            <w:fldChar w:fldCharType="separate"/>
          </w:r>
          <w:r>
            <w:rPr>
              <w:rFonts w:hint="default" w:ascii="Times New Roman" w:hAnsi="Times New Roman" w:eastAsia="宋体" w:cs="Times New Roman"/>
              <w:b/>
              <w:bCs/>
              <w:snapToGrid w:val="0"/>
              <w:color w:val="auto"/>
              <w:sz w:val="24"/>
              <w:szCs w:val="24"/>
            </w:rPr>
            <w:t>附表</w:t>
          </w:r>
          <w:r>
            <w:rPr>
              <w:rFonts w:hint="default" w:ascii="Times New Roman" w:hAnsi="Times New Roman" w:eastAsia="宋体" w:cs="Times New Roman"/>
              <w:b/>
              <w:bCs/>
              <w:color w:val="auto"/>
              <w:sz w:val="24"/>
              <w:szCs w:val="24"/>
            </w:rPr>
            <w:tab/>
          </w: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PAGEREF _Toc5722 \h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99</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lang w:val="en-US" w:eastAsia="zh-CN"/>
            </w:rPr>
            <w:fldChar w:fldCharType="end"/>
          </w:r>
        </w:p>
        <w:p w14:paraId="18E6FCE9">
          <w:pPr>
            <w:pStyle w:val="2"/>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fldChar w:fldCharType="end"/>
          </w:r>
        </w:p>
      </w:sdtContent>
    </w:sdt>
    <w:p w14:paraId="1F46F48B">
      <w:pPr>
        <w:pStyle w:val="53"/>
        <w:spacing w:line="360" w:lineRule="auto"/>
        <w:ind w:left="0" w:leftChars="0" w:firstLine="0" w:firstLineChars="0"/>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附件</w:t>
      </w:r>
      <w:r>
        <w:rPr>
          <w:rFonts w:hint="default" w:ascii="Times New Roman" w:hAnsi="Times New Roman" w:eastAsia="宋体" w:cs="Times New Roman"/>
          <w:b/>
          <w:color w:val="auto"/>
          <w:sz w:val="24"/>
          <w:szCs w:val="24"/>
          <w:lang w:eastAsia="zh-CN"/>
        </w:rPr>
        <w:t>：</w:t>
      </w:r>
    </w:p>
    <w:p w14:paraId="660551D3">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附件1  委托书；</w:t>
      </w:r>
    </w:p>
    <w:p w14:paraId="6DECE2C8">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附件2  </w:t>
      </w:r>
      <w:r>
        <w:rPr>
          <w:rFonts w:hint="eastAsia" w:cs="Times New Roman"/>
          <w:color w:val="auto"/>
          <w:sz w:val="24"/>
          <w:szCs w:val="24"/>
          <w:lang w:val="en-US" w:eastAsia="zh-CN"/>
        </w:rPr>
        <w:t>项目投资备案证</w:t>
      </w:r>
      <w:r>
        <w:rPr>
          <w:rFonts w:hint="eastAsia" w:ascii="Times New Roman" w:hAnsi="Times New Roman" w:eastAsia="宋体" w:cs="Times New Roman"/>
          <w:color w:val="auto"/>
          <w:sz w:val="24"/>
          <w:szCs w:val="24"/>
          <w:lang w:val="en-US" w:eastAsia="zh-CN"/>
        </w:rPr>
        <w:t>；</w:t>
      </w:r>
    </w:p>
    <w:p w14:paraId="2C85AE5E">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牛栏江租房合同</w:t>
      </w:r>
      <w:r>
        <w:rPr>
          <w:rFonts w:hint="default" w:ascii="Times New Roman" w:hAnsi="Times New Roman" w:eastAsia="宋体" w:cs="Times New Roman"/>
          <w:color w:val="auto"/>
          <w:sz w:val="24"/>
          <w:szCs w:val="24"/>
          <w:lang w:val="en-US" w:eastAsia="zh-CN"/>
        </w:rPr>
        <w:t>；</w:t>
      </w:r>
    </w:p>
    <w:p w14:paraId="2F362DBE">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三区三线查询结果</w:t>
      </w:r>
      <w:r>
        <w:rPr>
          <w:rFonts w:hint="default" w:ascii="Times New Roman" w:hAnsi="Times New Roman" w:eastAsia="宋体" w:cs="Times New Roman"/>
          <w:color w:val="auto"/>
          <w:sz w:val="24"/>
          <w:szCs w:val="24"/>
          <w:lang w:val="en-US" w:eastAsia="zh-CN"/>
        </w:rPr>
        <w:t>；</w:t>
      </w:r>
    </w:p>
    <w:p w14:paraId="3D435DB5">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建设单位营业执照</w:t>
      </w:r>
      <w:r>
        <w:rPr>
          <w:rFonts w:hint="default" w:ascii="Times New Roman" w:hAnsi="Times New Roman" w:eastAsia="宋体" w:cs="Times New Roman"/>
          <w:color w:val="auto"/>
          <w:sz w:val="24"/>
          <w:szCs w:val="24"/>
          <w:lang w:val="en-US" w:eastAsia="zh-CN"/>
        </w:rPr>
        <w:t>；</w:t>
      </w:r>
    </w:p>
    <w:p w14:paraId="7E0EC10A">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附件</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环评合同</w:t>
      </w:r>
      <w:r>
        <w:rPr>
          <w:rFonts w:hint="default" w:ascii="Times New Roman" w:hAnsi="Times New Roman" w:eastAsia="宋体" w:cs="Times New Roman"/>
          <w:color w:val="auto"/>
          <w:sz w:val="24"/>
          <w:szCs w:val="24"/>
          <w:lang w:val="en-US" w:eastAsia="zh-CN"/>
        </w:rPr>
        <w:t>；</w:t>
      </w:r>
    </w:p>
    <w:p w14:paraId="0ECDDC58">
      <w:p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w:t>
      </w:r>
      <w:r>
        <w:rPr>
          <w:rFonts w:hint="eastAsia" w:cs="Times New Roman"/>
          <w:color w:val="auto"/>
          <w:sz w:val="24"/>
          <w:szCs w:val="24"/>
          <w:lang w:val="en-US" w:eastAsia="zh-CN"/>
        </w:rPr>
        <w:t xml:space="preserve">7  </w:t>
      </w:r>
      <w:r>
        <w:rPr>
          <w:rFonts w:hint="eastAsia" w:ascii="Times New Roman" w:hAnsi="Times New Roman" w:eastAsia="宋体" w:cs="Times New Roman"/>
          <w:color w:val="auto"/>
          <w:sz w:val="24"/>
          <w:szCs w:val="24"/>
          <w:lang w:val="en-US" w:eastAsia="zh-CN"/>
        </w:rPr>
        <w:t>项目进度表</w:t>
      </w:r>
      <w:r>
        <w:rPr>
          <w:rFonts w:hint="eastAsia" w:cs="Times New Roman"/>
          <w:color w:val="auto"/>
          <w:sz w:val="24"/>
          <w:szCs w:val="24"/>
          <w:lang w:val="en-US" w:eastAsia="zh-CN"/>
        </w:rPr>
        <w:t>；</w:t>
      </w:r>
    </w:p>
    <w:p w14:paraId="2A767243">
      <w:pPr>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附件</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val="en-US" w:eastAsia="zh-CN"/>
        </w:rPr>
        <w:t xml:space="preserve"> </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项目审核审定表</w:t>
      </w:r>
    </w:p>
    <w:p w14:paraId="340ABD67">
      <w:pPr>
        <w:adjustRightInd w:val="0"/>
        <w:snapToGrid w:val="0"/>
        <w:spacing w:line="480" w:lineRule="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rPr>
        <w:t>附图</w:t>
      </w:r>
      <w:r>
        <w:rPr>
          <w:rFonts w:hint="default" w:ascii="Times New Roman" w:hAnsi="Times New Roman" w:eastAsia="宋体" w:cs="Times New Roman"/>
          <w:b/>
          <w:color w:val="auto"/>
          <w:sz w:val="24"/>
          <w:szCs w:val="24"/>
          <w:lang w:eastAsia="zh-CN"/>
        </w:rPr>
        <w:t>：</w:t>
      </w:r>
    </w:p>
    <w:p w14:paraId="69F9F8BD">
      <w:pPr>
        <w:widowControl w:val="0"/>
        <w:snapToGrid w:val="0"/>
        <w:spacing w:line="360" w:lineRule="auto"/>
        <w:ind w:left="0" w:leftChars="0" w:firstLine="496" w:firstLineChars="200"/>
        <w:jc w:val="left"/>
        <w:rPr>
          <w:rFonts w:hint="default" w:ascii="Times New Roman" w:hAnsi="Times New Roman" w:eastAsia="宋体" w:cs="Times New Roman"/>
          <w:color w:val="auto"/>
          <w:spacing w:val="4"/>
          <w:kern w:val="24"/>
          <w:sz w:val="24"/>
          <w:szCs w:val="24"/>
          <w:lang w:val="zh-CN" w:eastAsia="zh-CN" w:bidi="ar-SA"/>
        </w:rPr>
      </w:pPr>
      <w:r>
        <w:rPr>
          <w:rFonts w:hint="default" w:ascii="Times New Roman" w:hAnsi="Times New Roman" w:eastAsia="宋体" w:cs="Times New Roman"/>
          <w:color w:val="auto"/>
          <w:spacing w:val="4"/>
          <w:kern w:val="24"/>
          <w:sz w:val="24"/>
          <w:szCs w:val="24"/>
          <w:lang w:val="zh-CN" w:eastAsia="zh-CN" w:bidi="ar-SA"/>
        </w:rPr>
        <w:t>附图1  项目地理位置图</w:t>
      </w:r>
    </w:p>
    <w:p w14:paraId="2A16E8DC">
      <w:pPr>
        <w:widowControl w:val="0"/>
        <w:snapToGrid w:val="0"/>
        <w:spacing w:line="360" w:lineRule="auto"/>
        <w:ind w:left="0" w:leftChars="0" w:firstLine="496" w:firstLineChars="200"/>
        <w:jc w:val="left"/>
        <w:rPr>
          <w:rFonts w:hint="default" w:ascii="Times New Roman" w:hAnsi="Times New Roman" w:eastAsia="宋体" w:cs="Times New Roman"/>
          <w:color w:val="auto"/>
          <w:spacing w:val="4"/>
          <w:kern w:val="24"/>
          <w:sz w:val="24"/>
          <w:szCs w:val="24"/>
          <w:lang w:val="zh-CN" w:eastAsia="zh-CN" w:bidi="ar-SA"/>
        </w:rPr>
      </w:pPr>
      <w:r>
        <w:rPr>
          <w:rFonts w:hint="default" w:ascii="Times New Roman" w:hAnsi="Times New Roman" w:eastAsia="宋体" w:cs="Times New Roman"/>
          <w:color w:val="auto"/>
          <w:spacing w:val="4"/>
          <w:kern w:val="24"/>
          <w:sz w:val="24"/>
          <w:szCs w:val="24"/>
          <w:lang w:val="zh-CN" w:eastAsia="zh-CN" w:bidi="ar-SA"/>
        </w:rPr>
        <w:t>附图2  项目</w:t>
      </w:r>
      <w:r>
        <w:rPr>
          <w:rFonts w:hint="default" w:ascii="Times New Roman" w:hAnsi="Times New Roman" w:eastAsia="宋体" w:cs="Times New Roman"/>
          <w:color w:val="auto"/>
          <w:spacing w:val="4"/>
          <w:kern w:val="24"/>
          <w:sz w:val="24"/>
          <w:szCs w:val="24"/>
          <w:lang w:val="en-US" w:eastAsia="zh-CN" w:bidi="ar-SA"/>
        </w:rPr>
        <w:t>区域</w:t>
      </w:r>
      <w:r>
        <w:rPr>
          <w:rFonts w:hint="default" w:ascii="Times New Roman" w:hAnsi="Times New Roman" w:eastAsia="宋体" w:cs="Times New Roman"/>
          <w:color w:val="auto"/>
          <w:spacing w:val="4"/>
          <w:kern w:val="24"/>
          <w:sz w:val="24"/>
          <w:szCs w:val="24"/>
          <w:lang w:val="zh-CN" w:eastAsia="zh-CN" w:bidi="ar-SA"/>
        </w:rPr>
        <w:t>水系图</w:t>
      </w:r>
    </w:p>
    <w:p w14:paraId="292FC543">
      <w:pPr>
        <w:widowControl w:val="0"/>
        <w:snapToGrid w:val="0"/>
        <w:spacing w:line="360" w:lineRule="auto"/>
        <w:ind w:left="0" w:leftChars="0" w:firstLine="496" w:firstLineChars="200"/>
        <w:jc w:val="left"/>
        <w:rPr>
          <w:rFonts w:hint="default" w:ascii="Times New Roman" w:hAnsi="Times New Roman" w:eastAsia="宋体" w:cs="Times New Roman"/>
          <w:color w:val="auto"/>
          <w:spacing w:val="4"/>
          <w:kern w:val="24"/>
          <w:sz w:val="24"/>
          <w:szCs w:val="24"/>
          <w:lang w:val="zh-CN" w:eastAsia="zh-CN" w:bidi="ar-SA"/>
        </w:rPr>
      </w:pPr>
      <w:r>
        <w:rPr>
          <w:rFonts w:hint="default" w:ascii="Times New Roman" w:hAnsi="Times New Roman" w:eastAsia="宋体" w:cs="Times New Roman"/>
          <w:color w:val="auto"/>
          <w:spacing w:val="4"/>
          <w:kern w:val="24"/>
          <w:sz w:val="24"/>
          <w:szCs w:val="24"/>
          <w:lang w:val="zh-CN" w:eastAsia="zh-CN" w:bidi="ar-SA"/>
        </w:rPr>
        <w:t>附图3  项目</w:t>
      </w:r>
      <w:r>
        <w:rPr>
          <w:rFonts w:hint="eastAsia" w:ascii="Times New Roman" w:hAnsi="Times New Roman" w:eastAsia="宋体" w:cs="Times New Roman"/>
          <w:color w:val="auto"/>
          <w:spacing w:val="4"/>
          <w:kern w:val="24"/>
          <w:sz w:val="24"/>
          <w:szCs w:val="24"/>
          <w:lang w:val="en-US" w:eastAsia="zh-CN" w:bidi="ar-SA"/>
        </w:rPr>
        <w:t>总平面布置图</w:t>
      </w:r>
    </w:p>
    <w:p w14:paraId="3839787F">
      <w:pPr>
        <w:widowControl w:val="0"/>
        <w:snapToGrid w:val="0"/>
        <w:spacing w:line="360" w:lineRule="auto"/>
        <w:ind w:left="0" w:leftChars="0" w:firstLine="496" w:firstLineChars="200"/>
        <w:jc w:val="left"/>
        <w:rPr>
          <w:rFonts w:hint="default" w:ascii="Times New Roman" w:hAnsi="Times New Roman" w:eastAsia="宋体" w:cs="Times New Roman"/>
          <w:color w:val="auto"/>
          <w:spacing w:val="4"/>
          <w:kern w:val="24"/>
          <w:sz w:val="24"/>
          <w:szCs w:val="24"/>
          <w:lang w:val="en-US" w:eastAsia="zh-CN" w:bidi="ar-SA"/>
        </w:rPr>
      </w:pPr>
      <w:r>
        <w:rPr>
          <w:rFonts w:hint="eastAsia" w:ascii="Times New Roman" w:hAnsi="Times New Roman" w:eastAsia="宋体" w:cs="Times New Roman"/>
          <w:color w:val="auto"/>
          <w:spacing w:val="4"/>
          <w:kern w:val="24"/>
          <w:sz w:val="24"/>
          <w:szCs w:val="24"/>
          <w:lang w:val="en-US" w:eastAsia="zh-CN" w:bidi="ar-SA"/>
        </w:rPr>
        <w:t>附图4  项目环境保护目标分布图</w:t>
      </w:r>
    </w:p>
    <w:bookmarkEnd w:id="0"/>
    <w:p w14:paraId="65AD1893">
      <w:pPr>
        <w:adjustRightInd w:val="0"/>
        <w:snapToGrid w:val="0"/>
        <w:spacing w:line="288" w:lineRule="auto"/>
        <w:ind w:firstLine="496" w:firstLineChars="200"/>
        <w:jc w:val="both"/>
        <w:outlineLvl w:val="9"/>
        <w:rPr>
          <w:rFonts w:hint="eastAsia" w:ascii="楷体" w:hAnsi="楷体" w:eastAsia="楷体" w:cs="楷体"/>
          <w:color w:val="auto"/>
          <w:sz w:val="36"/>
          <w:szCs w:val="36"/>
        </w:rPr>
      </w:pPr>
      <w:r>
        <w:rPr>
          <w:rFonts w:hint="eastAsia" w:ascii="Times New Roman" w:hAnsi="Times New Roman" w:eastAsia="宋体" w:cs="Times New Roman"/>
          <w:color w:val="auto"/>
          <w:spacing w:val="4"/>
          <w:kern w:val="24"/>
          <w:sz w:val="24"/>
          <w:szCs w:val="24"/>
          <w:lang w:val="en-US" w:eastAsia="zh-CN" w:bidi="ar-SA"/>
        </w:rPr>
        <w:t xml:space="preserve">附图5 </w:t>
      </w:r>
      <w:r>
        <w:rPr>
          <w:rFonts w:hint="eastAsia" w:cs="Times New Roman"/>
          <w:color w:val="auto"/>
          <w:spacing w:val="4"/>
          <w:kern w:val="24"/>
          <w:sz w:val="24"/>
          <w:szCs w:val="24"/>
          <w:lang w:val="en-US" w:eastAsia="zh-CN" w:bidi="ar-SA"/>
        </w:rPr>
        <w:t xml:space="preserve"> </w:t>
      </w:r>
      <w:r>
        <w:rPr>
          <w:rFonts w:hint="eastAsia" w:ascii="Times New Roman" w:hAnsi="Times New Roman" w:eastAsia="宋体" w:cs="Times New Roman"/>
          <w:color w:val="auto"/>
          <w:spacing w:val="4"/>
          <w:kern w:val="24"/>
          <w:sz w:val="24"/>
          <w:szCs w:val="24"/>
          <w:lang w:val="en-US" w:eastAsia="zh-CN" w:bidi="ar-SA"/>
        </w:rPr>
        <w:t>项目声功能区划位置图</w:t>
      </w:r>
    </w:p>
    <w:p w14:paraId="4BF7F066">
      <w:pPr>
        <w:adjustRightInd w:val="0"/>
        <w:snapToGrid w:val="0"/>
        <w:spacing w:line="288" w:lineRule="auto"/>
        <w:ind w:firstLine="1040"/>
        <w:outlineLvl w:val="9"/>
        <w:rPr>
          <w:rFonts w:hint="default" w:ascii="Times New Roman" w:hAnsi="Times New Roman" w:eastAsia="宋体" w:cs="Times New Roman"/>
          <w:color w:val="auto"/>
          <w:sz w:val="36"/>
          <w:szCs w:val="36"/>
        </w:rPr>
        <w:sectPr>
          <w:pgSz w:w="11906" w:h="16838"/>
          <w:pgMar w:top="1701" w:right="1531" w:bottom="1701" w:left="1531" w:header="851" w:footer="1077" w:gutter="0"/>
          <w:pgNumType w:start="3"/>
          <w:cols w:space="720" w:num="1"/>
          <w:docGrid w:linePitch="312" w:charSpace="0"/>
        </w:sectPr>
      </w:pPr>
    </w:p>
    <w:p w14:paraId="516F080A">
      <w:pPr>
        <w:pStyle w:val="17"/>
        <w:adjustRightInd w:val="0"/>
        <w:snapToGrid w:val="0"/>
        <w:spacing w:before="0" w:beforeAutospacing="0" w:after="0" w:afterAutospacing="0"/>
        <w:jc w:val="center"/>
        <w:outlineLvl w:val="0"/>
        <w:rPr>
          <w:rFonts w:hint="default" w:ascii="Times New Roman" w:hAnsi="Times New Roman" w:eastAsia="宋体" w:cs="Times New Roman"/>
          <w:b/>
          <w:bCs/>
          <w:snapToGrid w:val="0"/>
          <w:color w:val="auto"/>
          <w:sz w:val="28"/>
          <w:szCs w:val="28"/>
        </w:rPr>
      </w:pPr>
      <w:bookmarkStart w:id="1" w:name="_Toc5461"/>
      <w:r>
        <w:rPr>
          <w:rFonts w:hint="default" w:ascii="Times New Roman" w:hAnsi="Times New Roman" w:eastAsia="宋体" w:cs="Times New Roman"/>
          <w:b/>
          <w:bCs/>
          <w:snapToGrid w:val="0"/>
          <w:color w:val="auto"/>
          <w:sz w:val="28"/>
          <w:szCs w:val="28"/>
        </w:rPr>
        <w:t>一、建设项目基本情况</w:t>
      </w:r>
      <w:bookmarkEnd w:id="1"/>
    </w:p>
    <w:tbl>
      <w:tblPr>
        <w:tblStyle w:val="2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935"/>
        <w:gridCol w:w="2355"/>
        <w:gridCol w:w="1839"/>
        <w:gridCol w:w="2741"/>
      </w:tblGrid>
      <w:tr w14:paraId="18D8D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5" w:type="dxa"/>
            <w:noWrap w:val="0"/>
            <w:tcMar>
              <w:top w:w="16" w:type="dxa"/>
              <w:left w:w="16" w:type="dxa"/>
              <w:right w:w="16" w:type="dxa"/>
            </w:tcMar>
            <w:vAlign w:val="center"/>
          </w:tcPr>
          <w:p w14:paraId="08A0B63D">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建设项目名称</w:t>
            </w:r>
          </w:p>
        </w:tc>
        <w:tc>
          <w:tcPr>
            <w:tcW w:w="6935" w:type="dxa"/>
            <w:gridSpan w:val="3"/>
            <w:noWrap w:val="0"/>
            <w:vAlign w:val="center"/>
          </w:tcPr>
          <w:p w14:paraId="2BC196DA">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云南恒禹检测技术服务有限公司水质检测中心项目</w:t>
            </w:r>
          </w:p>
        </w:tc>
      </w:tr>
      <w:tr w14:paraId="675DCA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5" w:type="dxa"/>
            <w:noWrap w:val="0"/>
            <w:tcMar>
              <w:top w:w="16" w:type="dxa"/>
              <w:left w:w="16" w:type="dxa"/>
              <w:right w:w="16" w:type="dxa"/>
            </w:tcMar>
            <w:vAlign w:val="center"/>
          </w:tcPr>
          <w:p w14:paraId="1A6186D0">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项目代码</w:t>
            </w:r>
          </w:p>
        </w:tc>
        <w:tc>
          <w:tcPr>
            <w:tcW w:w="6935" w:type="dxa"/>
            <w:gridSpan w:val="3"/>
            <w:noWrap w:val="0"/>
            <w:vAlign w:val="center"/>
          </w:tcPr>
          <w:p w14:paraId="7C45BBA5">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2502-530103-04-01-284342</w:t>
            </w:r>
          </w:p>
        </w:tc>
      </w:tr>
      <w:tr w14:paraId="2D9295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5" w:type="dxa"/>
            <w:noWrap w:val="0"/>
            <w:tcMar>
              <w:top w:w="16" w:type="dxa"/>
              <w:left w:w="16" w:type="dxa"/>
              <w:right w:w="16" w:type="dxa"/>
            </w:tcMar>
            <w:vAlign w:val="center"/>
          </w:tcPr>
          <w:p w14:paraId="2DDC7D49">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建设单位联系人</w:t>
            </w:r>
          </w:p>
        </w:tc>
        <w:tc>
          <w:tcPr>
            <w:tcW w:w="2355" w:type="dxa"/>
            <w:noWrap w:val="0"/>
            <w:vAlign w:val="center"/>
          </w:tcPr>
          <w:p w14:paraId="29D5D91E">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p>
        </w:tc>
        <w:tc>
          <w:tcPr>
            <w:tcW w:w="1839" w:type="dxa"/>
            <w:noWrap w:val="0"/>
            <w:vAlign w:val="center"/>
          </w:tcPr>
          <w:p w14:paraId="462209AC">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联系方式</w:t>
            </w:r>
          </w:p>
        </w:tc>
        <w:tc>
          <w:tcPr>
            <w:tcW w:w="2741" w:type="dxa"/>
            <w:noWrap w:val="0"/>
            <w:vAlign w:val="center"/>
          </w:tcPr>
          <w:p w14:paraId="722C8F7C">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p>
        </w:tc>
      </w:tr>
      <w:tr w14:paraId="746708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5" w:type="dxa"/>
            <w:noWrap w:val="0"/>
            <w:tcMar>
              <w:top w:w="16" w:type="dxa"/>
              <w:left w:w="16" w:type="dxa"/>
              <w:right w:w="16" w:type="dxa"/>
            </w:tcMar>
            <w:vAlign w:val="center"/>
          </w:tcPr>
          <w:p w14:paraId="12EEB0A5">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建设地点</w:t>
            </w:r>
          </w:p>
        </w:tc>
        <w:tc>
          <w:tcPr>
            <w:tcW w:w="6935" w:type="dxa"/>
            <w:gridSpan w:val="3"/>
            <w:noWrap w:val="0"/>
            <w:vAlign w:val="center"/>
          </w:tcPr>
          <w:p w14:paraId="34822EF9">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云南省昆明市盘龙区龙泉街道</w:t>
            </w:r>
          </w:p>
        </w:tc>
      </w:tr>
      <w:tr w14:paraId="3E205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5" w:type="dxa"/>
            <w:noWrap w:val="0"/>
            <w:tcMar>
              <w:top w:w="16" w:type="dxa"/>
              <w:left w:w="16" w:type="dxa"/>
              <w:right w:w="16" w:type="dxa"/>
            </w:tcMar>
            <w:vAlign w:val="center"/>
          </w:tcPr>
          <w:p w14:paraId="4B456BF6">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地理坐标</w:t>
            </w:r>
          </w:p>
        </w:tc>
        <w:tc>
          <w:tcPr>
            <w:tcW w:w="6935" w:type="dxa"/>
            <w:gridSpan w:val="3"/>
            <w:noWrap w:val="0"/>
            <w:vAlign w:val="center"/>
          </w:tcPr>
          <w:p w14:paraId="2C11D0FB">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w:t>
            </w:r>
            <w:r>
              <w:rPr>
                <w:rFonts w:hint="eastAsia" w:ascii="Times New Roman" w:hAnsi="Times New Roman" w:eastAsia="宋体" w:cs="Times New Roman"/>
                <w:color w:val="auto"/>
                <w:sz w:val="21"/>
                <w:szCs w:val="21"/>
                <w:vertAlign w:val="baseline"/>
                <w:lang w:val="en-US" w:eastAsia="zh-CN"/>
              </w:rPr>
              <w:t>东经</w:t>
            </w:r>
            <w:r>
              <w:rPr>
                <w:rFonts w:hint="eastAsia" w:ascii="Times New Roman" w:hAnsi="Times New Roman" w:eastAsia="宋体" w:cs="Times New Roman"/>
                <w:color w:val="auto"/>
                <w:sz w:val="21"/>
                <w:szCs w:val="21"/>
                <w:u w:val="single"/>
                <w:vertAlign w:val="baseline"/>
                <w:lang w:val="en-US" w:eastAsia="zh-CN"/>
              </w:rPr>
              <w:t>102</w:t>
            </w:r>
            <w:r>
              <w:rPr>
                <w:rFonts w:hint="default" w:ascii="Times New Roman" w:hAnsi="Times New Roman" w:eastAsia="宋体" w:cs="Times New Roman"/>
                <w:color w:val="auto"/>
                <w:sz w:val="21"/>
                <w:szCs w:val="21"/>
                <w:vertAlign w:val="baseline"/>
                <w:lang w:val="en-US" w:eastAsia="zh-CN"/>
              </w:rPr>
              <w:t>度</w:t>
            </w:r>
            <w:r>
              <w:rPr>
                <w:rFonts w:hint="eastAsia" w:ascii="Times New Roman" w:hAnsi="Times New Roman" w:eastAsia="宋体" w:cs="Times New Roman"/>
                <w:color w:val="auto"/>
                <w:sz w:val="21"/>
                <w:szCs w:val="21"/>
                <w:u w:val="single"/>
                <w:vertAlign w:val="baseline"/>
                <w:lang w:val="en-US" w:eastAsia="zh-CN"/>
              </w:rPr>
              <w:t>45</w:t>
            </w:r>
            <w:r>
              <w:rPr>
                <w:rFonts w:hint="default" w:ascii="Times New Roman" w:hAnsi="Times New Roman" w:eastAsia="宋体" w:cs="Times New Roman"/>
                <w:color w:val="auto"/>
                <w:sz w:val="21"/>
                <w:szCs w:val="21"/>
                <w:vertAlign w:val="baseline"/>
                <w:lang w:val="en-US" w:eastAsia="zh-CN"/>
              </w:rPr>
              <w:t>分</w:t>
            </w:r>
            <w:r>
              <w:rPr>
                <w:rFonts w:hint="eastAsia" w:ascii="Times New Roman" w:hAnsi="Times New Roman" w:eastAsia="宋体" w:cs="Times New Roman"/>
                <w:color w:val="auto"/>
                <w:sz w:val="21"/>
                <w:szCs w:val="21"/>
                <w:u w:val="single"/>
                <w:vertAlign w:val="baseline"/>
                <w:lang w:val="en-US" w:eastAsia="zh-CN"/>
              </w:rPr>
              <w:t>51.56</w:t>
            </w:r>
            <w:r>
              <w:rPr>
                <w:rFonts w:hint="eastAsia" w:cs="Times New Roman"/>
                <w:color w:val="auto"/>
                <w:sz w:val="21"/>
                <w:szCs w:val="21"/>
                <w:u w:val="single"/>
                <w:vertAlign w:val="baseline"/>
                <w:lang w:val="en-US" w:eastAsia="zh-CN"/>
              </w:rPr>
              <w:t>2</w:t>
            </w:r>
            <w:r>
              <w:rPr>
                <w:rFonts w:hint="default" w:ascii="Times New Roman" w:hAnsi="Times New Roman" w:eastAsia="宋体" w:cs="Times New Roman"/>
                <w:color w:val="auto"/>
                <w:sz w:val="21"/>
                <w:szCs w:val="21"/>
                <w:vertAlign w:val="baseline"/>
                <w:lang w:val="en-US" w:eastAsia="zh-CN"/>
              </w:rPr>
              <w:t>秒</w:t>
            </w:r>
            <w:r>
              <w:rPr>
                <w:rFonts w:hint="eastAsia" w:ascii="Times New Roman" w:hAnsi="Times New Roman" w:eastAsia="宋体" w:cs="Times New Roman"/>
                <w:color w:val="auto"/>
                <w:sz w:val="21"/>
                <w:szCs w:val="21"/>
                <w:vertAlign w:val="baseline"/>
                <w:lang w:val="en-US" w:eastAsia="zh-CN"/>
              </w:rPr>
              <w:t>，北纬</w:t>
            </w:r>
            <w:r>
              <w:rPr>
                <w:rFonts w:hint="eastAsia" w:ascii="Times New Roman" w:hAnsi="Times New Roman" w:eastAsia="宋体" w:cs="Times New Roman"/>
                <w:color w:val="auto"/>
                <w:sz w:val="21"/>
                <w:szCs w:val="21"/>
                <w:u w:val="single"/>
                <w:vertAlign w:val="baseline"/>
                <w:lang w:val="en-US" w:eastAsia="zh-CN"/>
              </w:rPr>
              <w:t>25</w:t>
            </w:r>
            <w:r>
              <w:rPr>
                <w:rFonts w:hint="default" w:ascii="Times New Roman" w:hAnsi="Times New Roman" w:eastAsia="宋体" w:cs="Times New Roman"/>
                <w:color w:val="auto"/>
                <w:sz w:val="21"/>
                <w:szCs w:val="21"/>
                <w:vertAlign w:val="baseline"/>
                <w:lang w:val="en-US" w:eastAsia="zh-CN"/>
              </w:rPr>
              <w:t>度</w:t>
            </w:r>
            <w:r>
              <w:rPr>
                <w:rFonts w:hint="eastAsia" w:ascii="Times New Roman" w:hAnsi="Times New Roman" w:eastAsia="宋体" w:cs="Times New Roman"/>
                <w:color w:val="auto"/>
                <w:sz w:val="21"/>
                <w:szCs w:val="21"/>
                <w:u w:val="single"/>
                <w:vertAlign w:val="baseline"/>
                <w:lang w:val="en-US" w:eastAsia="zh-CN"/>
              </w:rPr>
              <w:t>7</w:t>
            </w:r>
            <w:r>
              <w:rPr>
                <w:rFonts w:hint="default" w:ascii="Times New Roman" w:hAnsi="Times New Roman" w:eastAsia="宋体" w:cs="Times New Roman"/>
                <w:color w:val="auto"/>
                <w:sz w:val="21"/>
                <w:szCs w:val="21"/>
                <w:vertAlign w:val="baseline"/>
                <w:lang w:val="en-US" w:eastAsia="zh-CN"/>
              </w:rPr>
              <w:t>分</w:t>
            </w:r>
            <w:r>
              <w:rPr>
                <w:rFonts w:hint="default" w:ascii="Times New Roman" w:hAnsi="Times New Roman" w:eastAsia="宋体" w:cs="Times New Roman"/>
                <w:color w:val="auto"/>
                <w:sz w:val="21"/>
                <w:szCs w:val="21"/>
                <w:u w:val="single"/>
                <w:vertAlign w:val="baseline"/>
                <w:lang w:val="en-US" w:eastAsia="zh-CN"/>
              </w:rPr>
              <w:t>40.450</w:t>
            </w:r>
            <w:r>
              <w:rPr>
                <w:rFonts w:hint="default" w:ascii="Times New Roman" w:hAnsi="Times New Roman" w:eastAsia="宋体" w:cs="Times New Roman"/>
                <w:color w:val="auto"/>
                <w:sz w:val="21"/>
                <w:szCs w:val="21"/>
                <w:vertAlign w:val="baseline"/>
                <w:lang w:val="en-US" w:eastAsia="zh-CN"/>
              </w:rPr>
              <w:t>秒）</w:t>
            </w:r>
          </w:p>
        </w:tc>
      </w:tr>
      <w:tr w14:paraId="36B58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35" w:type="dxa"/>
            <w:noWrap w:val="0"/>
            <w:tcMar>
              <w:top w:w="16" w:type="dxa"/>
              <w:left w:w="16" w:type="dxa"/>
              <w:right w:w="16" w:type="dxa"/>
            </w:tcMar>
            <w:vAlign w:val="center"/>
          </w:tcPr>
          <w:p w14:paraId="7E8AB26C">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国民经济</w:t>
            </w:r>
          </w:p>
          <w:p w14:paraId="7B1BBB78">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行业类别</w:t>
            </w:r>
          </w:p>
        </w:tc>
        <w:tc>
          <w:tcPr>
            <w:tcW w:w="2355" w:type="dxa"/>
            <w:noWrap w:val="0"/>
            <w:vAlign w:val="center"/>
          </w:tcPr>
          <w:p w14:paraId="4FE33B28">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M7461环境保护监测</w:t>
            </w:r>
          </w:p>
        </w:tc>
        <w:tc>
          <w:tcPr>
            <w:tcW w:w="1839" w:type="dxa"/>
            <w:noWrap w:val="0"/>
            <w:vAlign w:val="center"/>
          </w:tcPr>
          <w:p w14:paraId="60B493EA">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bookmarkStart w:id="2" w:name="_Hlk49843745"/>
            <w:r>
              <w:rPr>
                <w:rFonts w:hint="default" w:ascii="Times New Roman" w:hAnsi="Times New Roman" w:eastAsia="宋体" w:cs="Times New Roman"/>
                <w:b/>
                <w:bCs/>
                <w:color w:val="auto"/>
                <w:sz w:val="21"/>
                <w:szCs w:val="21"/>
                <w:vertAlign w:val="baseline"/>
                <w:lang w:val="en-US" w:eastAsia="zh-CN"/>
              </w:rPr>
              <w:t>建设项目</w:t>
            </w:r>
          </w:p>
          <w:p w14:paraId="513B4BCB">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行业类别</w:t>
            </w:r>
            <w:bookmarkEnd w:id="2"/>
          </w:p>
        </w:tc>
        <w:tc>
          <w:tcPr>
            <w:tcW w:w="2741" w:type="dxa"/>
            <w:noWrap w:val="0"/>
            <w:vAlign w:val="center"/>
          </w:tcPr>
          <w:p w14:paraId="439FADCC">
            <w:pPr>
              <w:spacing w:line="360" w:lineRule="auto"/>
              <w:jc w:val="both"/>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四十五、研究和试验发展，98.专业实验室、研发（试验）基地中的“其他（不产生实验废气、废水、危险废物的除外）”</w:t>
            </w:r>
          </w:p>
        </w:tc>
      </w:tr>
      <w:tr w14:paraId="69CA66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35" w:type="dxa"/>
            <w:noWrap w:val="0"/>
            <w:tcMar>
              <w:top w:w="16" w:type="dxa"/>
              <w:left w:w="16" w:type="dxa"/>
              <w:right w:w="16" w:type="dxa"/>
            </w:tcMar>
            <w:vAlign w:val="center"/>
          </w:tcPr>
          <w:p w14:paraId="219DF82A">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建设性质</w:t>
            </w:r>
          </w:p>
        </w:tc>
        <w:tc>
          <w:tcPr>
            <w:tcW w:w="2355" w:type="dxa"/>
            <w:noWrap w:val="0"/>
            <w:vAlign w:val="center"/>
          </w:tcPr>
          <w:p w14:paraId="697DE618">
            <w:pPr>
              <w:spacing w:line="360" w:lineRule="auto"/>
              <w:jc w:val="left"/>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2" w:char="0052"/>
            </w:r>
            <w:r>
              <w:rPr>
                <w:rFonts w:hint="default" w:ascii="Times New Roman" w:hAnsi="Times New Roman" w:eastAsia="宋体" w:cs="Times New Roman"/>
                <w:color w:val="auto"/>
                <w:sz w:val="21"/>
                <w:szCs w:val="21"/>
                <w:vertAlign w:val="baseline"/>
                <w:lang w:val="en-US" w:eastAsia="zh-CN"/>
              </w:rPr>
              <w:t>新建（迁建）</w:t>
            </w:r>
          </w:p>
          <w:p w14:paraId="16EDA9BA">
            <w:pPr>
              <w:spacing w:line="360" w:lineRule="auto"/>
              <w:jc w:val="left"/>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2" w:char="00A3"/>
            </w:r>
            <w:r>
              <w:rPr>
                <w:rFonts w:hint="default" w:ascii="Times New Roman" w:hAnsi="Times New Roman" w:eastAsia="宋体" w:cs="Times New Roman"/>
                <w:color w:val="auto"/>
                <w:sz w:val="21"/>
                <w:szCs w:val="21"/>
                <w:vertAlign w:val="baseline"/>
                <w:lang w:val="en-US" w:eastAsia="zh-CN"/>
              </w:rPr>
              <w:t>改建</w:t>
            </w:r>
          </w:p>
          <w:p w14:paraId="753C0275">
            <w:pPr>
              <w:spacing w:line="360" w:lineRule="auto"/>
              <w:jc w:val="left"/>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2" w:char="00A3"/>
            </w:r>
            <w:r>
              <w:rPr>
                <w:rFonts w:hint="default" w:ascii="Times New Roman" w:hAnsi="Times New Roman" w:eastAsia="宋体" w:cs="Times New Roman"/>
                <w:color w:val="auto"/>
                <w:sz w:val="21"/>
                <w:szCs w:val="21"/>
                <w:vertAlign w:val="baseline"/>
                <w:lang w:val="en-US" w:eastAsia="zh-CN"/>
              </w:rPr>
              <w:t>扩建</w:t>
            </w:r>
          </w:p>
          <w:p w14:paraId="7F372724">
            <w:pPr>
              <w:spacing w:line="360" w:lineRule="auto"/>
              <w:jc w:val="left"/>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2" w:char="00A3"/>
            </w:r>
            <w:r>
              <w:rPr>
                <w:rFonts w:hint="default" w:ascii="Times New Roman" w:hAnsi="Times New Roman" w:eastAsia="宋体" w:cs="Times New Roman"/>
                <w:color w:val="auto"/>
                <w:sz w:val="21"/>
                <w:szCs w:val="21"/>
                <w:vertAlign w:val="baseline"/>
                <w:lang w:val="en-US" w:eastAsia="zh-CN"/>
              </w:rPr>
              <w:t>技术改造</w:t>
            </w:r>
          </w:p>
        </w:tc>
        <w:tc>
          <w:tcPr>
            <w:tcW w:w="1839" w:type="dxa"/>
            <w:noWrap w:val="0"/>
            <w:vAlign w:val="center"/>
          </w:tcPr>
          <w:p w14:paraId="68EB635A">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建设项目</w:t>
            </w:r>
          </w:p>
          <w:p w14:paraId="46C0665D">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申报情形</w:t>
            </w:r>
          </w:p>
        </w:tc>
        <w:tc>
          <w:tcPr>
            <w:tcW w:w="2741" w:type="dxa"/>
            <w:noWrap w:val="0"/>
            <w:vAlign w:val="center"/>
          </w:tcPr>
          <w:p w14:paraId="1EBC0AF7">
            <w:pPr>
              <w:spacing w:line="360" w:lineRule="auto"/>
              <w:jc w:val="left"/>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2" w:char="0052"/>
            </w:r>
            <w:r>
              <w:rPr>
                <w:rFonts w:hint="default" w:ascii="Times New Roman" w:hAnsi="Times New Roman" w:eastAsia="宋体" w:cs="Times New Roman"/>
                <w:color w:val="auto"/>
                <w:sz w:val="21"/>
                <w:szCs w:val="21"/>
                <w:vertAlign w:val="baseline"/>
                <w:lang w:val="en-US" w:eastAsia="zh-CN"/>
              </w:rPr>
              <w:t xml:space="preserve">首次申报项目             </w:t>
            </w:r>
          </w:p>
          <w:p w14:paraId="2610C839">
            <w:pPr>
              <w:spacing w:line="360" w:lineRule="auto"/>
              <w:jc w:val="left"/>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2" w:char="00A3"/>
            </w:r>
            <w:r>
              <w:rPr>
                <w:rFonts w:hint="default" w:ascii="Times New Roman" w:hAnsi="Times New Roman" w:eastAsia="宋体" w:cs="Times New Roman"/>
                <w:color w:val="auto"/>
                <w:sz w:val="21"/>
                <w:szCs w:val="21"/>
                <w:vertAlign w:val="baseline"/>
                <w:lang w:val="en-US" w:eastAsia="zh-CN"/>
              </w:rPr>
              <w:t>不予批准后再次申报项目</w:t>
            </w:r>
          </w:p>
          <w:p w14:paraId="665A8D1A">
            <w:pPr>
              <w:spacing w:line="360" w:lineRule="auto"/>
              <w:jc w:val="left"/>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2" w:char="00A3"/>
            </w:r>
            <w:r>
              <w:rPr>
                <w:rFonts w:hint="default" w:ascii="Times New Roman" w:hAnsi="Times New Roman" w:eastAsia="宋体" w:cs="Times New Roman"/>
                <w:color w:val="auto"/>
                <w:sz w:val="21"/>
                <w:szCs w:val="21"/>
                <w:vertAlign w:val="baseline"/>
                <w:lang w:val="en-US" w:eastAsia="zh-CN"/>
              </w:rPr>
              <w:t xml:space="preserve">超五年重新审核项目     </w:t>
            </w:r>
          </w:p>
          <w:p w14:paraId="2F51F1AA">
            <w:pPr>
              <w:spacing w:line="360" w:lineRule="auto"/>
              <w:jc w:val="left"/>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sym w:font="Wingdings 2" w:char="00A3"/>
            </w:r>
            <w:r>
              <w:rPr>
                <w:rFonts w:hint="default" w:ascii="Times New Roman" w:hAnsi="Times New Roman" w:eastAsia="宋体" w:cs="Times New Roman"/>
                <w:color w:val="auto"/>
                <w:sz w:val="21"/>
                <w:szCs w:val="21"/>
                <w:vertAlign w:val="baseline"/>
                <w:lang w:val="en-US" w:eastAsia="zh-CN"/>
              </w:rPr>
              <w:t>重大变动重新报批项目</w:t>
            </w:r>
          </w:p>
        </w:tc>
      </w:tr>
      <w:tr w14:paraId="43D04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35" w:type="dxa"/>
            <w:noWrap w:val="0"/>
            <w:tcMar>
              <w:top w:w="16" w:type="dxa"/>
              <w:left w:w="16" w:type="dxa"/>
              <w:right w:w="16" w:type="dxa"/>
            </w:tcMar>
            <w:vAlign w:val="center"/>
          </w:tcPr>
          <w:p w14:paraId="3D9BAF26">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项目审批（核准/</w:t>
            </w:r>
          </w:p>
          <w:p w14:paraId="13ACD717">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备案）部门（选填）</w:t>
            </w:r>
          </w:p>
        </w:tc>
        <w:tc>
          <w:tcPr>
            <w:tcW w:w="2355" w:type="dxa"/>
            <w:noWrap w:val="0"/>
            <w:vAlign w:val="center"/>
          </w:tcPr>
          <w:p w14:paraId="799E6DE5">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盘龙区发展和改革局</w:t>
            </w:r>
          </w:p>
        </w:tc>
        <w:tc>
          <w:tcPr>
            <w:tcW w:w="1839" w:type="dxa"/>
            <w:noWrap w:val="0"/>
            <w:vAlign w:val="center"/>
          </w:tcPr>
          <w:p w14:paraId="0CF744C4">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项目审批（核准/</w:t>
            </w:r>
          </w:p>
          <w:p w14:paraId="2929D090">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备案）文号（选填）</w:t>
            </w:r>
          </w:p>
        </w:tc>
        <w:tc>
          <w:tcPr>
            <w:tcW w:w="2741" w:type="dxa"/>
            <w:noWrap w:val="0"/>
            <w:vAlign w:val="center"/>
          </w:tcPr>
          <w:p w14:paraId="2F2B01E7">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2502-530103-04-01-284342</w:t>
            </w:r>
          </w:p>
        </w:tc>
      </w:tr>
      <w:tr w14:paraId="331F7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5" w:type="dxa"/>
            <w:noWrap w:val="0"/>
            <w:tcMar>
              <w:top w:w="16" w:type="dxa"/>
              <w:left w:w="16" w:type="dxa"/>
              <w:right w:w="16" w:type="dxa"/>
            </w:tcMar>
            <w:vAlign w:val="center"/>
          </w:tcPr>
          <w:p w14:paraId="5E73F891">
            <w:pPr>
              <w:spacing w:line="360" w:lineRule="auto"/>
              <w:jc w:val="center"/>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总投资（万元）</w:t>
            </w:r>
          </w:p>
        </w:tc>
        <w:tc>
          <w:tcPr>
            <w:tcW w:w="2355" w:type="dxa"/>
            <w:noWrap w:val="0"/>
            <w:vAlign w:val="center"/>
          </w:tcPr>
          <w:p w14:paraId="2DF9370A">
            <w:pPr>
              <w:spacing w:line="360" w:lineRule="auto"/>
              <w:jc w:val="center"/>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980</w:t>
            </w:r>
          </w:p>
        </w:tc>
        <w:tc>
          <w:tcPr>
            <w:tcW w:w="1839" w:type="dxa"/>
            <w:noWrap w:val="0"/>
            <w:tcMar>
              <w:top w:w="16" w:type="dxa"/>
              <w:left w:w="16" w:type="dxa"/>
              <w:right w:w="16" w:type="dxa"/>
            </w:tcMar>
            <w:vAlign w:val="center"/>
          </w:tcPr>
          <w:p w14:paraId="4F5A708D">
            <w:pPr>
              <w:spacing w:line="360" w:lineRule="auto"/>
              <w:jc w:val="center"/>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环保投资（万元）</w:t>
            </w:r>
          </w:p>
        </w:tc>
        <w:tc>
          <w:tcPr>
            <w:tcW w:w="2741" w:type="dxa"/>
            <w:noWrap w:val="0"/>
            <w:vAlign w:val="center"/>
          </w:tcPr>
          <w:p w14:paraId="1144119D">
            <w:pPr>
              <w:spacing w:line="360" w:lineRule="auto"/>
              <w:jc w:val="center"/>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24.9</w:t>
            </w:r>
          </w:p>
        </w:tc>
      </w:tr>
      <w:tr w14:paraId="4B9F4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5" w:type="dxa"/>
            <w:noWrap w:val="0"/>
            <w:tcMar>
              <w:top w:w="16" w:type="dxa"/>
              <w:left w:w="16" w:type="dxa"/>
              <w:right w:w="16" w:type="dxa"/>
            </w:tcMar>
            <w:vAlign w:val="center"/>
          </w:tcPr>
          <w:p w14:paraId="1774BA5B">
            <w:pPr>
              <w:spacing w:line="360" w:lineRule="auto"/>
              <w:jc w:val="center"/>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环保投资占比（%）</w:t>
            </w:r>
          </w:p>
        </w:tc>
        <w:tc>
          <w:tcPr>
            <w:tcW w:w="2355" w:type="dxa"/>
            <w:noWrap w:val="0"/>
            <w:vAlign w:val="center"/>
          </w:tcPr>
          <w:p w14:paraId="1D5230A3">
            <w:pPr>
              <w:spacing w:line="360" w:lineRule="auto"/>
              <w:jc w:val="center"/>
              <w:outlineLvl w:val="9"/>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2.54</w:t>
            </w:r>
          </w:p>
        </w:tc>
        <w:tc>
          <w:tcPr>
            <w:tcW w:w="1839" w:type="dxa"/>
            <w:noWrap w:val="0"/>
            <w:tcMar>
              <w:top w:w="16" w:type="dxa"/>
              <w:left w:w="16" w:type="dxa"/>
              <w:right w:w="16" w:type="dxa"/>
            </w:tcMar>
            <w:vAlign w:val="center"/>
          </w:tcPr>
          <w:p w14:paraId="2CC8614F">
            <w:pPr>
              <w:spacing w:line="360" w:lineRule="auto"/>
              <w:jc w:val="center"/>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施工工期</w:t>
            </w:r>
          </w:p>
        </w:tc>
        <w:tc>
          <w:tcPr>
            <w:tcW w:w="2741" w:type="dxa"/>
            <w:noWrap w:val="0"/>
            <w:vAlign w:val="center"/>
          </w:tcPr>
          <w:p w14:paraId="1E2989C5">
            <w:pPr>
              <w:spacing w:line="360" w:lineRule="auto"/>
              <w:jc w:val="center"/>
              <w:outlineLvl w:val="9"/>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highlight w:val="none"/>
                <w:vertAlign w:val="baseline"/>
                <w:lang w:val="en-US" w:eastAsia="zh-CN"/>
              </w:rPr>
              <w:t>2个月</w:t>
            </w:r>
          </w:p>
        </w:tc>
      </w:tr>
      <w:tr w14:paraId="12EBCE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35" w:type="dxa"/>
            <w:noWrap w:val="0"/>
            <w:tcMar>
              <w:top w:w="16" w:type="dxa"/>
              <w:left w:w="16" w:type="dxa"/>
              <w:right w:w="16" w:type="dxa"/>
            </w:tcMar>
            <w:vAlign w:val="center"/>
          </w:tcPr>
          <w:p w14:paraId="222C7A79">
            <w:pPr>
              <w:spacing w:line="360" w:lineRule="auto"/>
              <w:jc w:val="center"/>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是否开工建设</w:t>
            </w:r>
          </w:p>
        </w:tc>
        <w:tc>
          <w:tcPr>
            <w:tcW w:w="2355" w:type="dxa"/>
            <w:noWrap w:val="0"/>
            <w:vAlign w:val="center"/>
          </w:tcPr>
          <w:p w14:paraId="18EFAEB2">
            <w:pPr>
              <w:spacing w:line="360" w:lineRule="auto"/>
              <w:jc w:val="left"/>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sym w:font="Wingdings 2" w:char="0052"/>
            </w:r>
            <w:r>
              <w:rPr>
                <w:rFonts w:hint="default" w:ascii="Times New Roman" w:hAnsi="Times New Roman" w:eastAsia="宋体" w:cs="Times New Roman"/>
                <w:color w:val="auto"/>
                <w:sz w:val="21"/>
                <w:szCs w:val="21"/>
                <w:highlight w:val="none"/>
                <w:vertAlign w:val="baseline"/>
                <w:lang w:val="en-US" w:eastAsia="zh-CN"/>
              </w:rPr>
              <w:t>否</w:t>
            </w:r>
          </w:p>
          <w:p w14:paraId="3464512F">
            <w:pPr>
              <w:spacing w:line="360" w:lineRule="auto"/>
              <w:jc w:val="left"/>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sym w:font="Wingdings 2" w:char="00A3"/>
            </w:r>
            <w:r>
              <w:rPr>
                <w:rFonts w:hint="default" w:ascii="Times New Roman" w:hAnsi="Times New Roman" w:eastAsia="宋体" w:cs="Times New Roman"/>
                <w:color w:val="auto"/>
                <w:sz w:val="21"/>
                <w:szCs w:val="21"/>
                <w:highlight w:val="none"/>
                <w:vertAlign w:val="baseline"/>
                <w:lang w:val="en-US" w:eastAsia="zh-CN"/>
              </w:rPr>
              <w:t xml:space="preserve">是：             </w:t>
            </w:r>
          </w:p>
        </w:tc>
        <w:tc>
          <w:tcPr>
            <w:tcW w:w="1839" w:type="dxa"/>
            <w:noWrap w:val="0"/>
            <w:tcMar>
              <w:top w:w="16" w:type="dxa"/>
              <w:left w:w="16" w:type="dxa"/>
              <w:right w:w="16" w:type="dxa"/>
            </w:tcMar>
            <w:vAlign w:val="center"/>
          </w:tcPr>
          <w:p w14:paraId="102E4658">
            <w:pPr>
              <w:spacing w:line="360" w:lineRule="auto"/>
              <w:jc w:val="center"/>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用地（用海）</w:t>
            </w:r>
          </w:p>
          <w:p w14:paraId="14477D7D">
            <w:pPr>
              <w:spacing w:line="360" w:lineRule="auto"/>
              <w:jc w:val="center"/>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面积（m</w:t>
            </w:r>
            <w:r>
              <w:rPr>
                <w:rFonts w:hint="default" w:ascii="Times New Roman" w:hAnsi="Times New Roman" w:eastAsia="宋体" w:cs="Times New Roman"/>
                <w:b/>
                <w:bCs/>
                <w:color w:val="auto"/>
                <w:sz w:val="21"/>
                <w:szCs w:val="21"/>
                <w:highlight w:val="none"/>
                <w:vertAlign w:val="superscript"/>
                <w:lang w:val="en-US" w:eastAsia="zh-CN"/>
              </w:rPr>
              <w:t>2</w:t>
            </w:r>
            <w:r>
              <w:rPr>
                <w:rFonts w:hint="default" w:ascii="Times New Roman" w:hAnsi="Times New Roman" w:eastAsia="宋体" w:cs="Times New Roman"/>
                <w:b/>
                <w:bCs/>
                <w:color w:val="auto"/>
                <w:sz w:val="21"/>
                <w:szCs w:val="21"/>
                <w:highlight w:val="none"/>
                <w:vertAlign w:val="baseline"/>
                <w:lang w:val="en-US" w:eastAsia="zh-CN"/>
              </w:rPr>
              <w:t>）</w:t>
            </w:r>
          </w:p>
        </w:tc>
        <w:tc>
          <w:tcPr>
            <w:tcW w:w="2741" w:type="dxa"/>
            <w:noWrap w:val="0"/>
            <w:vAlign w:val="center"/>
          </w:tcPr>
          <w:p w14:paraId="7D90BE29">
            <w:pPr>
              <w:spacing w:line="360" w:lineRule="auto"/>
              <w:jc w:val="center"/>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734.1</w:t>
            </w:r>
            <w:r>
              <w:rPr>
                <w:rFonts w:hint="default" w:ascii="Times New Roman" w:hAnsi="Times New Roman" w:eastAsia="宋体" w:cs="Times New Roman"/>
                <w:b/>
                <w:bCs/>
                <w:color w:val="auto"/>
                <w:sz w:val="21"/>
                <w:szCs w:val="21"/>
                <w:highlight w:val="none"/>
                <w:vertAlign w:val="baseli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2</w:t>
            </w:r>
          </w:p>
        </w:tc>
      </w:tr>
      <w:tr w14:paraId="48FC10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5" w:type="dxa"/>
            <w:noWrap w:val="0"/>
            <w:vAlign w:val="center"/>
          </w:tcPr>
          <w:p w14:paraId="3B8B6411">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专项评价设置情况</w:t>
            </w:r>
          </w:p>
        </w:tc>
        <w:tc>
          <w:tcPr>
            <w:tcW w:w="6935" w:type="dxa"/>
            <w:gridSpan w:val="3"/>
            <w:noWrap w:val="0"/>
            <w:vAlign w:val="center"/>
          </w:tcPr>
          <w:p w14:paraId="1B45165D">
            <w:pPr>
              <w:autoSpaceDE w:val="0"/>
              <w:autoSpaceDN w:val="0"/>
              <w:adjustRightInd w:val="0"/>
              <w:snapToGrid w:val="0"/>
              <w:spacing w:line="360" w:lineRule="auto"/>
              <w:ind w:firstLine="420" w:firstLineChars="200"/>
              <w:jc w:val="left"/>
              <w:outlineLvl w:val="9"/>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rPr>
              <w:t>按照《建设项目环境影响报告表编制技术指南》的要求，项目产生的环境影响需要深入论证的，应按照环评相关技术导则开展专项评价。本项目</w:t>
            </w:r>
            <w:r>
              <w:rPr>
                <w:rFonts w:hint="default" w:ascii="Times New Roman" w:hAnsi="Times New Roman" w:eastAsia="宋体" w:cs="Times New Roman"/>
                <w:color w:val="auto"/>
                <w:kern w:val="0"/>
                <w:sz w:val="21"/>
                <w:szCs w:val="21"/>
              </w:rPr>
              <w:t>判定情况如表1-1所示。</w:t>
            </w:r>
          </w:p>
          <w:p w14:paraId="1C42B622">
            <w:pPr>
              <w:pStyle w:val="9"/>
              <w:keepNext w:val="0"/>
              <w:keepLines w:val="0"/>
              <w:pageBreakBefore w:val="0"/>
              <w:widowControl w:val="0"/>
              <w:kinsoku/>
              <w:wordWrap/>
              <w:overflowPunct/>
              <w:topLinePunct w:val="0"/>
              <w:bidi w:val="0"/>
              <w:adjustRightInd w:val="0"/>
              <w:spacing w:before="0" w:after="0" w:line="360" w:lineRule="exact"/>
              <w:jc w:val="center"/>
              <w:textAlignment w:val="auto"/>
              <w:outlineLvl w:val="9"/>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表1-1 专项评价设置情况表</w:t>
            </w:r>
          </w:p>
          <w:tbl>
            <w:tblPr>
              <w:tblStyle w:val="20"/>
              <w:tblW w:w="6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936"/>
              <w:gridCol w:w="2516"/>
              <w:gridCol w:w="822"/>
            </w:tblGrid>
            <w:tr w14:paraId="73740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6" w:type="dxa"/>
                  <w:noWrap w:val="0"/>
                  <w:vAlign w:val="center"/>
                </w:tcPr>
                <w:p w14:paraId="15120858">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专项评价的类别</w:t>
                  </w:r>
                </w:p>
              </w:tc>
              <w:tc>
                <w:tcPr>
                  <w:tcW w:w="1936" w:type="dxa"/>
                  <w:noWrap w:val="0"/>
                  <w:vAlign w:val="center"/>
                </w:tcPr>
                <w:p w14:paraId="5B605505">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涉及项目类别</w:t>
                  </w:r>
                </w:p>
              </w:tc>
              <w:tc>
                <w:tcPr>
                  <w:tcW w:w="2516" w:type="dxa"/>
                  <w:noWrap w:val="0"/>
                  <w:vAlign w:val="center"/>
                </w:tcPr>
                <w:p w14:paraId="70EBA7B6">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本项目情况</w:t>
                  </w:r>
                </w:p>
              </w:tc>
              <w:tc>
                <w:tcPr>
                  <w:tcW w:w="822" w:type="dxa"/>
                  <w:noWrap w:val="0"/>
                  <w:vAlign w:val="center"/>
                </w:tcPr>
                <w:p w14:paraId="724B0DA1">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是否设置专项</w:t>
                  </w:r>
                </w:p>
              </w:tc>
            </w:tr>
            <w:tr w14:paraId="224F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6" w:type="dxa"/>
                  <w:noWrap w:val="0"/>
                  <w:vAlign w:val="center"/>
                </w:tcPr>
                <w:p w14:paraId="6358C86F">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大气</w:t>
                  </w:r>
                </w:p>
              </w:tc>
              <w:tc>
                <w:tcPr>
                  <w:tcW w:w="1936" w:type="dxa"/>
                  <w:noWrap w:val="0"/>
                  <w:vAlign w:val="center"/>
                </w:tcPr>
                <w:p w14:paraId="328A3FA4">
                  <w:pPr>
                    <w:keepNext w:val="0"/>
                    <w:keepLines w:val="0"/>
                    <w:pageBreakBefore w:val="0"/>
                    <w:widowControl w:val="0"/>
                    <w:kinsoku/>
                    <w:wordWrap/>
                    <w:overflowPunct/>
                    <w:topLinePunct w:val="0"/>
                    <w:bidi w:val="0"/>
                    <w:adjustRightInd w:val="0"/>
                    <w:snapToGrid w:val="0"/>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排放废气含有毒有害污染物</w:t>
                  </w:r>
                  <w:r>
                    <w:rPr>
                      <w:rFonts w:hint="default" w:ascii="Times New Roman" w:hAnsi="Times New Roman" w:eastAsia="宋体" w:cs="Times New Roman"/>
                      <w:color w:val="auto"/>
                      <w:sz w:val="18"/>
                      <w:szCs w:val="18"/>
                      <w:vertAlign w:val="superscript"/>
                    </w:rPr>
                    <w:t>1</w:t>
                  </w:r>
                  <w:r>
                    <w:rPr>
                      <w:rFonts w:hint="default" w:ascii="Times New Roman" w:hAnsi="Times New Roman" w:eastAsia="宋体" w:cs="Times New Roman"/>
                      <w:color w:val="auto"/>
                      <w:sz w:val="18"/>
                      <w:szCs w:val="18"/>
                    </w:rPr>
                    <w:t>、二噁英、苯并[a]芘、氰化物、氯气且厂界外500米范围内有环境空气保护目标</w:t>
                  </w:r>
                  <w:r>
                    <w:rPr>
                      <w:rFonts w:hint="default" w:ascii="Times New Roman" w:hAnsi="Times New Roman" w:eastAsia="宋体" w:cs="Times New Roman"/>
                      <w:color w:val="auto"/>
                      <w:sz w:val="18"/>
                      <w:szCs w:val="18"/>
                      <w:vertAlign w:val="superscript"/>
                    </w:rPr>
                    <w:t>2</w:t>
                  </w:r>
                  <w:r>
                    <w:rPr>
                      <w:rFonts w:hint="default" w:ascii="Times New Roman" w:hAnsi="Times New Roman" w:eastAsia="宋体" w:cs="Times New Roman"/>
                      <w:color w:val="auto"/>
                      <w:sz w:val="18"/>
                      <w:szCs w:val="18"/>
                    </w:rPr>
                    <w:t>的建设项目</w:t>
                  </w:r>
                </w:p>
              </w:tc>
              <w:tc>
                <w:tcPr>
                  <w:tcW w:w="2516" w:type="dxa"/>
                  <w:noWrap w:val="0"/>
                  <w:vAlign w:val="center"/>
                </w:tcPr>
                <w:p w14:paraId="733B6813">
                  <w:pPr>
                    <w:keepNext w:val="0"/>
                    <w:keepLines w:val="0"/>
                    <w:pageBreakBefore w:val="0"/>
                    <w:widowControl w:val="0"/>
                    <w:kinsoku/>
                    <w:wordWrap w:val="0"/>
                    <w:overflowPunct/>
                    <w:topLinePunct w:val="0"/>
                    <w:autoSpaceDE/>
                    <w:autoSpaceDN/>
                    <w:bidi w:val="0"/>
                    <w:adjustRightInd w:val="0"/>
                    <w:snapToGrid w:val="0"/>
                    <w:spacing w:line="360" w:lineRule="exact"/>
                    <w:jc w:val="left"/>
                    <w:textAlignment w:val="auto"/>
                    <w:outlineLvl w:val="9"/>
                    <w:rPr>
                      <w:rFonts w:hint="default" w:ascii="Times New Roman" w:hAnsi="Times New Roman" w:eastAsia="宋体" w:cs="Times New Roman"/>
                      <w:color w:val="auto"/>
                      <w:sz w:val="18"/>
                      <w:szCs w:val="18"/>
                      <w:highlight w:val="red"/>
                    </w:rPr>
                  </w:pPr>
                  <w:r>
                    <w:rPr>
                      <w:rFonts w:hint="eastAsia" w:cs="Times New Roman"/>
                      <w:color w:val="auto"/>
                      <w:sz w:val="18"/>
                      <w:szCs w:val="18"/>
                      <w:highlight w:val="none"/>
                      <w:lang w:val="en-US" w:eastAsia="zh-CN"/>
                    </w:rPr>
                    <w:t>本项目运营期排放的废气来源于实验试剂挥发产生的挥发性有机废气，其中涉及《有毒有害大气污染物名录》中的污染物有二氯甲烷、三氯甲烷、甲醛等。本项目执行的《大气污染物综合排放标准》（GB16297-1996）中有甲醛的排放限值。在《石油化学工业污染物排放标准》（GB31571-2015）中有二氯甲烷、三氯甲烷的限值。本项目使用的甲醛试剂为浓度30%～40%的水溶液，最大贮存量和年用量低于500mL（1瓶）；二氯甲烷最大贮存量2L，年最大用量4L；三氯甲烷最大贮存量最大贮存量1L，年最大用量8L。上述三种试剂的贮存量和年使用量都很少，实际的使用量和污染物产生量与需要开展的检测项目和份样数量有关。根据计算结果，在非正常排放情况下，有机废气污染物的排放浓度均可达标，且占标率很低。项目周边临近区域无大气环境保护目标，且地势较开阔有利于大气污染物的稀释扩散。因此，虽然项目在运营期排放的废气中涉及《有毒有害大气污染物名录》中的污染物种类，但是结合污染物产生量、周围的大气环境保护目标分布情况以及污染影响程度来看。本项目不属于《建设项目环境影响报告表编制技术指南（污染影响类）》中要求的“建设项目产生的环境影响需要深入论证”的情形，不需开展大气环境专项评价工作。</w:t>
                  </w:r>
                </w:p>
              </w:tc>
              <w:tc>
                <w:tcPr>
                  <w:tcW w:w="822" w:type="dxa"/>
                  <w:noWrap w:val="0"/>
                  <w:vAlign w:val="center"/>
                </w:tcPr>
                <w:p w14:paraId="776F8ADF">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highlight w:val="red"/>
                    </w:rPr>
                  </w:pPr>
                  <w:r>
                    <w:rPr>
                      <w:rFonts w:hint="default" w:ascii="Times New Roman" w:hAnsi="Times New Roman" w:eastAsia="宋体" w:cs="Times New Roman"/>
                      <w:color w:val="auto"/>
                      <w:sz w:val="18"/>
                      <w:szCs w:val="18"/>
                      <w:highlight w:val="none"/>
                    </w:rPr>
                    <w:t>否</w:t>
                  </w:r>
                </w:p>
              </w:tc>
            </w:tr>
            <w:tr w14:paraId="32D1D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6" w:type="dxa"/>
                  <w:noWrap w:val="0"/>
                  <w:vAlign w:val="center"/>
                </w:tcPr>
                <w:p w14:paraId="53F1FFBE">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地表水</w:t>
                  </w:r>
                </w:p>
              </w:tc>
              <w:tc>
                <w:tcPr>
                  <w:tcW w:w="1936" w:type="dxa"/>
                  <w:noWrap w:val="0"/>
                  <w:vAlign w:val="center"/>
                </w:tcPr>
                <w:p w14:paraId="41C053B3">
                  <w:pPr>
                    <w:keepNext w:val="0"/>
                    <w:keepLines w:val="0"/>
                    <w:pageBreakBefore w:val="0"/>
                    <w:widowControl w:val="0"/>
                    <w:kinsoku/>
                    <w:wordWrap/>
                    <w:overflowPunct/>
                    <w:topLinePunct w:val="0"/>
                    <w:bidi w:val="0"/>
                    <w:adjustRightInd w:val="0"/>
                    <w:snapToGrid w:val="0"/>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新增工业废水直排建设项目（槽罐车外送污水处理厂的除外）；新增废水直排的污水集中处理厂。</w:t>
                  </w:r>
                </w:p>
              </w:tc>
              <w:tc>
                <w:tcPr>
                  <w:tcW w:w="2516" w:type="dxa"/>
                  <w:noWrap w:val="0"/>
                  <w:vAlign w:val="center"/>
                </w:tcPr>
                <w:p w14:paraId="6317AE5A">
                  <w:pPr>
                    <w:keepNext w:val="0"/>
                    <w:keepLines w:val="0"/>
                    <w:pageBreakBefore w:val="0"/>
                    <w:widowControl w:val="0"/>
                    <w:kinsoku/>
                    <w:wordWrap/>
                    <w:overflowPunct/>
                    <w:topLinePunct w:val="0"/>
                    <w:bidi w:val="0"/>
                    <w:adjustRightInd w:val="0"/>
                    <w:snapToGrid w:val="0"/>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本项目不涉及新增工业废水直排，运营过程产生的生活污水</w:t>
                  </w:r>
                  <w:r>
                    <w:rPr>
                      <w:rFonts w:hint="eastAsia" w:cs="Times New Roman"/>
                      <w:color w:val="auto"/>
                      <w:sz w:val="18"/>
                      <w:szCs w:val="18"/>
                      <w:lang w:eastAsia="zh-CN"/>
                    </w:rPr>
                    <w:t>、</w:t>
                  </w:r>
                  <w:r>
                    <w:rPr>
                      <w:rFonts w:hint="eastAsia" w:cs="Times New Roman"/>
                      <w:color w:val="auto"/>
                      <w:sz w:val="18"/>
                      <w:szCs w:val="18"/>
                      <w:lang w:val="en-US" w:eastAsia="zh-CN"/>
                    </w:rPr>
                    <w:t>地面清洁废水</w:t>
                  </w:r>
                  <w:r>
                    <w:rPr>
                      <w:rFonts w:hint="default" w:ascii="Times New Roman" w:hAnsi="Times New Roman" w:eastAsia="宋体" w:cs="Times New Roman"/>
                      <w:color w:val="auto"/>
                      <w:sz w:val="18"/>
                      <w:szCs w:val="18"/>
                    </w:rPr>
                    <w:t>进入所处楼栋化粪池处理达标外排市政污水管网；实验器皿前两道清洗废水作为危废处置，其余清洗废水与纯水制备浓水经中和沉淀池处理后排入市政污水管网，最终进入昆明市第十四水质净化厂处理。</w:t>
                  </w:r>
                </w:p>
              </w:tc>
              <w:tc>
                <w:tcPr>
                  <w:tcW w:w="822" w:type="dxa"/>
                  <w:noWrap w:val="0"/>
                  <w:vAlign w:val="center"/>
                </w:tcPr>
                <w:p w14:paraId="40263D35">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否</w:t>
                  </w:r>
                </w:p>
              </w:tc>
            </w:tr>
            <w:tr w14:paraId="0847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6" w:type="dxa"/>
                  <w:noWrap w:val="0"/>
                  <w:vAlign w:val="center"/>
                </w:tcPr>
                <w:p w14:paraId="16B611A7">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环境风险</w:t>
                  </w:r>
                </w:p>
              </w:tc>
              <w:tc>
                <w:tcPr>
                  <w:tcW w:w="1936" w:type="dxa"/>
                  <w:noWrap w:val="0"/>
                  <w:vAlign w:val="center"/>
                </w:tcPr>
                <w:p w14:paraId="2891BD02">
                  <w:pPr>
                    <w:keepNext w:val="0"/>
                    <w:keepLines w:val="0"/>
                    <w:pageBreakBefore w:val="0"/>
                    <w:widowControl w:val="0"/>
                    <w:kinsoku/>
                    <w:wordWrap/>
                    <w:overflowPunct/>
                    <w:topLinePunct w:val="0"/>
                    <w:bidi w:val="0"/>
                    <w:adjustRightInd w:val="0"/>
                    <w:snapToGrid w:val="0"/>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有毒有害和易燃易爆危险物质存储量超过临界量</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的建设项目。</w:t>
                  </w:r>
                </w:p>
              </w:tc>
              <w:tc>
                <w:tcPr>
                  <w:tcW w:w="2516" w:type="dxa"/>
                  <w:noWrap w:val="0"/>
                  <w:vAlign w:val="center"/>
                </w:tcPr>
                <w:p w14:paraId="0EAB6AC4">
                  <w:pPr>
                    <w:keepNext w:val="0"/>
                    <w:keepLines w:val="0"/>
                    <w:pageBreakBefore w:val="0"/>
                    <w:widowControl w:val="0"/>
                    <w:kinsoku/>
                    <w:wordWrap/>
                    <w:overflowPunct/>
                    <w:topLinePunct w:val="0"/>
                    <w:bidi w:val="0"/>
                    <w:adjustRightInd w:val="0"/>
                    <w:snapToGrid w:val="0"/>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据统计核算，本项目化学实验试剂涉及有毒有害和易燃易爆危险物质的存储量均未超过临界量，经核算，其Q值小于1。</w:t>
                  </w:r>
                </w:p>
              </w:tc>
              <w:tc>
                <w:tcPr>
                  <w:tcW w:w="822" w:type="dxa"/>
                  <w:noWrap w:val="0"/>
                  <w:vAlign w:val="center"/>
                </w:tcPr>
                <w:p w14:paraId="5A547652">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否</w:t>
                  </w:r>
                </w:p>
              </w:tc>
            </w:tr>
            <w:tr w14:paraId="7ABE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6" w:type="dxa"/>
                  <w:noWrap w:val="0"/>
                  <w:vAlign w:val="center"/>
                </w:tcPr>
                <w:p w14:paraId="07D421FA">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生态</w:t>
                  </w:r>
                </w:p>
              </w:tc>
              <w:tc>
                <w:tcPr>
                  <w:tcW w:w="1936" w:type="dxa"/>
                  <w:noWrap w:val="0"/>
                  <w:vAlign w:val="center"/>
                </w:tcPr>
                <w:p w14:paraId="391FE8F2">
                  <w:pPr>
                    <w:keepNext w:val="0"/>
                    <w:keepLines w:val="0"/>
                    <w:pageBreakBefore w:val="0"/>
                    <w:widowControl w:val="0"/>
                    <w:kinsoku/>
                    <w:wordWrap/>
                    <w:overflowPunct/>
                    <w:topLinePunct w:val="0"/>
                    <w:bidi w:val="0"/>
                    <w:adjustRightInd w:val="0"/>
                    <w:snapToGrid w:val="0"/>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取水口下游 500 米范围内有重要水生生物的自然产卵场、索饵场、越冬场和洄游通道的新增河道取水的污染类建设项目</w:t>
                  </w:r>
                </w:p>
              </w:tc>
              <w:tc>
                <w:tcPr>
                  <w:tcW w:w="2516" w:type="dxa"/>
                  <w:noWrap w:val="0"/>
                  <w:vAlign w:val="center"/>
                </w:tcPr>
                <w:p w14:paraId="1BA78B85">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本项目由市政供水管网统一供给，不涉及取水</w:t>
                  </w:r>
                </w:p>
              </w:tc>
              <w:tc>
                <w:tcPr>
                  <w:tcW w:w="822" w:type="dxa"/>
                  <w:noWrap w:val="0"/>
                  <w:vAlign w:val="center"/>
                </w:tcPr>
                <w:p w14:paraId="0D42E920">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否</w:t>
                  </w:r>
                </w:p>
              </w:tc>
            </w:tr>
            <w:tr w14:paraId="052D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56" w:type="dxa"/>
                  <w:noWrap w:val="0"/>
                  <w:vAlign w:val="center"/>
                </w:tcPr>
                <w:p w14:paraId="0E528439">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海洋</w:t>
                  </w:r>
                </w:p>
              </w:tc>
              <w:tc>
                <w:tcPr>
                  <w:tcW w:w="1936" w:type="dxa"/>
                  <w:noWrap w:val="0"/>
                  <w:vAlign w:val="center"/>
                </w:tcPr>
                <w:p w14:paraId="5DE562D9">
                  <w:pPr>
                    <w:keepNext w:val="0"/>
                    <w:keepLines w:val="0"/>
                    <w:pageBreakBefore w:val="0"/>
                    <w:widowControl w:val="0"/>
                    <w:kinsoku/>
                    <w:wordWrap/>
                    <w:overflowPunct/>
                    <w:topLinePunct w:val="0"/>
                    <w:bidi w:val="0"/>
                    <w:adjustRightInd w:val="0"/>
                    <w:snapToGrid w:val="0"/>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直接向海排放污染物的海洋工程建设项目。</w:t>
                  </w:r>
                </w:p>
              </w:tc>
              <w:tc>
                <w:tcPr>
                  <w:tcW w:w="2516" w:type="dxa"/>
                  <w:noWrap w:val="0"/>
                  <w:vAlign w:val="center"/>
                </w:tcPr>
                <w:p w14:paraId="28C169CE">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不涉及</w:t>
                  </w:r>
                </w:p>
              </w:tc>
              <w:tc>
                <w:tcPr>
                  <w:tcW w:w="822" w:type="dxa"/>
                  <w:noWrap w:val="0"/>
                  <w:vAlign w:val="center"/>
                </w:tcPr>
                <w:p w14:paraId="2920D08C">
                  <w:pPr>
                    <w:keepNext w:val="0"/>
                    <w:keepLines w:val="0"/>
                    <w:pageBreakBefore w:val="0"/>
                    <w:widowControl w:val="0"/>
                    <w:kinsoku/>
                    <w:wordWrap/>
                    <w:overflowPunct/>
                    <w:topLinePunct w:val="0"/>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否</w:t>
                  </w:r>
                </w:p>
              </w:tc>
            </w:tr>
          </w:tbl>
          <w:p w14:paraId="1A6B7DC7">
            <w:pPr>
              <w:keepNext w:val="0"/>
              <w:keepLines w:val="0"/>
              <w:pageBreakBefore w:val="0"/>
              <w:widowControl w:val="0"/>
              <w:kinsoku/>
              <w:wordWrap/>
              <w:overflowPunct/>
              <w:topLinePunct w:val="0"/>
              <w:autoSpaceDE w:val="0"/>
              <w:autoSpaceDN w:val="0"/>
              <w:bidi w:val="0"/>
              <w:adjustRightInd w:val="0"/>
              <w:snapToGrid w:val="0"/>
              <w:spacing w:line="360" w:lineRule="exact"/>
              <w:jc w:val="left"/>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注：1.废气中有毒有害污染物指纳入《有毒有害大气污染物名录》的污染物（不包括无排放标准的污染物）。</w:t>
            </w:r>
          </w:p>
          <w:p w14:paraId="3A9FF2E6">
            <w:pPr>
              <w:keepNext w:val="0"/>
              <w:keepLines w:val="0"/>
              <w:pageBreakBefore w:val="0"/>
              <w:widowControl w:val="0"/>
              <w:kinsoku/>
              <w:wordWrap/>
              <w:overflowPunct/>
              <w:topLinePunct w:val="0"/>
              <w:autoSpaceDE w:val="0"/>
              <w:autoSpaceDN w:val="0"/>
              <w:bidi w:val="0"/>
              <w:adjustRightInd w:val="0"/>
              <w:snapToGrid w:val="0"/>
              <w:spacing w:line="360" w:lineRule="exact"/>
              <w:ind w:firstLine="360" w:firstLineChars="200"/>
              <w:jc w:val="left"/>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2.环境空气保护目标指自然保护区、风景名胜区、居住区、文化区和农村地区中人群较集中的区域。</w:t>
            </w:r>
          </w:p>
          <w:p w14:paraId="0D79D8DA">
            <w:pPr>
              <w:keepNext w:val="0"/>
              <w:keepLines w:val="0"/>
              <w:pageBreakBefore w:val="0"/>
              <w:widowControl w:val="0"/>
              <w:kinsoku/>
              <w:wordWrap/>
              <w:overflowPunct/>
              <w:topLinePunct w:val="0"/>
              <w:bidi w:val="0"/>
              <w:spacing w:line="360" w:lineRule="exact"/>
              <w:jc w:val="left"/>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kern w:val="0"/>
                <w:sz w:val="18"/>
                <w:szCs w:val="18"/>
              </w:rPr>
              <w:t xml:space="preserve">    3.临界量及其计算方法可参考《建设项目环境风险评价技术导则》（HJ169）附录B、附录C。</w:t>
            </w:r>
          </w:p>
        </w:tc>
      </w:tr>
      <w:tr w14:paraId="53BF2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35" w:type="dxa"/>
            <w:noWrap w:val="0"/>
            <w:vAlign w:val="center"/>
          </w:tcPr>
          <w:p w14:paraId="3D6AC9CE">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规划情况</w:t>
            </w:r>
          </w:p>
        </w:tc>
        <w:tc>
          <w:tcPr>
            <w:tcW w:w="6935" w:type="dxa"/>
            <w:gridSpan w:val="3"/>
            <w:noWrap w:val="0"/>
            <w:vAlign w:val="center"/>
          </w:tcPr>
          <w:p w14:paraId="416103A0">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w:t>
            </w:r>
          </w:p>
        </w:tc>
      </w:tr>
      <w:tr w14:paraId="24B3A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1935" w:type="dxa"/>
            <w:noWrap w:val="0"/>
            <w:vAlign w:val="center"/>
          </w:tcPr>
          <w:p w14:paraId="2C70BCA9">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规划环境影响</w:t>
            </w:r>
          </w:p>
          <w:p w14:paraId="2CAA7FEE">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评价情况</w:t>
            </w:r>
          </w:p>
        </w:tc>
        <w:tc>
          <w:tcPr>
            <w:tcW w:w="6935" w:type="dxa"/>
            <w:gridSpan w:val="3"/>
            <w:noWrap w:val="0"/>
            <w:vAlign w:val="center"/>
          </w:tcPr>
          <w:p w14:paraId="6D9315E5">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w:t>
            </w:r>
          </w:p>
        </w:tc>
      </w:tr>
      <w:tr w14:paraId="78DBF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5" w:type="dxa"/>
            <w:noWrap w:val="0"/>
            <w:vAlign w:val="center"/>
          </w:tcPr>
          <w:p w14:paraId="6CADDCD6">
            <w:pPr>
              <w:spacing w:line="360" w:lineRule="auto"/>
              <w:jc w:val="both"/>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规划及规划环境影响评价符合性分析</w:t>
            </w:r>
          </w:p>
        </w:tc>
        <w:tc>
          <w:tcPr>
            <w:tcW w:w="6935" w:type="dxa"/>
            <w:gridSpan w:val="3"/>
            <w:noWrap w:val="0"/>
            <w:vAlign w:val="center"/>
          </w:tcPr>
          <w:p w14:paraId="3A18A117">
            <w:pPr>
              <w:spacing w:line="360" w:lineRule="auto"/>
              <w:jc w:val="center"/>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无</w:t>
            </w:r>
          </w:p>
        </w:tc>
      </w:tr>
      <w:tr w14:paraId="3A3A27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935" w:type="dxa"/>
            <w:noWrap w:val="0"/>
            <w:vAlign w:val="center"/>
          </w:tcPr>
          <w:p w14:paraId="523B8F05">
            <w:pPr>
              <w:spacing w:line="360" w:lineRule="auto"/>
              <w:jc w:val="center"/>
              <w:outlineLvl w:val="9"/>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其他符合性分析</w:t>
            </w:r>
          </w:p>
        </w:tc>
        <w:tc>
          <w:tcPr>
            <w:tcW w:w="6935" w:type="dxa"/>
            <w:gridSpan w:val="3"/>
            <w:noWrap w:val="0"/>
            <w:vAlign w:val="center"/>
          </w:tcPr>
          <w:p w14:paraId="0045B8B3">
            <w:pPr>
              <w:adjustRightInd w:val="0"/>
              <w:snapToGrid w:val="0"/>
              <w:spacing w:line="360" w:lineRule="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color w:val="auto"/>
                <w:kern w:val="0"/>
                <w:sz w:val="21"/>
                <w:szCs w:val="21"/>
                <w:highlight w:val="none"/>
              </w:rPr>
              <w:t>1</w:t>
            </w:r>
            <w:r>
              <w:rPr>
                <w:rFonts w:hint="eastAsia" w:ascii="Times New Roman" w:hAnsi="Times New Roman" w:eastAsia="宋体" w:cs="Times New Roman"/>
                <w:b/>
                <w:color w:val="auto"/>
                <w:kern w:val="0"/>
                <w:sz w:val="21"/>
                <w:szCs w:val="21"/>
                <w:highlight w:val="none"/>
                <w:lang w:eastAsia="zh-CN"/>
              </w:rPr>
              <w:t>、</w:t>
            </w:r>
            <w:r>
              <w:rPr>
                <w:rFonts w:hint="default" w:ascii="Times New Roman" w:hAnsi="Times New Roman" w:eastAsia="宋体" w:cs="Times New Roman"/>
                <w:b/>
                <w:bCs/>
                <w:color w:val="auto"/>
                <w:sz w:val="21"/>
                <w:szCs w:val="21"/>
                <w:highlight w:val="none"/>
              </w:rPr>
              <w:t>产业政策符合性分析</w:t>
            </w:r>
          </w:p>
          <w:p w14:paraId="0331AC0D">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0" w:leftChars="0" w:right="0" w:rightChars="0" w:firstLine="420" w:firstLineChars="200"/>
              <w:jc w:val="both"/>
              <w:textAlignment w:val="auto"/>
              <w:outlineLvl w:val="9"/>
              <w:rPr>
                <w:rFonts w:hint="default" w:ascii="Times New Roman" w:hAnsi="Times New Roman" w:eastAsia="宋体" w:cs="Times New Roman"/>
                <w:color w:val="auto"/>
                <w:sz w:val="21"/>
                <w:szCs w:val="21"/>
                <w:highlight w:val="none"/>
              </w:rPr>
            </w:pPr>
            <w:r>
              <w:rPr>
                <w:rFonts w:hint="eastAsia" w:cs="Times New Roman"/>
                <w:color w:val="auto"/>
                <w:highlight w:val="none"/>
                <w:lang w:val="en-US" w:eastAsia="zh-CN"/>
              </w:rPr>
              <w:t>查阅</w:t>
            </w:r>
            <w:r>
              <w:rPr>
                <w:rFonts w:hint="default" w:ascii="Times New Roman" w:hAnsi="Times New Roman" w:cs="Times New Roman"/>
                <w:color w:val="auto"/>
                <w:highlight w:val="none"/>
                <w:lang w:val="en-US" w:eastAsia="zh-CN"/>
              </w:rPr>
              <w:t>《产业结构调整指导目录（2024年本）》，本项目</w:t>
            </w:r>
            <w:r>
              <w:rPr>
                <w:rFonts w:hint="eastAsia" w:cs="Times New Roman"/>
                <w:color w:val="auto"/>
                <w:highlight w:val="none"/>
                <w:lang w:val="en-US" w:eastAsia="zh-CN"/>
              </w:rPr>
              <w:t>不在</w:t>
            </w:r>
            <w:r>
              <w:rPr>
                <w:rFonts w:hint="default" w:ascii="Times New Roman" w:hAnsi="Times New Roman" w:cs="Times New Roman"/>
                <w:color w:val="auto"/>
                <w:highlight w:val="none"/>
                <w:lang w:val="en-US" w:eastAsia="zh-CN"/>
              </w:rPr>
              <w:t>鼓励类、限制类和淘汰类</w:t>
            </w:r>
            <w:r>
              <w:rPr>
                <w:rFonts w:hint="eastAsia" w:cs="Times New Roman"/>
                <w:color w:val="auto"/>
                <w:highlight w:val="none"/>
                <w:lang w:val="en-US" w:eastAsia="zh-CN"/>
              </w:rPr>
              <w:t>之列</w:t>
            </w:r>
            <w:r>
              <w:rPr>
                <w:rFonts w:hint="default" w:ascii="Times New Roman" w:hAnsi="Times New Roman" w:cs="Times New Roman"/>
                <w:color w:val="auto"/>
                <w:highlight w:val="none"/>
                <w:lang w:val="en-US" w:eastAsia="zh-CN"/>
              </w:rPr>
              <w:t>，属于允许类，符合国家的产业政策</w:t>
            </w:r>
            <w:r>
              <w:rPr>
                <w:rFonts w:hint="default" w:ascii="Times New Roman" w:hAnsi="Times New Roman" w:eastAsia="宋体" w:cs="Times New Roman"/>
                <w:color w:val="auto"/>
                <w:sz w:val="21"/>
                <w:szCs w:val="21"/>
                <w:highlight w:val="none"/>
              </w:rPr>
              <w:t>。</w:t>
            </w:r>
          </w:p>
          <w:p w14:paraId="6C3FF6F1">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本项目已于202</w:t>
            </w:r>
            <w:r>
              <w:rPr>
                <w:rFonts w:hint="eastAsia"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年</w:t>
            </w:r>
            <w:r>
              <w:rPr>
                <w:rFonts w:hint="eastAsia" w:cs="Times New Roman"/>
                <w:color w:val="auto"/>
                <w:sz w:val="21"/>
                <w:szCs w:val="21"/>
                <w:highlight w:val="none"/>
                <w:lang w:val="en-US" w:eastAsia="zh-CN"/>
              </w:rPr>
              <w:t>02</w:t>
            </w:r>
            <w:r>
              <w:rPr>
                <w:rFonts w:hint="default" w:ascii="Times New Roman" w:hAnsi="Times New Roman" w:eastAsia="宋体" w:cs="Times New Roman"/>
                <w:color w:val="auto"/>
                <w:sz w:val="21"/>
                <w:szCs w:val="21"/>
                <w:highlight w:val="none"/>
              </w:rPr>
              <w:t>月</w:t>
            </w:r>
            <w:r>
              <w:rPr>
                <w:rFonts w:hint="eastAsia" w:cs="Times New Roman"/>
                <w:color w:val="auto"/>
                <w:sz w:val="21"/>
                <w:szCs w:val="21"/>
                <w:highlight w:val="none"/>
                <w:lang w:val="en-US" w:eastAsia="zh-CN"/>
              </w:rPr>
              <w:t>13</w:t>
            </w:r>
            <w:r>
              <w:rPr>
                <w:rFonts w:hint="default" w:ascii="Times New Roman" w:hAnsi="Times New Roman" w:eastAsia="宋体" w:cs="Times New Roman"/>
                <w:color w:val="auto"/>
                <w:sz w:val="21"/>
                <w:szCs w:val="21"/>
                <w:highlight w:val="none"/>
              </w:rPr>
              <w:t>日通过投资项目在线审批监管平台向备案机关</w:t>
            </w:r>
            <w:r>
              <w:rPr>
                <w:rFonts w:hint="default" w:ascii="Times New Roman" w:hAnsi="Times New Roman" w:eastAsia="宋体" w:cs="Times New Roman"/>
                <w:color w:val="auto"/>
                <w:sz w:val="21"/>
                <w:szCs w:val="21"/>
                <w:highlight w:val="none"/>
                <w:lang w:eastAsia="zh-CN"/>
              </w:rPr>
              <w:t>盘龙区发展和改革局</w:t>
            </w:r>
            <w:r>
              <w:rPr>
                <w:rFonts w:hint="default" w:ascii="Times New Roman" w:hAnsi="Times New Roman" w:eastAsia="宋体" w:cs="Times New Roman"/>
                <w:color w:val="auto"/>
                <w:sz w:val="21"/>
                <w:szCs w:val="21"/>
                <w:highlight w:val="none"/>
              </w:rPr>
              <w:t>提供了备案信息，并取得了《云南省固定资产投资项目备案证》，备案号（项目代码）：</w:t>
            </w:r>
            <w:r>
              <w:rPr>
                <w:rFonts w:hint="default" w:ascii="Times New Roman" w:hAnsi="Times New Roman" w:eastAsia="宋体" w:cs="Times New Roman"/>
                <w:color w:val="auto"/>
                <w:sz w:val="21"/>
                <w:szCs w:val="21"/>
                <w:highlight w:val="none"/>
                <w:vertAlign w:val="baseline"/>
                <w:lang w:val="en-US" w:eastAsia="zh-CN"/>
              </w:rPr>
              <w:t>2502-530103-04-01-284342</w:t>
            </w:r>
            <w:r>
              <w:rPr>
                <w:rFonts w:hint="default" w:ascii="Times New Roman" w:hAnsi="Times New Roman" w:eastAsia="宋体" w:cs="Times New Roman"/>
                <w:color w:val="auto"/>
                <w:sz w:val="21"/>
                <w:szCs w:val="21"/>
                <w:highlight w:val="none"/>
              </w:rPr>
              <w:t>，详见附件2。</w:t>
            </w:r>
          </w:p>
          <w:p w14:paraId="37D122AF">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因此，项目符合相关国家及地方产业政策要求。</w:t>
            </w:r>
          </w:p>
          <w:p w14:paraId="6DA112FA">
            <w:pPr>
              <w:bidi w:val="0"/>
              <w:spacing w:line="360" w:lineRule="auto"/>
              <w:outlineLvl w:val="9"/>
              <w:rPr>
                <w:rFonts w:hint="default"/>
                <w:color w:val="auto"/>
                <w:lang w:val="en-US" w:eastAsia="zh-CN"/>
              </w:rPr>
            </w:pPr>
            <w:r>
              <w:rPr>
                <w:rFonts w:hint="eastAsia"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lang w:val="en-US" w:eastAsia="zh-CN"/>
              </w:rPr>
              <w:t>、</w:t>
            </w:r>
            <w:r>
              <w:rPr>
                <w:rFonts w:hint="eastAsia" w:cs="Times New Roman"/>
                <w:b/>
                <w:bCs/>
                <w:color w:val="auto"/>
                <w:lang w:val="en-US" w:eastAsia="zh-CN"/>
              </w:rPr>
              <w:t>“三线一单”</w:t>
            </w:r>
            <w:r>
              <w:rPr>
                <w:rFonts w:hint="default" w:ascii="Times New Roman" w:hAnsi="Times New Roman" w:eastAsia="宋体" w:cs="Times New Roman"/>
                <w:b/>
                <w:bCs/>
                <w:color w:val="auto"/>
                <w:lang w:val="en-US" w:eastAsia="zh-CN"/>
              </w:rPr>
              <w:t>相符性分析</w:t>
            </w:r>
          </w:p>
          <w:p w14:paraId="743C9F03">
            <w:pPr>
              <w:pStyle w:val="42"/>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根据《云南省人民政府关于实施“三线一单”生态环境分区管控的意见》（云政发〔2020〕29号）、</w:t>
            </w:r>
            <w:r>
              <w:rPr>
                <w:rFonts w:hint="default" w:ascii="Times New Roman" w:hAnsi="Times New Roman" w:eastAsia="宋体" w:cs="Times New Roman"/>
                <w:b w:val="0"/>
                <w:bCs w:val="0"/>
                <w:color w:val="auto"/>
                <w:sz w:val="21"/>
                <w:szCs w:val="21"/>
              </w:rPr>
              <w:t>《昆明市人民政府关于昆明市“三线一单”生态环境分区管控的实施意见》（</w:t>
            </w:r>
            <w:r>
              <w:rPr>
                <w:rFonts w:hint="default" w:ascii="Times New Roman" w:hAnsi="Times New Roman" w:eastAsia="宋体" w:cs="Times New Roman"/>
                <w:color w:val="auto"/>
                <w:kern w:val="0"/>
                <w:sz w:val="21"/>
                <w:szCs w:val="21"/>
                <w:lang w:val="en-US" w:eastAsia="zh-CN" w:bidi="ar"/>
              </w:rPr>
              <w:t>昆政发〔2021〕21号</w:t>
            </w:r>
            <w:r>
              <w:rPr>
                <w:rFonts w:hint="default" w:ascii="Times New Roman" w:hAnsi="Times New Roman" w:eastAsia="宋体" w:cs="Times New Roman"/>
                <w:b w:val="0"/>
                <w:bCs w:val="0"/>
                <w:color w:val="auto"/>
                <w:sz w:val="21"/>
                <w:szCs w:val="21"/>
              </w:rPr>
              <w:t>）</w:t>
            </w:r>
            <w:r>
              <w:rPr>
                <w:rFonts w:hint="eastAsia" w:cs="Times New Roman"/>
                <w:b w:val="0"/>
                <w:bCs w:val="0"/>
                <w:color w:val="auto"/>
                <w:sz w:val="21"/>
                <w:szCs w:val="21"/>
                <w:lang w:eastAsia="zh-CN"/>
              </w:rPr>
              <w:t>、《昆明市生态环境分区管控动态更新方案（2023年）》</w:t>
            </w:r>
            <w:r>
              <w:rPr>
                <w:rFonts w:hint="eastAsia" w:cs="Times New Roman"/>
                <w:b w:val="0"/>
                <w:bCs w:val="0"/>
                <w:color w:val="auto"/>
                <w:sz w:val="21"/>
                <w:szCs w:val="21"/>
                <w:lang w:val="en-US" w:eastAsia="zh-CN"/>
              </w:rPr>
              <w:t>等文件的要求，项目与“三线一单”的符合性分析如下：</w:t>
            </w:r>
          </w:p>
          <w:p w14:paraId="20247E1C">
            <w:pPr>
              <w:pStyle w:val="42"/>
              <w:spacing w:line="360" w:lineRule="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（1）生态保护红线、环境质量底线、资源利用上线</w:t>
            </w:r>
          </w:p>
          <w:p w14:paraId="6B3E348A">
            <w:pPr>
              <w:pStyle w:val="42"/>
              <w:keepNext w:val="0"/>
              <w:keepLines w:val="0"/>
              <w:pageBreakBefore w:val="0"/>
              <w:widowControl w:val="0"/>
              <w:kinsoku/>
              <w:wordWrap/>
              <w:overflowPunct/>
              <w:topLinePunct w:val="0"/>
              <w:autoSpaceDE w:val="0"/>
              <w:autoSpaceDN w:val="0"/>
              <w:bidi w:val="0"/>
              <w:adjustRightInd/>
              <w:snapToGrid/>
              <w:spacing w:line="360" w:lineRule="auto"/>
              <w:ind w:left="0" w:leftChars="0" w:firstLine="420" w:firstLineChars="200"/>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项目与昆明市生态保护红线、环境质量底线、资源利用上线</w:t>
            </w:r>
            <w:r>
              <w:rPr>
                <w:rFonts w:hint="eastAsia" w:cs="Times New Roman"/>
                <w:b w:val="0"/>
                <w:bCs w:val="0"/>
                <w:color w:val="auto"/>
                <w:sz w:val="21"/>
                <w:szCs w:val="21"/>
                <w:lang w:val="en-US" w:eastAsia="zh-CN"/>
              </w:rPr>
              <w:t>要求</w:t>
            </w:r>
            <w:r>
              <w:rPr>
                <w:rFonts w:hint="default" w:ascii="Times New Roman" w:hAnsi="Times New Roman" w:eastAsia="宋体" w:cs="Times New Roman"/>
                <w:b w:val="0"/>
                <w:bCs w:val="0"/>
                <w:color w:val="auto"/>
                <w:sz w:val="21"/>
                <w:szCs w:val="21"/>
              </w:rPr>
              <w:t>的符合性分析见表1-</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w:t>
            </w:r>
          </w:p>
          <w:p w14:paraId="76D981F8">
            <w:pPr>
              <w:pStyle w:val="42"/>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表1-</w:t>
            </w:r>
            <w:r>
              <w:rPr>
                <w:rFonts w:hint="eastAsia" w:ascii="Times New Roman" w:hAnsi="Times New Roman" w:eastAsia="宋体" w:cs="Times New Roman"/>
                <w:b/>
                <w:bCs/>
                <w:color w:val="auto"/>
                <w:sz w:val="18"/>
                <w:szCs w:val="18"/>
                <w:lang w:val="en-US" w:eastAsia="zh-CN"/>
              </w:rPr>
              <w:t>2</w:t>
            </w:r>
            <w:r>
              <w:rPr>
                <w:rFonts w:hint="default" w:ascii="Times New Roman" w:hAnsi="Times New Roman" w:eastAsia="宋体" w:cs="Times New Roman"/>
                <w:b/>
                <w:bCs/>
                <w:color w:val="auto"/>
                <w:sz w:val="18"/>
                <w:szCs w:val="18"/>
                <w:lang w:val="en-US" w:eastAsia="zh-CN"/>
              </w:rPr>
              <w:t xml:space="preserve">  </w:t>
            </w:r>
            <w:r>
              <w:rPr>
                <w:rFonts w:hint="default" w:ascii="Times New Roman" w:hAnsi="Times New Roman" w:eastAsia="宋体" w:cs="Times New Roman"/>
                <w:b/>
                <w:bCs/>
                <w:color w:val="auto"/>
                <w:sz w:val="18"/>
                <w:szCs w:val="18"/>
              </w:rPr>
              <w:t>本项目与（</w:t>
            </w:r>
            <w:r>
              <w:rPr>
                <w:rFonts w:hint="default" w:ascii="Times New Roman" w:hAnsi="Times New Roman" w:eastAsia="宋体" w:cs="Times New Roman"/>
                <w:b/>
                <w:bCs/>
                <w:color w:val="auto"/>
                <w:kern w:val="0"/>
                <w:sz w:val="18"/>
                <w:szCs w:val="18"/>
                <w:lang w:val="en-US" w:eastAsia="zh-CN" w:bidi="ar"/>
              </w:rPr>
              <w:t>昆政发〔2021〕21</w:t>
            </w:r>
            <w:r>
              <w:rPr>
                <w:rFonts w:hint="default" w:ascii="Times New Roman" w:hAnsi="Times New Roman" w:eastAsia="宋体" w:cs="Times New Roman"/>
                <w:b/>
                <w:bCs/>
                <w:color w:val="auto"/>
                <w:sz w:val="18"/>
                <w:szCs w:val="18"/>
              </w:rPr>
              <w:t>号）“三线”符合性分析</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682"/>
              <w:gridCol w:w="2110"/>
              <w:gridCol w:w="923"/>
            </w:tblGrid>
            <w:tr w14:paraId="4F35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2F6B3AB8">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类别</w:t>
                  </w:r>
                </w:p>
              </w:tc>
              <w:tc>
                <w:tcPr>
                  <w:tcW w:w="2682" w:type="dxa"/>
                  <w:vAlign w:val="center"/>
                </w:tcPr>
                <w:p w14:paraId="23ABF496">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内容要求</w:t>
                  </w:r>
                </w:p>
              </w:tc>
              <w:tc>
                <w:tcPr>
                  <w:tcW w:w="2110" w:type="dxa"/>
                  <w:vAlign w:val="center"/>
                </w:tcPr>
                <w:p w14:paraId="6887E542">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项目情况</w:t>
                  </w:r>
                </w:p>
              </w:tc>
              <w:tc>
                <w:tcPr>
                  <w:tcW w:w="923" w:type="dxa"/>
                  <w:vAlign w:val="center"/>
                </w:tcPr>
                <w:p w14:paraId="718C4AA2">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符合性</w:t>
                  </w:r>
                </w:p>
              </w:tc>
            </w:tr>
            <w:tr w14:paraId="7AF5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61D6ADF8">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rPr>
                    <w:t>生态保护红线和一般生态空间</w:t>
                  </w:r>
                </w:p>
              </w:tc>
              <w:tc>
                <w:tcPr>
                  <w:tcW w:w="2682" w:type="dxa"/>
                  <w:vAlign w:val="center"/>
                </w:tcPr>
                <w:p w14:paraId="17B8DC91">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outlineLvl w:val="9"/>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14:paraId="0DFEAB2C">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outlineLvl w:val="9"/>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2110" w:type="dxa"/>
                  <w:vAlign w:val="center"/>
                </w:tcPr>
                <w:p w14:paraId="18894A98">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经向昆明市盘龙区自然资源局查询，项目用地范围不涉及生态保护红线、永久基本农田，项目用地范围全部位于城镇开发边界内。</w:t>
                  </w:r>
                </w:p>
              </w:tc>
              <w:tc>
                <w:tcPr>
                  <w:tcW w:w="923" w:type="dxa"/>
                  <w:vAlign w:val="center"/>
                </w:tcPr>
                <w:p w14:paraId="07E04606">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符合</w:t>
                  </w:r>
                </w:p>
              </w:tc>
            </w:tr>
            <w:tr w14:paraId="58FD0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566F5AB4">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环境质量底线</w:t>
                  </w:r>
                </w:p>
              </w:tc>
              <w:tc>
                <w:tcPr>
                  <w:tcW w:w="2682" w:type="dxa"/>
                  <w:vAlign w:val="center"/>
                </w:tcPr>
                <w:p w14:paraId="0BA32DB4">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outlineLvl w:val="9"/>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rPr>
                    <w:t>到2025年，全市生态环境质量持续改善，生态空间得到优化和有效保护，区域生态安全屏障更加牢固。全市环境空气质量总体保持优良，主城建成区空气质量优良天数占比达99%以上，二氧化硫（SO</w:t>
                  </w:r>
                  <w:r>
                    <w:rPr>
                      <w:rFonts w:hint="default" w:ascii="Times New Roman" w:hAnsi="Times New Roman" w:eastAsia="宋体" w:cs="Times New Roman"/>
                      <w:b w:val="0"/>
                      <w:bCs w:val="0"/>
                      <w:color w:val="auto"/>
                      <w:sz w:val="18"/>
                      <w:szCs w:val="18"/>
                      <w:vertAlign w:val="subscript"/>
                    </w:rPr>
                    <w:t>2</w:t>
                  </w:r>
                  <w:r>
                    <w:rPr>
                      <w:rFonts w:hint="default" w:ascii="Times New Roman" w:hAnsi="Times New Roman" w:eastAsia="宋体" w:cs="Times New Roman"/>
                      <w:b w:val="0"/>
                      <w:bCs w:val="0"/>
                      <w:color w:val="auto"/>
                      <w:sz w:val="18"/>
                      <w:szCs w:val="18"/>
                      <w:vertAlign w:val="baseline"/>
                    </w:rPr>
                    <w:t>）和氮氧化物（NO</w:t>
                  </w:r>
                  <w:r>
                    <w:rPr>
                      <w:rFonts w:hint="default" w:ascii="Times New Roman" w:hAnsi="Times New Roman" w:eastAsia="宋体" w:cs="Times New Roman"/>
                      <w:b w:val="0"/>
                      <w:bCs w:val="0"/>
                      <w:color w:val="auto"/>
                      <w:sz w:val="18"/>
                      <w:szCs w:val="18"/>
                      <w:vertAlign w:val="subscript"/>
                    </w:rPr>
                    <w:t>X</w:t>
                  </w:r>
                  <w:r>
                    <w:rPr>
                      <w:rFonts w:hint="default" w:ascii="Times New Roman" w:hAnsi="Times New Roman" w:eastAsia="宋体" w:cs="Times New Roman"/>
                      <w:b w:val="0"/>
                      <w:bCs w:val="0"/>
                      <w:color w:val="auto"/>
                      <w:sz w:val="18"/>
                      <w:szCs w:val="18"/>
                      <w:vertAlign w:val="baseline"/>
                    </w:rPr>
                    <w:t>）排放总量控制在省下达的目标以内，主城区空气中颗粒物（PM</w:t>
                  </w:r>
                  <w:r>
                    <w:rPr>
                      <w:rFonts w:hint="default" w:ascii="Times New Roman" w:hAnsi="Times New Roman" w:eastAsia="宋体" w:cs="Times New Roman"/>
                      <w:b w:val="0"/>
                      <w:bCs w:val="0"/>
                      <w:color w:val="auto"/>
                      <w:sz w:val="18"/>
                      <w:szCs w:val="18"/>
                      <w:vertAlign w:val="subscript"/>
                    </w:rPr>
                    <w:t>10</w:t>
                  </w:r>
                  <w:r>
                    <w:rPr>
                      <w:rFonts w:hint="default" w:ascii="Times New Roman" w:hAnsi="Times New Roman" w:eastAsia="宋体" w:cs="Times New Roman"/>
                      <w:b w:val="0"/>
                      <w:bCs w:val="0"/>
                      <w:color w:val="auto"/>
                      <w:sz w:val="18"/>
                      <w:szCs w:val="18"/>
                      <w:vertAlign w:val="baseline"/>
                    </w:rPr>
                    <w:t>、PM</w:t>
                  </w:r>
                  <w:r>
                    <w:rPr>
                      <w:rFonts w:hint="default" w:ascii="Times New Roman" w:hAnsi="Times New Roman" w:eastAsia="宋体" w:cs="Times New Roman"/>
                      <w:b w:val="0"/>
                      <w:bCs w:val="0"/>
                      <w:color w:val="auto"/>
                      <w:sz w:val="18"/>
                      <w:szCs w:val="18"/>
                      <w:vertAlign w:val="subscript"/>
                    </w:rPr>
                    <w:t>2.5</w:t>
                  </w:r>
                  <w:r>
                    <w:rPr>
                      <w:rFonts w:hint="default" w:ascii="Times New Roman" w:hAnsi="Times New Roman" w:eastAsia="宋体" w:cs="Times New Roman"/>
                      <w:b w:val="0"/>
                      <w:bCs w:val="0"/>
                      <w:color w:val="auto"/>
                      <w:sz w:val="18"/>
                      <w:szCs w:val="18"/>
                      <w:vertAlign w:val="baseline"/>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14:paraId="7E5C726A">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outlineLvl w:val="9"/>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2110" w:type="dxa"/>
                  <w:vAlign w:val="center"/>
                </w:tcPr>
                <w:p w14:paraId="148D20D3">
                  <w:pPr>
                    <w:spacing w:line="240" w:lineRule="auto"/>
                    <w:jc w:val="both"/>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根据《2023年度昆明市生态环境状况公报》，项目所在区域污染物环境质量现状良好，</w:t>
                  </w:r>
                  <w:r>
                    <w:rPr>
                      <w:rFonts w:hint="default" w:ascii="Times New Roman" w:hAnsi="Times New Roman" w:eastAsia="宋体" w:cs="Times New Roman"/>
                      <w:color w:val="auto"/>
                      <w:sz w:val="18"/>
                      <w:szCs w:val="18"/>
                      <w:lang w:val="en-US" w:eastAsia="zh-CN"/>
                    </w:rPr>
                    <w:t>属于空气达标区，</w:t>
                  </w:r>
                  <w:r>
                    <w:rPr>
                      <w:rFonts w:hint="default" w:ascii="Times New Roman" w:hAnsi="Times New Roman" w:eastAsia="宋体" w:cs="Times New Roman"/>
                      <w:color w:val="auto"/>
                      <w:sz w:val="18"/>
                      <w:szCs w:val="18"/>
                    </w:rPr>
                    <w:t>项目废气经收集</w:t>
                  </w:r>
                  <w:r>
                    <w:rPr>
                      <w:rFonts w:hint="eastAsia" w:cs="Times New Roman"/>
                      <w:color w:val="auto"/>
                      <w:sz w:val="18"/>
                      <w:szCs w:val="18"/>
                      <w:lang w:val="en-US" w:eastAsia="zh-CN"/>
                    </w:rPr>
                    <w:t>处理后</w:t>
                  </w:r>
                  <w:r>
                    <w:rPr>
                      <w:rFonts w:hint="default" w:ascii="Times New Roman" w:hAnsi="Times New Roman" w:eastAsia="宋体" w:cs="Times New Roman"/>
                      <w:color w:val="auto"/>
                      <w:sz w:val="18"/>
                      <w:szCs w:val="18"/>
                    </w:rPr>
                    <w:t>引</w:t>
                  </w:r>
                  <w:r>
                    <w:rPr>
                      <w:rFonts w:hint="eastAsia" w:cs="Times New Roman"/>
                      <w:color w:val="auto"/>
                      <w:sz w:val="18"/>
                      <w:szCs w:val="18"/>
                      <w:lang w:val="en-US" w:eastAsia="zh-CN"/>
                    </w:rPr>
                    <w:t>15m高排气筒达标</w:t>
                  </w:r>
                  <w:r>
                    <w:rPr>
                      <w:rFonts w:hint="default" w:ascii="Times New Roman" w:hAnsi="Times New Roman" w:eastAsia="宋体" w:cs="Times New Roman"/>
                      <w:color w:val="auto"/>
                      <w:sz w:val="18"/>
                      <w:szCs w:val="18"/>
                    </w:rPr>
                    <w:t>排放，项目废气污染物排放量较小，不会突破环境空气质量底线</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b w:val="0"/>
                      <w:bCs w:val="0"/>
                      <w:color w:val="auto"/>
                      <w:sz w:val="18"/>
                      <w:szCs w:val="18"/>
                      <w:highlight w:val="none"/>
                      <w:vertAlign w:val="baseline"/>
                      <w:lang w:val="en-US" w:eastAsia="zh-CN"/>
                    </w:rPr>
                    <w:t>项目区域最近的地表水体是</w:t>
                  </w:r>
                  <w:r>
                    <w:rPr>
                      <w:rFonts w:hint="default" w:ascii="Times New Roman" w:hAnsi="Times New Roman" w:eastAsia="宋体" w:cs="Times New Roman"/>
                      <w:color w:val="auto"/>
                      <w:sz w:val="18"/>
                      <w:szCs w:val="18"/>
                      <w:lang w:val="en-US" w:eastAsia="zh-CN"/>
                    </w:rPr>
                    <w:t>盘龙江，</w:t>
                  </w:r>
                  <w:r>
                    <w:rPr>
                      <w:rFonts w:hint="default" w:ascii="Times New Roman" w:hAnsi="Times New Roman" w:eastAsia="宋体" w:cs="Times New Roman"/>
                      <w:color w:val="auto"/>
                      <w:sz w:val="18"/>
                      <w:szCs w:val="18"/>
                    </w:rPr>
                    <w:t>属于滇池流域，</w:t>
                  </w:r>
                  <w:r>
                    <w:rPr>
                      <w:rFonts w:hint="default" w:ascii="Times New Roman" w:hAnsi="Times New Roman" w:eastAsia="宋体" w:cs="Times New Roman"/>
                      <w:b w:val="0"/>
                      <w:bCs w:val="0"/>
                      <w:color w:val="auto"/>
                      <w:sz w:val="18"/>
                      <w:szCs w:val="18"/>
                      <w:u w:val="none"/>
                      <w:vertAlign w:val="baseline"/>
                      <w:lang w:val="en-US" w:eastAsia="zh-CN"/>
                    </w:rPr>
                    <w:t>根据《</w:t>
                  </w:r>
                  <w:r>
                    <w:rPr>
                      <w:rFonts w:hint="eastAsia" w:cs="Times New Roman"/>
                      <w:b w:val="0"/>
                      <w:bCs w:val="0"/>
                      <w:color w:val="auto"/>
                      <w:sz w:val="18"/>
                      <w:szCs w:val="18"/>
                      <w:u w:val="none"/>
                      <w:vertAlign w:val="baseline"/>
                      <w:lang w:val="en-US" w:eastAsia="zh-CN"/>
                    </w:rPr>
                    <w:t>重点高原湖泊水质监测状况月报</w:t>
                  </w:r>
                  <w:r>
                    <w:rPr>
                      <w:rFonts w:hint="default" w:ascii="Times New Roman" w:hAnsi="Times New Roman" w:eastAsia="宋体" w:cs="Times New Roman"/>
                      <w:b w:val="0"/>
                      <w:bCs w:val="0"/>
                      <w:color w:val="auto"/>
                      <w:sz w:val="18"/>
                      <w:szCs w:val="18"/>
                      <w:u w:val="none"/>
                      <w:vertAlign w:val="baseline"/>
                      <w:lang w:val="en-US" w:eastAsia="zh-CN"/>
                    </w:rPr>
                    <w:t>》(2024年</w:t>
                  </w:r>
                  <w:r>
                    <w:rPr>
                      <w:rFonts w:hint="eastAsia" w:cs="Times New Roman"/>
                      <w:b w:val="0"/>
                      <w:bCs w:val="0"/>
                      <w:color w:val="auto"/>
                      <w:sz w:val="18"/>
                      <w:szCs w:val="18"/>
                      <w:u w:val="none"/>
                      <w:vertAlign w:val="baseline"/>
                      <w:lang w:val="en-US" w:eastAsia="zh-CN"/>
                    </w:rPr>
                    <w:t>11月</w:t>
                  </w:r>
                  <w:r>
                    <w:rPr>
                      <w:rFonts w:hint="default" w:ascii="Times New Roman" w:hAnsi="Times New Roman" w:eastAsia="宋体" w:cs="Times New Roman"/>
                      <w:b w:val="0"/>
                      <w:bCs w:val="0"/>
                      <w:color w:val="auto"/>
                      <w:sz w:val="18"/>
                      <w:szCs w:val="18"/>
                      <w:u w:val="none"/>
                      <w:vertAlign w:val="baseline"/>
                      <w:lang w:val="en-US" w:eastAsia="zh-CN"/>
                    </w:rPr>
                    <w:t>~</w:t>
                  </w:r>
                  <w:r>
                    <w:rPr>
                      <w:rFonts w:hint="eastAsia" w:cs="Times New Roman"/>
                      <w:b w:val="0"/>
                      <w:bCs w:val="0"/>
                      <w:color w:val="auto"/>
                      <w:sz w:val="18"/>
                      <w:szCs w:val="18"/>
                      <w:u w:val="none"/>
                      <w:vertAlign w:val="baseline"/>
                      <w:lang w:val="en-US" w:eastAsia="zh-CN"/>
                    </w:rPr>
                    <w:t>2025年1</w:t>
                  </w:r>
                  <w:r>
                    <w:rPr>
                      <w:rFonts w:hint="default" w:ascii="Times New Roman" w:hAnsi="Times New Roman" w:eastAsia="宋体" w:cs="Times New Roman"/>
                      <w:b w:val="0"/>
                      <w:bCs w:val="0"/>
                      <w:color w:val="auto"/>
                      <w:sz w:val="18"/>
                      <w:szCs w:val="18"/>
                      <w:u w:val="none"/>
                      <w:vertAlign w:val="baseline"/>
                      <w:lang w:val="en-US" w:eastAsia="zh-CN"/>
                    </w:rPr>
                    <w:t>月)，盘龙江水质现状达标</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本项目</w:t>
                  </w:r>
                  <w:r>
                    <w:rPr>
                      <w:rFonts w:hint="default" w:ascii="Times New Roman" w:hAnsi="Times New Roman" w:eastAsia="宋体" w:cs="Times New Roman"/>
                      <w:color w:val="auto"/>
                      <w:sz w:val="18"/>
                      <w:szCs w:val="18"/>
                      <w:lang w:eastAsia="zh-CN"/>
                    </w:rPr>
                    <w:t>周边</w:t>
                  </w:r>
                  <w:r>
                    <w:rPr>
                      <w:rFonts w:hint="default" w:ascii="Times New Roman" w:hAnsi="Times New Roman" w:eastAsia="宋体" w:cs="Times New Roman"/>
                      <w:color w:val="auto"/>
                      <w:sz w:val="18"/>
                      <w:szCs w:val="18"/>
                    </w:rPr>
                    <w:t>已配套完善的雨污管网，污水可进入</w:t>
                  </w:r>
                  <w:r>
                    <w:rPr>
                      <w:rFonts w:hint="eastAsia" w:cs="Times New Roman"/>
                      <w:color w:val="auto"/>
                      <w:sz w:val="18"/>
                      <w:szCs w:val="18"/>
                      <w:lang w:eastAsia="zh-CN"/>
                    </w:rPr>
                    <w:t>昆明市第十四水质净化厂</w:t>
                  </w:r>
                  <w:r>
                    <w:rPr>
                      <w:rFonts w:hint="default" w:ascii="Times New Roman" w:hAnsi="Times New Roman" w:eastAsia="宋体" w:cs="Times New Roman"/>
                      <w:color w:val="auto"/>
                      <w:sz w:val="18"/>
                      <w:szCs w:val="18"/>
                    </w:rPr>
                    <w:t>，项目不直接排放废水污染物，且水污染物排放量较小，不会突破当地水环境质量底线</w:t>
                  </w:r>
                  <w:r>
                    <w:rPr>
                      <w:rFonts w:hint="default" w:ascii="Times New Roman" w:hAnsi="Times New Roman" w:eastAsia="宋体" w:cs="Times New Roman"/>
                      <w:color w:val="auto"/>
                      <w:sz w:val="18"/>
                      <w:szCs w:val="18"/>
                      <w:lang w:val="en-US" w:eastAsia="zh-CN"/>
                    </w:rPr>
                    <w:t>；根据</w:t>
                  </w:r>
                  <w:r>
                    <w:rPr>
                      <w:rFonts w:hint="default" w:ascii="Times New Roman" w:hAnsi="Times New Roman" w:eastAsia="宋体" w:cs="Times New Roman"/>
                      <w:color w:val="auto"/>
                      <w:sz w:val="18"/>
                      <w:szCs w:val="18"/>
                    </w:rPr>
                    <w:t>《2023年度昆明市生态环境状况公报》</w:t>
                  </w:r>
                  <w:r>
                    <w:rPr>
                      <w:rFonts w:hint="default" w:ascii="Times New Roman" w:hAnsi="Times New Roman" w:eastAsia="宋体" w:cs="Times New Roman"/>
                      <w:color w:val="auto"/>
                      <w:sz w:val="18"/>
                      <w:szCs w:val="18"/>
                      <w:lang w:val="en-US" w:eastAsia="zh-CN"/>
                    </w:rPr>
                    <w:t>，项目区域噪声可满足（GB3096-2008）2类标准。</w:t>
                  </w:r>
                  <w:r>
                    <w:rPr>
                      <w:rFonts w:hint="default" w:ascii="Times New Roman" w:hAnsi="Times New Roman" w:eastAsia="宋体" w:cs="Times New Roman"/>
                      <w:color w:val="auto"/>
                      <w:sz w:val="18"/>
                      <w:szCs w:val="18"/>
                    </w:rPr>
                    <w:t>本项目从事</w:t>
                  </w:r>
                  <w:r>
                    <w:rPr>
                      <w:rFonts w:hint="default" w:ascii="Times New Roman" w:hAnsi="Times New Roman" w:eastAsia="宋体" w:cs="Times New Roman"/>
                      <w:color w:val="auto"/>
                      <w:sz w:val="18"/>
                      <w:szCs w:val="18"/>
                      <w:lang w:val="en-US" w:eastAsia="zh-CN"/>
                    </w:rPr>
                    <w:t>水质</w:t>
                  </w:r>
                  <w:r>
                    <w:rPr>
                      <w:rFonts w:hint="default" w:ascii="Times New Roman" w:hAnsi="Times New Roman" w:eastAsia="宋体" w:cs="Times New Roman"/>
                      <w:color w:val="auto"/>
                      <w:sz w:val="18"/>
                      <w:szCs w:val="18"/>
                    </w:rPr>
                    <w:t>检测服务业，在已建成的</w:t>
                  </w:r>
                  <w:r>
                    <w:rPr>
                      <w:rFonts w:hint="default" w:ascii="Times New Roman" w:hAnsi="Times New Roman" w:eastAsia="宋体" w:cs="Times New Roman"/>
                      <w:color w:val="auto"/>
                      <w:sz w:val="18"/>
                      <w:szCs w:val="18"/>
                      <w:lang w:eastAsia="zh-CN"/>
                    </w:rPr>
                    <w:t>建筑</w:t>
                  </w:r>
                  <w:r>
                    <w:rPr>
                      <w:rFonts w:hint="default" w:ascii="Times New Roman" w:hAnsi="Times New Roman" w:eastAsia="宋体" w:cs="Times New Roman"/>
                      <w:color w:val="auto"/>
                      <w:sz w:val="18"/>
                      <w:szCs w:val="18"/>
                    </w:rPr>
                    <w:t>内建设</w:t>
                  </w:r>
                  <w:r>
                    <w:rPr>
                      <w:rFonts w:hint="eastAsia" w:cs="Times New Roman"/>
                      <w:color w:val="auto"/>
                      <w:sz w:val="18"/>
                      <w:szCs w:val="18"/>
                      <w:lang w:val="en-US" w:eastAsia="zh-CN"/>
                    </w:rPr>
                    <w:t>水质检测分析实验室</w:t>
                  </w:r>
                  <w:r>
                    <w:rPr>
                      <w:rFonts w:hint="default" w:ascii="Times New Roman" w:hAnsi="Times New Roman" w:eastAsia="宋体" w:cs="Times New Roman"/>
                      <w:color w:val="auto"/>
                      <w:sz w:val="18"/>
                      <w:szCs w:val="18"/>
                    </w:rPr>
                    <w:t>，检测分析过程中污染物产生量小</w:t>
                  </w:r>
                  <w:r>
                    <w:rPr>
                      <w:rFonts w:hint="default" w:ascii="Times New Roman" w:hAnsi="Times New Roman" w:eastAsia="宋体" w:cs="Times New Roman"/>
                      <w:color w:val="auto"/>
                      <w:sz w:val="18"/>
                      <w:szCs w:val="18"/>
                      <w:lang w:eastAsia="zh-CN"/>
                    </w:rPr>
                    <w:t>，</w:t>
                  </w:r>
                  <w:r>
                    <w:rPr>
                      <w:rFonts w:hint="eastAsia" w:cs="Times New Roman"/>
                      <w:color w:val="auto"/>
                      <w:sz w:val="18"/>
                      <w:szCs w:val="18"/>
                      <w:lang w:val="en-US" w:eastAsia="zh-CN"/>
                    </w:rPr>
                    <w:t>用地范围内地面全部硬化，污染物不会下渗</w:t>
                  </w:r>
                  <w:r>
                    <w:rPr>
                      <w:rFonts w:hint="default" w:ascii="Times New Roman" w:hAnsi="Times New Roman" w:eastAsia="宋体" w:cs="Times New Roman"/>
                      <w:color w:val="auto"/>
                      <w:sz w:val="18"/>
                      <w:szCs w:val="18"/>
                    </w:rPr>
                    <w:t>对土壤</w:t>
                  </w:r>
                  <w:r>
                    <w:rPr>
                      <w:rFonts w:hint="eastAsia" w:cs="Times New Roman"/>
                      <w:color w:val="auto"/>
                      <w:sz w:val="18"/>
                      <w:szCs w:val="18"/>
                      <w:lang w:val="en-US" w:eastAsia="zh-CN"/>
                    </w:rPr>
                    <w:t>造成</w:t>
                  </w:r>
                  <w:r>
                    <w:rPr>
                      <w:rFonts w:hint="default" w:ascii="Times New Roman" w:hAnsi="Times New Roman" w:eastAsia="宋体" w:cs="Times New Roman"/>
                      <w:color w:val="auto"/>
                      <w:sz w:val="18"/>
                      <w:szCs w:val="18"/>
                    </w:rPr>
                    <w:t>的</w:t>
                  </w:r>
                  <w:r>
                    <w:rPr>
                      <w:rFonts w:hint="eastAsia" w:cs="Times New Roman"/>
                      <w:color w:val="auto"/>
                      <w:sz w:val="18"/>
                      <w:szCs w:val="18"/>
                      <w:lang w:val="en-US" w:eastAsia="zh-CN"/>
                    </w:rPr>
                    <w:t>不利</w:t>
                  </w:r>
                  <w:r>
                    <w:rPr>
                      <w:rFonts w:hint="default" w:ascii="Times New Roman" w:hAnsi="Times New Roman" w:eastAsia="宋体" w:cs="Times New Roman"/>
                      <w:color w:val="auto"/>
                      <w:sz w:val="18"/>
                      <w:szCs w:val="18"/>
                    </w:rPr>
                    <w:t>影响</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项目产生的危险废物经收集后暂存于危废暂存间内，委托有资质的单位定期清运处置，危废暂存间地面和四周墙裙进行重点防渗处理。</w:t>
                  </w:r>
                </w:p>
                <w:p w14:paraId="519574C5">
                  <w:pPr>
                    <w:spacing w:line="240" w:lineRule="auto"/>
                    <w:jc w:val="both"/>
                    <w:outlineLvl w:val="9"/>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color w:val="auto"/>
                      <w:sz w:val="18"/>
                      <w:szCs w:val="18"/>
                      <w:lang w:val="en-US" w:eastAsia="zh-CN"/>
                    </w:rPr>
                    <w:t>项目在落实环评提出的各项污染物防治措施的情况下，各项目污染物可达标排放，不会降低周围环境质量，能够满足环境功能区要求，满足环境质量底线要求。</w:t>
                  </w:r>
                </w:p>
              </w:tc>
              <w:tc>
                <w:tcPr>
                  <w:tcW w:w="923" w:type="dxa"/>
                  <w:vAlign w:val="center"/>
                </w:tcPr>
                <w:p w14:paraId="430FFB41">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符合</w:t>
                  </w:r>
                </w:p>
              </w:tc>
            </w:tr>
            <w:tr w14:paraId="4D9D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Align w:val="center"/>
                </w:tcPr>
                <w:p w14:paraId="21EF0105">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资源利用上线</w:t>
                  </w:r>
                </w:p>
              </w:tc>
              <w:tc>
                <w:tcPr>
                  <w:tcW w:w="2682" w:type="dxa"/>
                  <w:vAlign w:val="center"/>
                </w:tcPr>
                <w:p w14:paraId="27509A82">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both"/>
                    <w:textAlignment w:val="auto"/>
                    <w:outlineLvl w:val="9"/>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b w:val="0"/>
                      <w:bCs w:val="0"/>
                      <w:color w:val="auto"/>
                      <w:sz w:val="18"/>
                      <w:szCs w:val="18"/>
                      <w:vertAlign w:val="baseline"/>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110" w:type="dxa"/>
                  <w:vAlign w:val="center"/>
                </w:tcPr>
                <w:p w14:paraId="586BF8C6">
                  <w:pPr>
                    <w:keepNext w:val="0"/>
                    <w:keepLines w:val="0"/>
                    <w:pageBreakBefore w:val="0"/>
                    <w:widowControl/>
                    <w:suppressLineNumbers w:val="0"/>
                    <w:kinsoku/>
                    <w:wordWrap/>
                    <w:overflowPunct/>
                    <w:topLinePunct w:val="0"/>
                    <w:autoSpaceDE w:val="0"/>
                    <w:autoSpaceDN w:val="0"/>
                    <w:bidi w:val="0"/>
                    <w:adjustRightInd/>
                    <w:snapToGrid/>
                    <w:spacing w:line="240" w:lineRule="auto"/>
                    <w:jc w:val="left"/>
                    <w:textAlignment w:val="auto"/>
                    <w:outlineLvl w:val="9"/>
                    <w:rPr>
                      <w:rFonts w:hint="default" w:ascii="Times New Roman" w:hAnsi="Times New Roman" w:eastAsia="宋体" w:cs="Times New Roman"/>
                      <w:b w:val="0"/>
                      <w:bCs w:val="0"/>
                      <w:color w:val="auto"/>
                      <w:sz w:val="18"/>
                      <w:szCs w:val="18"/>
                      <w:vertAlign w:val="baseline"/>
                    </w:rPr>
                  </w:pPr>
                  <w:r>
                    <w:rPr>
                      <w:rFonts w:hint="default" w:ascii="Times New Roman" w:hAnsi="Times New Roman" w:eastAsia="宋体" w:cs="Times New Roman"/>
                      <w:color w:val="auto"/>
                      <w:sz w:val="18"/>
                      <w:szCs w:val="18"/>
                    </w:rPr>
                    <w:t>项目用水由市政供水系统提供，且用水量相对较小，符合水资源利用上线。项目</w:t>
                  </w:r>
                  <w:r>
                    <w:rPr>
                      <w:rFonts w:hint="default" w:ascii="Times New Roman" w:hAnsi="Times New Roman" w:eastAsia="宋体" w:cs="Times New Roman"/>
                      <w:color w:val="auto"/>
                      <w:sz w:val="18"/>
                      <w:szCs w:val="18"/>
                      <w:lang w:val="en-US" w:eastAsia="zh-CN"/>
                    </w:rPr>
                    <w:t>租用</w:t>
                  </w:r>
                  <w:r>
                    <w:rPr>
                      <w:rFonts w:hint="default" w:ascii="Times New Roman" w:hAnsi="Times New Roman" w:eastAsia="宋体" w:cs="Times New Roman"/>
                      <w:color w:val="auto"/>
                      <w:kern w:val="0"/>
                      <w:sz w:val="18"/>
                      <w:szCs w:val="18"/>
                      <w:lang w:val="en-US" w:eastAsia="zh-CN" w:bidi="ar"/>
                    </w:rPr>
                    <w:t>云南水投牛栏江滇池补水工程有限公司负2</w:t>
                  </w:r>
                  <w:r>
                    <w:rPr>
                      <w:rFonts w:hint="eastAsia" w:cs="Times New Roman"/>
                      <w:color w:val="auto"/>
                      <w:kern w:val="0"/>
                      <w:sz w:val="18"/>
                      <w:szCs w:val="18"/>
                      <w:lang w:val="en-US" w:eastAsia="zh-CN" w:bidi="ar"/>
                    </w:rPr>
                    <w:t>层</w:t>
                  </w:r>
                  <w:r>
                    <w:rPr>
                      <w:rFonts w:hint="default" w:ascii="Times New Roman" w:hAnsi="Times New Roman" w:eastAsia="宋体" w:cs="Times New Roman"/>
                      <w:color w:val="auto"/>
                      <w:kern w:val="0"/>
                      <w:sz w:val="18"/>
                      <w:szCs w:val="18"/>
                      <w:lang w:val="en-US" w:eastAsia="zh-CN" w:bidi="ar"/>
                    </w:rPr>
                    <w:t>地下室</w:t>
                  </w:r>
                  <w:r>
                    <w:rPr>
                      <w:rFonts w:hint="eastAsia" w:cs="Times New Roman"/>
                      <w:color w:val="auto"/>
                      <w:kern w:val="0"/>
                      <w:sz w:val="18"/>
                      <w:szCs w:val="18"/>
                      <w:lang w:val="en-US" w:eastAsia="zh-CN" w:bidi="ar"/>
                    </w:rPr>
                    <w:t>建设水质检测实验室，</w:t>
                  </w:r>
                  <w:r>
                    <w:rPr>
                      <w:rFonts w:hint="default" w:ascii="Times New Roman" w:hAnsi="Times New Roman" w:eastAsia="宋体" w:cs="Times New Roman"/>
                      <w:color w:val="auto"/>
                      <w:sz w:val="18"/>
                      <w:szCs w:val="18"/>
                      <w:lang w:val="en-US" w:eastAsia="zh-CN"/>
                    </w:rPr>
                    <w:t>不新增占地</w:t>
                  </w:r>
                  <w:r>
                    <w:rPr>
                      <w:rFonts w:hint="default" w:ascii="Times New Roman" w:hAnsi="Times New Roman" w:eastAsia="宋体" w:cs="Times New Roman"/>
                      <w:color w:val="auto"/>
                      <w:sz w:val="18"/>
                      <w:szCs w:val="18"/>
                    </w:rPr>
                    <w:t>，不涉及基本农田，符合土地资源利用上线要求。项目运营过程中主要消耗电、水，项目用水量、用电量相对较小，符合能源利用上线要求</w:t>
                  </w:r>
                  <w:r>
                    <w:rPr>
                      <w:rFonts w:hint="default" w:ascii="Times New Roman" w:hAnsi="Times New Roman" w:eastAsia="宋体" w:cs="Times New Roman"/>
                      <w:color w:val="auto"/>
                      <w:kern w:val="0"/>
                      <w:sz w:val="18"/>
                      <w:szCs w:val="18"/>
                      <w:lang w:val="en-US" w:eastAsia="zh-CN" w:bidi="ar"/>
                    </w:rPr>
                    <w:t>。</w:t>
                  </w:r>
                </w:p>
              </w:tc>
              <w:tc>
                <w:tcPr>
                  <w:tcW w:w="923" w:type="dxa"/>
                  <w:vAlign w:val="center"/>
                </w:tcPr>
                <w:p w14:paraId="27FCD174">
                  <w:pPr>
                    <w:pStyle w:val="42"/>
                    <w:keepNext w:val="0"/>
                    <w:keepLines w:val="0"/>
                    <w:pageBreakBefore w:val="0"/>
                    <w:widowControl w:val="0"/>
                    <w:kinsoku/>
                    <w:wordWrap/>
                    <w:overflowPunct/>
                    <w:topLinePunct w:val="0"/>
                    <w:autoSpaceDE w:val="0"/>
                    <w:autoSpaceDN w:val="0"/>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符合</w:t>
                  </w:r>
                </w:p>
              </w:tc>
            </w:tr>
          </w:tbl>
          <w:p w14:paraId="692DDF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2" w:firstLineChars="200"/>
              <w:jc w:val="both"/>
              <w:textAlignment w:val="auto"/>
              <w:outlineLvl w:val="9"/>
              <w:rPr>
                <w:rFonts w:hint="default" w:ascii="Times New Roman" w:hAnsi="Times New Roman" w:eastAsia="宋体" w:cs="Times New Roman"/>
                <w:b/>
                <w:bCs/>
                <w:color w:val="auto"/>
                <w:sz w:val="21"/>
                <w:szCs w:val="21"/>
                <w:u w:val="none"/>
                <w:vertAlign w:val="baseline"/>
                <w:lang w:val="en-US" w:eastAsia="zh-CN"/>
              </w:rPr>
            </w:pPr>
            <w:r>
              <w:rPr>
                <w:rFonts w:hint="default" w:ascii="Times New Roman" w:hAnsi="Times New Roman" w:eastAsia="宋体" w:cs="Times New Roman"/>
                <w:b/>
                <w:bCs/>
                <w:color w:val="auto"/>
                <w:sz w:val="21"/>
                <w:szCs w:val="21"/>
                <w:vertAlign w:val="baseline"/>
                <w:lang w:val="en-US" w:eastAsia="zh-CN" w:bidi="ar-SA"/>
              </w:rPr>
              <w:t>（2）</w:t>
            </w:r>
            <w:r>
              <w:rPr>
                <w:rFonts w:hint="default" w:ascii="Times New Roman" w:hAnsi="Times New Roman" w:eastAsia="宋体" w:cs="Times New Roman"/>
                <w:b/>
                <w:bCs/>
                <w:color w:val="auto"/>
                <w:sz w:val="21"/>
                <w:szCs w:val="21"/>
                <w:u w:val="none"/>
                <w:vertAlign w:val="baseline"/>
                <w:lang w:val="en-US" w:eastAsia="zh-CN"/>
              </w:rPr>
              <w:t>环境准入清单</w:t>
            </w:r>
          </w:p>
          <w:p w14:paraId="388988CF">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u w:val="none"/>
                <w:vertAlign w:val="baseline"/>
                <w:lang w:val="en-US" w:eastAsia="zh-CN"/>
              </w:rPr>
            </w:pPr>
            <w:r>
              <w:rPr>
                <w:rFonts w:hint="eastAsia" w:cs="Times New Roman"/>
                <w:b w:val="0"/>
                <w:bCs w:val="0"/>
                <w:color w:val="auto"/>
                <w:sz w:val="21"/>
                <w:szCs w:val="21"/>
                <w:u w:val="none"/>
                <w:vertAlign w:val="baseline"/>
                <w:lang w:val="en-US" w:eastAsia="zh-CN"/>
              </w:rPr>
              <w:t>经云南省生态环境分区管控公共服务查询平台查询得知，项目用地范围涉及盘龙区城镇重点管控单元</w:t>
            </w:r>
            <w:r>
              <w:rPr>
                <w:rFonts w:hint="default" w:ascii="Times New Roman" w:hAnsi="Times New Roman" w:eastAsia="宋体" w:cs="Times New Roman"/>
                <w:color w:val="auto"/>
                <w:sz w:val="21"/>
                <w:szCs w:val="21"/>
                <w:lang w:val="en-US" w:eastAsia="zh-CN"/>
              </w:rPr>
              <w:t>ZH53010320002</w:t>
            </w:r>
            <w:r>
              <w:rPr>
                <w:rFonts w:hint="eastAsia" w:cs="Times New Roman"/>
                <w:b w:val="0"/>
                <w:bCs w:val="0"/>
                <w:color w:val="auto"/>
                <w:sz w:val="21"/>
                <w:szCs w:val="21"/>
                <w:u w:val="none"/>
                <w:vertAlign w:val="baseline"/>
                <w:lang w:val="en-US" w:eastAsia="zh-CN"/>
              </w:rPr>
              <w:t>。项目与《昆明市生态环境分区管控动态更新方案（2023年）》中盘龙区生态环境准入清单的对比分析如下：</w:t>
            </w:r>
          </w:p>
          <w:p w14:paraId="3BB0AEBA">
            <w:pPr>
              <w:bidi w:val="0"/>
              <w:outlineLvl w:val="9"/>
              <w:rPr>
                <w:rFonts w:hint="eastAsia"/>
                <w:color w:val="auto"/>
                <w:lang w:val="en-US" w:eastAsia="zh-CN"/>
              </w:rPr>
            </w:pPr>
            <w:r>
              <w:rPr>
                <w:rFonts w:hint="eastAsia"/>
                <w:color w:val="auto"/>
                <w:lang w:val="en-US" w:eastAsia="zh-CN"/>
              </w:rPr>
              <w:drawing>
                <wp:inline distT="0" distB="0" distL="114300" distR="114300">
                  <wp:extent cx="4260215" cy="2693035"/>
                  <wp:effectExtent l="9525" t="9525" r="12700" b="10160"/>
                  <wp:docPr id="6" name="图片 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未标题-1"/>
                          <pic:cNvPicPr>
                            <a:picLocks noChangeAspect="1"/>
                          </pic:cNvPicPr>
                        </pic:nvPicPr>
                        <pic:blipFill>
                          <a:blip r:embed="rId14"/>
                          <a:stretch>
                            <a:fillRect/>
                          </a:stretch>
                        </pic:blipFill>
                        <pic:spPr>
                          <a:xfrm>
                            <a:off x="0" y="0"/>
                            <a:ext cx="4260215" cy="2693035"/>
                          </a:xfrm>
                          <a:prstGeom prst="rect">
                            <a:avLst/>
                          </a:prstGeom>
                          <a:ln>
                            <a:solidFill>
                              <a:schemeClr val="tx1"/>
                            </a:solidFill>
                          </a:ln>
                        </pic:spPr>
                      </pic:pic>
                    </a:graphicData>
                  </a:graphic>
                </wp:inline>
              </w:drawing>
            </w:r>
          </w:p>
          <w:p w14:paraId="3BC078E8">
            <w:pPr>
              <w:keepNext w:val="0"/>
              <w:keepLines w:val="0"/>
              <w:pageBreakBefore w:val="0"/>
              <w:widowControl w:val="0"/>
              <w:kinsoku/>
              <w:wordWrap/>
              <w:overflowPunct/>
              <w:topLinePunct w:val="0"/>
              <w:autoSpaceDE/>
              <w:autoSpaceDN/>
              <w:bidi w:val="0"/>
              <w:adjustRightInd/>
              <w:snapToGrid/>
              <w:spacing w:line="360" w:lineRule="exact"/>
              <w:ind w:firstLine="361" w:firstLineChars="200"/>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图1-1  云南省生态环境分区管控公共服务查询平台查询结果</w:t>
            </w:r>
          </w:p>
          <w:p w14:paraId="2D5822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项目与《昆明市生态环境分区管控动态更新方案（2023年）》的符合性分析如下：</w:t>
            </w:r>
          </w:p>
          <w:p w14:paraId="2815CD4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cs="Times New Roman"/>
                <w:b/>
                <w:bCs/>
                <w:color w:val="auto"/>
                <w:sz w:val="18"/>
                <w:szCs w:val="18"/>
                <w:lang w:val="en-US" w:eastAsia="zh-CN"/>
              </w:rPr>
            </w:pPr>
            <w:r>
              <w:rPr>
                <w:rFonts w:hint="eastAsia" w:cs="Times New Roman"/>
                <w:b/>
                <w:bCs/>
                <w:color w:val="auto"/>
                <w:sz w:val="18"/>
                <w:szCs w:val="18"/>
                <w:lang w:val="en-US" w:eastAsia="zh-CN"/>
              </w:rPr>
              <w:t>表1-3  与</w:t>
            </w:r>
            <w:r>
              <w:rPr>
                <w:rFonts w:hint="eastAsia" w:ascii="Times New Roman" w:hAnsi="Times New Roman" w:eastAsia="宋体" w:cs="Times New Roman"/>
                <w:b/>
                <w:bCs/>
                <w:color w:val="auto"/>
                <w:sz w:val="18"/>
                <w:szCs w:val="18"/>
                <w:lang w:val="en-US" w:eastAsia="zh-CN"/>
              </w:rPr>
              <w:t>昆明市生态环境分区管控动态更新方案（2023年）</w:t>
            </w:r>
            <w:r>
              <w:rPr>
                <w:rFonts w:hint="eastAsia" w:cs="Times New Roman"/>
                <w:b/>
                <w:bCs/>
                <w:color w:val="auto"/>
                <w:sz w:val="18"/>
                <w:szCs w:val="18"/>
                <w:lang w:val="en-US" w:eastAsia="zh-CN"/>
              </w:rPr>
              <w:t>符合性分析一览表</w:t>
            </w:r>
          </w:p>
          <w:tbl>
            <w:tblPr>
              <w:tblStyle w:val="21"/>
              <w:tblW w:w="6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3231"/>
              <w:gridCol w:w="1980"/>
              <w:gridCol w:w="626"/>
            </w:tblGrid>
            <w:tr w14:paraId="75B92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17" w:type="dxa"/>
                  <w:gridSpan w:val="2"/>
                  <w:vAlign w:val="center"/>
                </w:tcPr>
                <w:p w14:paraId="52E1970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bCs/>
                      <w:color w:val="auto"/>
                      <w:sz w:val="18"/>
                      <w:szCs w:val="18"/>
                      <w:u w:val="none"/>
                      <w:vertAlign w:val="baseline"/>
                      <w:lang w:val="en-US" w:eastAsia="zh-CN"/>
                    </w:rPr>
                  </w:pPr>
                  <w:r>
                    <w:rPr>
                      <w:rFonts w:hint="default" w:ascii="Times New Roman" w:hAnsi="Times New Roman" w:eastAsia="宋体" w:cs="Times New Roman"/>
                      <w:b/>
                      <w:bCs/>
                      <w:color w:val="auto"/>
                      <w:sz w:val="18"/>
                      <w:szCs w:val="18"/>
                      <w:u w:val="none"/>
                      <w:vertAlign w:val="baseline"/>
                      <w:lang w:val="en-US" w:eastAsia="zh-CN"/>
                    </w:rPr>
                    <w:t>昆明市生态环境管控总体准入要求</w:t>
                  </w:r>
                </w:p>
              </w:tc>
              <w:tc>
                <w:tcPr>
                  <w:tcW w:w="1980" w:type="dxa"/>
                  <w:vAlign w:val="center"/>
                </w:tcPr>
                <w:p w14:paraId="6A798DE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bCs/>
                      <w:color w:val="auto"/>
                      <w:sz w:val="18"/>
                      <w:szCs w:val="18"/>
                      <w:u w:val="none"/>
                      <w:vertAlign w:val="baseline"/>
                      <w:lang w:val="en-US" w:eastAsia="zh-CN"/>
                    </w:rPr>
                  </w:pPr>
                  <w:r>
                    <w:rPr>
                      <w:rFonts w:hint="default" w:ascii="Times New Roman" w:hAnsi="Times New Roman" w:eastAsia="宋体" w:cs="Times New Roman"/>
                      <w:b/>
                      <w:bCs/>
                      <w:color w:val="auto"/>
                      <w:sz w:val="18"/>
                      <w:szCs w:val="18"/>
                      <w:u w:val="none"/>
                      <w:vertAlign w:val="baseline"/>
                      <w:lang w:val="en-US" w:eastAsia="zh-CN"/>
                    </w:rPr>
                    <w:t>本项目情况</w:t>
                  </w:r>
                </w:p>
              </w:tc>
              <w:tc>
                <w:tcPr>
                  <w:tcW w:w="626" w:type="dxa"/>
                  <w:vAlign w:val="center"/>
                </w:tcPr>
                <w:p w14:paraId="3F0F30C7">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bCs/>
                      <w:color w:val="auto"/>
                      <w:sz w:val="18"/>
                      <w:szCs w:val="18"/>
                      <w:u w:val="none"/>
                      <w:vertAlign w:val="baseline"/>
                      <w:lang w:val="en-US" w:eastAsia="zh-CN"/>
                    </w:rPr>
                  </w:pPr>
                  <w:r>
                    <w:rPr>
                      <w:rFonts w:hint="default" w:ascii="Times New Roman" w:hAnsi="Times New Roman" w:eastAsia="宋体" w:cs="Times New Roman"/>
                      <w:b/>
                      <w:bCs/>
                      <w:color w:val="auto"/>
                      <w:sz w:val="18"/>
                      <w:szCs w:val="18"/>
                      <w:u w:val="none"/>
                      <w:vertAlign w:val="baseline"/>
                      <w:lang w:val="en-US" w:eastAsia="zh-CN"/>
                    </w:rPr>
                    <w:t>符合性</w:t>
                  </w:r>
                </w:p>
              </w:tc>
            </w:tr>
            <w:tr w14:paraId="41E4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686" w:type="dxa"/>
                  <w:vAlign w:val="center"/>
                </w:tcPr>
                <w:p w14:paraId="01911BE5">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color w:val="auto"/>
                      <w:sz w:val="18"/>
                      <w:szCs w:val="18"/>
                    </w:rPr>
                    <w:t>空间布局约束</w:t>
                  </w:r>
                </w:p>
              </w:tc>
              <w:tc>
                <w:tcPr>
                  <w:tcW w:w="3231" w:type="dxa"/>
                  <w:vAlign w:val="center"/>
                </w:tcPr>
                <w:p w14:paraId="518C8DAF">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根据《昆明市国土空间总体规划（2021—2035年）》进行空间管控。</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2</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牛栏江流域内，严格按照《云南省牛栏江保护条例》相关要求对水环境进行分区管控。</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3</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滇池流域内，严格按照《云南省滇池湖滨生态红线及湖泊生态黄线“两线”划定方案》相关要求进行分区管控。</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4</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阳宗海流域内，严格按照《云南省阳宗海湖滨生态红线及湖泊生态黄线“两线”划定方案》相关要求进行分区管控。</w:t>
                  </w:r>
                </w:p>
              </w:tc>
              <w:tc>
                <w:tcPr>
                  <w:tcW w:w="1980" w:type="dxa"/>
                  <w:vAlign w:val="center"/>
                </w:tcPr>
                <w:p w14:paraId="6F025481">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1、本项目的建设符合</w:t>
                  </w:r>
                  <w:r>
                    <w:rPr>
                      <w:rFonts w:hint="default" w:ascii="Times New Roman" w:hAnsi="Times New Roman" w:eastAsia="宋体" w:cs="Times New Roman"/>
                      <w:color w:val="auto"/>
                      <w:sz w:val="18"/>
                      <w:szCs w:val="18"/>
                    </w:rPr>
                    <w:t>《昆明市国土空间总体规划（2021—2035年）》</w:t>
                  </w:r>
                  <w:r>
                    <w:rPr>
                      <w:rFonts w:hint="default" w:ascii="Times New Roman" w:hAnsi="Times New Roman" w:eastAsia="宋体" w:cs="Times New Roman"/>
                      <w:color w:val="auto"/>
                      <w:sz w:val="18"/>
                      <w:szCs w:val="18"/>
                      <w:lang w:val="en-US" w:eastAsia="zh-CN"/>
                    </w:rPr>
                    <w:t>的相关要求。</w:t>
                  </w:r>
                </w:p>
                <w:p w14:paraId="1380ECF6">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2、本项目不涉及。</w:t>
                  </w:r>
                </w:p>
                <w:p w14:paraId="263D242A">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3、对照《云南省滇池湖滨生态红线及湖泊生态保护黄线布置图》，项目所在区域为绿色发展区，项目的建设符合</w:t>
                  </w:r>
                  <w:r>
                    <w:rPr>
                      <w:rFonts w:hint="default" w:ascii="Times New Roman" w:hAnsi="Times New Roman" w:eastAsia="宋体" w:cs="Times New Roman"/>
                      <w:color w:val="auto"/>
                      <w:sz w:val="18"/>
                      <w:szCs w:val="18"/>
                    </w:rPr>
                    <w:t>《云南省滇池湖滨生态红线及湖泊生态黄线“两线”划定方案》</w:t>
                  </w:r>
                  <w:r>
                    <w:rPr>
                      <w:rFonts w:hint="default" w:ascii="Times New Roman" w:hAnsi="Times New Roman" w:eastAsia="宋体" w:cs="Times New Roman"/>
                      <w:color w:val="auto"/>
                      <w:sz w:val="18"/>
                      <w:szCs w:val="18"/>
                      <w:lang w:val="en-US" w:eastAsia="zh-CN"/>
                    </w:rPr>
                    <w:t>的相关要求。</w:t>
                  </w:r>
                </w:p>
                <w:p w14:paraId="57F1B33E">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4、本项目不涉及。</w:t>
                  </w:r>
                </w:p>
              </w:tc>
              <w:tc>
                <w:tcPr>
                  <w:tcW w:w="626" w:type="dxa"/>
                  <w:vAlign w:val="center"/>
                </w:tcPr>
                <w:p w14:paraId="718DA30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符合</w:t>
                  </w:r>
                </w:p>
              </w:tc>
            </w:tr>
            <w:tr w14:paraId="3928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6FA09496">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bCs/>
                      <w:color w:val="auto"/>
                      <w:sz w:val="18"/>
                      <w:szCs w:val="18"/>
                      <w:u w:val="none"/>
                      <w:vertAlign w:val="baseline"/>
                      <w:lang w:val="en-US" w:eastAsia="zh-CN"/>
                    </w:rPr>
                  </w:pPr>
                  <w:r>
                    <w:rPr>
                      <w:rFonts w:hint="default" w:ascii="Times New Roman" w:hAnsi="Times New Roman" w:eastAsia="宋体" w:cs="Times New Roman"/>
                      <w:b/>
                      <w:bCs/>
                      <w:color w:val="auto"/>
                      <w:sz w:val="18"/>
                      <w:szCs w:val="18"/>
                      <w:u w:val="none"/>
                      <w:vertAlign w:val="baseline"/>
                      <w:lang w:val="en-US" w:eastAsia="zh-CN"/>
                    </w:rPr>
                    <w:t>污染物排放管控</w:t>
                  </w:r>
                </w:p>
              </w:tc>
              <w:tc>
                <w:tcPr>
                  <w:tcW w:w="3231" w:type="dxa"/>
                  <w:vAlign w:val="center"/>
                </w:tcPr>
                <w:p w14:paraId="147F18F7">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color w:val="auto"/>
                      <w:sz w:val="18"/>
                      <w:szCs w:val="18"/>
                    </w:rPr>
                    <w:t>1</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到2025年，昆明市地表水国、省控断面达到或好于III类水体比例应达到81.5%；滇池草海水质稳定达到IV类、外海水质达到IV类（COD≤40mg/L），阳宗海水质稳定达到Ⅲ类水标准，县级及以上集中式饮用水水源地水质达标率100%。化学需氧量重点工程减排量10243t，氨氮重点工程减排量1009t。</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2</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到2025年，昆明市环境空气质量优良天数比例应达到99.1%，城市细颗粒物（PM2.5）平均浓度应达到24μg/m3；氮氧化物重点工程减排量2237t，挥发性有机物重点工程减排量1684t。</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3</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4</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建立完善源头、过程和末端的VOCs全过程控制体系，实施VOCs排放总量控制。</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5</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推进农业废弃物综合利用，2025年底前综合利用率达90%以上。</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6</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7</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8</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9</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推动昆明市磷石膏综合利用率2023年达到52%，2024年达到64%，2025年确保达到73%，力争达到75%；到2025年底，中心城区污泥无害化处置率达到95%以上，县城污泥无害化处置率达到90%以上。</w:t>
                  </w:r>
                </w:p>
              </w:tc>
              <w:tc>
                <w:tcPr>
                  <w:tcW w:w="1980" w:type="dxa"/>
                  <w:vAlign w:val="center"/>
                </w:tcPr>
                <w:p w14:paraId="4E46A16A">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1、根据《</w:t>
                  </w:r>
                  <w:r>
                    <w:rPr>
                      <w:rFonts w:hint="eastAsia" w:cs="Times New Roman"/>
                      <w:b w:val="0"/>
                      <w:bCs w:val="0"/>
                      <w:color w:val="auto"/>
                      <w:sz w:val="18"/>
                      <w:szCs w:val="18"/>
                      <w:u w:val="none"/>
                      <w:vertAlign w:val="baseline"/>
                      <w:lang w:val="en-US" w:eastAsia="zh-CN"/>
                    </w:rPr>
                    <w:t>重点高原湖泊水质监测状况月报</w:t>
                  </w:r>
                  <w:r>
                    <w:rPr>
                      <w:rFonts w:hint="default" w:ascii="Times New Roman" w:hAnsi="Times New Roman" w:eastAsia="宋体" w:cs="Times New Roman"/>
                      <w:b w:val="0"/>
                      <w:bCs w:val="0"/>
                      <w:color w:val="auto"/>
                      <w:sz w:val="18"/>
                      <w:szCs w:val="18"/>
                      <w:u w:val="none"/>
                      <w:vertAlign w:val="baseline"/>
                      <w:lang w:val="en-US" w:eastAsia="zh-CN"/>
                    </w:rPr>
                    <w:t>》(2024年1~12月)，盘龙江水质现状达标，本项</w:t>
                  </w:r>
                  <w:r>
                    <w:rPr>
                      <w:rFonts w:hint="default" w:ascii="Times New Roman" w:hAnsi="Times New Roman" w:eastAsia="宋体" w:cs="Times New Roman"/>
                      <w:b w:val="0"/>
                      <w:bCs w:val="0"/>
                      <w:color w:val="auto"/>
                      <w:sz w:val="18"/>
                      <w:szCs w:val="18"/>
                      <w:highlight w:val="none"/>
                      <w:u w:val="none"/>
                      <w:vertAlign w:val="baseline"/>
                      <w:lang w:val="en-US" w:eastAsia="zh-CN"/>
                    </w:rPr>
                    <w:t>目外排废水全部经市政污水管网进入</w:t>
                  </w:r>
                  <w:r>
                    <w:rPr>
                      <w:rFonts w:hint="eastAsia" w:cs="Times New Roman"/>
                      <w:b w:val="0"/>
                      <w:bCs w:val="0"/>
                      <w:color w:val="auto"/>
                      <w:sz w:val="18"/>
                      <w:szCs w:val="18"/>
                      <w:highlight w:val="none"/>
                      <w:u w:val="none"/>
                      <w:vertAlign w:val="baseline"/>
                      <w:lang w:val="en-US" w:eastAsia="zh-CN"/>
                    </w:rPr>
                    <w:t>昆明市第十四水质净化厂</w:t>
                  </w:r>
                  <w:r>
                    <w:rPr>
                      <w:rFonts w:hint="default" w:ascii="Times New Roman" w:hAnsi="Times New Roman" w:eastAsia="宋体" w:cs="Times New Roman"/>
                      <w:b w:val="0"/>
                      <w:bCs w:val="0"/>
                      <w:color w:val="auto"/>
                      <w:sz w:val="18"/>
                      <w:szCs w:val="18"/>
                      <w:highlight w:val="none"/>
                      <w:u w:val="none"/>
                      <w:vertAlign w:val="baseline"/>
                      <w:lang w:val="en-US" w:eastAsia="zh-CN"/>
                    </w:rPr>
                    <w:t>，不设置废水考核指标，化学需氧量、氨氮考核指标纳入</w:t>
                  </w:r>
                  <w:r>
                    <w:rPr>
                      <w:rFonts w:hint="eastAsia" w:cs="Times New Roman"/>
                      <w:b w:val="0"/>
                      <w:bCs w:val="0"/>
                      <w:color w:val="auto"/>
                      <w:sz w:val="18"/>
                      <w:szCs w:val="18"/>
                      <w:highlight w:val="none"/>
                      <w:u w:val="none"/>
                      <w:vertAlign w:val="baseline"/>
                      <w:lang w:val="en-US" w:eastAsia="zh-CN"/>
                    </w:rPr>
                    <w:t>昆明市第十四水质净化厂</w:t>
                  </w:r>
                  <w:r>
                    <w:rPr>
                      <w:rFonts w:hint="default" w:ascii="Times New Roman" w:hAnsi="Times New Roman" w:eastAsia="宋体" w:cs="Times New Roman"/>
                      <w:b w:val="0"/>
                      <w:bCs w:val="0"/>
                      <w:color w:val="auto"/>
                      <w:sz w:val="18"/>
                      <w:szCs w:val="18"/>
                      <w:highlight w:val="none"/>
                      <w:u w:val="none"/>
                      <w:vertAlign w:val="baseline"/>
                      <w:lang w:val="en-US" w:eastAsia="zh-CN"/>
                    </w:rPr>
                    <w:t>管理。</w:t>
                  </w:r>
                </w:p>
                <w:p w14:paraId="2932F702">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2、根据《2023年度昆明市生态环境状况公报》，项目所在区域属于环境空气质量达标区。</w:t>
                  </w:r>
                </w:p>
                <w:p w14:paraId="74E5B773">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3、本项目不涉及锅炉。</w:t>
                  </w:r>
                </w:p>
                <w:p w14:paraId="6F472CE2">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4、</w:t>
                  </w:r>
                  <w:r>
                    <w:rPr>
                      <w:rFonts w:hint="default" w:ascii="Times New Roman" w:hAnsi="Times New Roman" w:eastAsia="宋体" w:cs="Times New Roman"/>
                      <w:b w:val="0"/>
                      <w:bCs w:val="0"/>
                      <w:color w:val="auto"/>
                      <w:sz w:val="18"/>
                      <w:szCs w:val="18"/>
                      <w:highlight w:val="none"/>
                      <w:u w:val="none"/>
                      <w:vertAlign w:val="baseline"/>
                      <w:lang w:val="en-US" w:eastAsia="zh-CN"/>
                    </w:rPr>
                    <w:t>本项目采用“</w:t>
                  </w:r>
                  <w:r>
                    <w:rPr>
                      <w:rFonts w:hint="eastAsia" w:cs="Times New Roman"/>
                      <w:b w:val="0"/>
                      <w:bCs w:val="0"/>
                      <w:color w:val="auto"/>
                      <w:sz w:val="18"/>
                      <w:szCs w:val="18"/>
                      <w:highlight w:val="none"/>
                      <w:u w:val="none"/>
                      <w:vertAlign w:val="baseline"/>
                      <w:lang w:val="en-US" w:eastAsia="zh-CN"/>
                    </w:rPr>
                    <w:t>通风橱、集气罩</w:t>
                  </w:r>
                  <w:r>
                    <w:rPr>
                      <w:rFonts w:hint="default" w:ascii="Times New Roman" w:hAnsi="Times New Roman" w:eastAsia="宋体" w:cs="Times New Roman"/>
                      <w:b w:val="0"/>
                      <w:bCs w:val="0"/>
                      <w:color w:val="auto"/>
                      <w:sz w:val="18"/>
                      <w:szCs w:val="18"/>
                      <w:highlight w:val="none"/>
                      <w:u w:val="none"/>
                      <w:vertAlign w:val="baseline"/>
                      <w:lang w:val="en-US" w:eastAsia="zh-CN"/>
                    </w:rPr>
                    <w:t>+三级活性炭吸附装置+</w:t>
                  </w:r>
                  <w:r>
                    <w:rPr>
                      <w:rFonts w:hint="eastAsia" w:cs="Times New Roman"/>
                      <w:b w:val="0"/>
                      <w:bCs w:val="0"/>
                      <w:color w:val="auto"/>
                      <w:sz w:val="18"/>
                      <w:szCs w:val="18"/>
                      <w:highlight w:val="none"/>
                      <w:u w:val="none"/>
                      <w:vertAlign w:val="baseline"/>
                      <w:lang w:val="en-US" w:eastAsia="zh-CN"/>
                    </w:rPr>
                    <w:t>1</w:t>
                  </w:r>
                  <w:r>
                    <w:rPr>
                      <w:rFonts w:hint="default" w:ascii="Times New Roman" w:hAnsi="Times New Roman" w:eastAsia="宋体" w:cs="Times New Roman"/>
                      <w:b w:val="0"/>
                      <w:bCs w:val="0"/>
                      <w:color w:val="auto"/>
                      <w:sz w:val="18"/>
                      <w:szCs w:val="18"/>
                      <w:highlight w:val="none"/>
                      <w:u w:val="none"/>
                      <w:vertAlign w:val="baseline"/>
                      <w:lang w:val="en-US" w:eastAsia="zh-CN"/>
                    </w:rPr>
                    <w:t>5m高的排气筒DA001)”治理体系实现VOCs的源头、过程和末端全过程控制体系，实施VOCs排放总量控制。</w:t>
                  </w:r>
                </w:p>
                <w:p w14:paraId="055BC039">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b w:val="0"/>
                      <w:bCs w:val="0"/>
                      <w:color w:val="auto"/>
                      <w:sz w:val="18"/>
                      <w:szCs w:val="18"/>
                      <w:highlight w:val="none"/>
                      <w:u w:val="none"/>
                      <w:vertAlign w:val="baseline"/>
                      <w:lang w:val="en-US" w:eastAsia="zh-CN"/>
                    </w:rPr>
                    <w:t>5、本项目不涉及农业废弃物综合利用。</w:t>
                  </w:r>
                </w:p>
                <w:p w14:paraId="6165A4E4">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b w:val="0"/>
                      <w:bCs w:val="0"/>
                      <w:color w:val="auto"/>
                      <w:sz w:val="18"/>
                      <w:szCs w:val="18"/>
                      <w:highlight w:val="none"/>
                      <w:u w:val="none"/>
                      <w:vertAlign w:val="baseline"/>
                      <w:lang w:val="en-US" w:eastAsia="zh-CN"/>
                    </w:rPr>
                    <w:t>6、项目所在区域为城市建成区，基础设施完善，已实现雨污分流，项目外排废水全部经市政污水管网进入</w:t>
                  </w:r>
                  <w:r>
                    <w:rPr>
                      <w:rFonts w:hint="eastAsia" w:cs="Times New Roman"/>
                      <w:b w:val="0"/>
                      <w:bCs w:val="0"/>
                      <w:color w:val="auto"/>
                      <w:sz w:val="18"/>
                      <w:szCs w:val="18"/>
                      <w:highlight w:val="none"/>
                      <w:u w:val="none"/>
                      <w:vertAlign w:val="baseline"/>
                      <w:lang w:val="en-US" w:eastAsia="zh-CN"/>
                    </w:rPr>
                    <w:t>昆明市第十四水质净化厂</w:t>
                  </w:r>
                  <w:r>
                    <w:rPr>
                      <w:rFonts w:hint="default" w:ascii="Times New Roman" w:hAnsi="Times New Roman" w:eastAsia="宋体" w:cs="Times New Roman"/>
                      <w:b w:val="0"/>
                      <w:bCs w:val="0"/>
                      <w:color w:val="auto"/>
                      <w:sz w:val="18"/>
                      <w:szCs w:val="18"/>
                      <w:highlight w:val="none"/>
                      <w:u w:val="none"/>
                      <w:vertAlign w:val="baseline"/>
                      <w:lang w:val="en-US" w:eastAsia="zh-CN"/>
                    </w:rPr>
                    <w:t>。</w:t>
                  </w:r>
                </w:p>
                <w:p w14:paraId="7B7F75B9">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b w:val="0"/>
                      <w:bCs w:val="0"/>
                      <w:color w:val="auto"/>
                      <w:sz w:val="18"/>
                      <w:szCs w:val="18"/>
                      <w:highlight w:val="none"/>
                      <w:u w:val="none"/>
                      <w:vertAlign w:val="baseline"/>
                      <w:lang w:val="en-US" w:eastAsia="zh-CN"/>
                    </w:rPr>
                    <w:t>7、本项目不涉及。</w:t>
                  </w:r>
                </w:p>
                <w:p w14:paraId="6FA88EEC">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b w:val="0"/>
                      <w:bCs w:val="0"/>
                      <w:color w:val="auto"/>
                      <w:sz w:val="18"/>
                      <w:szCs w:val="18"/>
                      <w:highlight w:val="none"/>
                      <w:u w:val="none"/>
                      <w:vertAlign w:val="baseline"/>
                      <w:lang w:val="en-US" w:eastAsia="zh-CN"/>
                    </w:rPr>
                    <w:t>8、本项目不涉及。</w:t>
                  </w:r>
                </w:p>
                <w:p w14:paraId="3A849D02">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highlight w:val="none"/>
                      <w:u w:val="none"/>
                      <w:vertAlign w:val="baseline"/>
                      <w:lang w:val="en-US" w:eastAsia="zh-CN"/>
                    </w:rPr>
                  </w:pPr>
                  <w:r>
                    <w:rPr>
                      <w:rFonts w:hint="default" w:ascii="Times New Roman" w:hAnsi="Times New Roman" w:eastAsia="宋体" w:cs="Times New Roman"/>
                      <w:b w:val="0"/>
                      <w:bCs w:val="0"/>
                      <w:color w:val="auto"/>
                      <w:sz w:val="18"/>
                      <w:szCs w:val="18"/>
                      <w:highlight w:val="none"/>
                      <w:u w:val="none"/>
                      <w:vertAlign w:val="baseline"/>
                      <w:lang w:val="en-US" w:eastAsia="zh-CN"/>
                    </w:rPr>
                    <w:t>9、本项目不涉及。</w:t>
                  </w:r>
                </w:p>
              </w:tc>
              <w:tc>
                <w:tcPr>
                  <w:tcW w:w="626" w:type="dxa"/>
                  <w:vAlign w:val="center"/>
                </w:tcPr>
                <w:p w14:paraId="29682059">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符合</w:t>
                  </w:r>
                </w:p>
              </w:tc>
            </w:tr>
            <w:tr w14:paraId="5FE7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06F58264">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bCs/>
                      <w:color w:val="auto"/>
                      <w:sz w:val="18"/>
                      <w:szCs w:val="18"/>
                      <w:u w:val="none"/>
                      <w:vertAlign w:val="baseline"/>
                      <w:lang w:val="en-US" w:eastAsia="zh-CN"/>
                    </w:rPr>
                    <w:t>环境风险防控</w:t>
                  </w:r>
                </w:p>
              </w:tc>
              <w:tc>
                <w:tcPr>
                  <w:tcW w:w="3231" w:type="dxa"/>
                  <w:vAlign w:val="center"/>
                </w:tcPr>
                <w:p w14:paraId="458237C0">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1、加大放射性物质、电磁辐射、危险废物、医疗废物、尾矿库渣场、危险化学品、重金属等风险要素防控力度，全过程监控风险要素产生、使用、储存、运输、处理处置，实现智能化预警与报警，有效降低各类环境风险。</w:t>
                  </w:r>
                </w:p>
                <w:p w14:paraId="767268FC">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2、针对持久性有机污染物、内分泌干扰物等新污染物，制定实施新污染物治理行动方案，开展新污染物筛查与评估，建立清单，开展化学物质生产使用信息调查，实施调查监测和环境风险评估。</w:t>
                  </w:r>
                </w:p>
                <w:p w14:paraId="18404DC3">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10D18A5E">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4、开展“千吨万人”农村饮用水水源保护区环境风险排查整治，加强农村水源水质监测。</w:t>
                  </w:r>
                </w:p>
                <w:p w14:paraId="6F7F993D">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59A10C34">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6、严格新（改、扩）建尾矿库环境准入，健全尾矿库环境监管清单，加强尾矿库分类分级环境监管。严格落实《云南省尾矿库专项整治工作实施方案》。</w:t>
                  </w:r>
                </w:p>
              </w:tc>
              <w:tc>
                <w:tcPr>
                  <w:tcW w:w="1980" w:type="dxa"/>
                  <w:vAlign w:val="center"/>
                </w:tcPr>
                <w:p w14:paraId="0066B4D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color w:val="auto"/>
                      <w:sz w:val="18"/>
                      <w:szCs w:val="18"/>
                      <w:lang w:val="en-US" w:eastAsia="zh-CN"/>
                    </w:rPr>
                  </w:pPr>
                  <w:r>
                    <w:rPr>
                      <w:rFonts w:hint="eastAsia" w:cs="Times New Roman"/>
                      <w:b w:val="0"/>
                      <w:bCs w:val="0"/>
                      <w:color w:val="auto"/>
                      <w:sz w:val="18"/>
                      <w:szCs w:val="18"/>
                      <w:u w:val="none"/>
                      <w:vertAlign w:val="baseline"/>
                      <w:lang w:val="en-US" w:eastAsia="zh-CN"/>
                    </w:rPr>
                    <w:t>本项目运营过程中均严格按照要求对所使用的各类危险化学品进行环境管理登记，加强化学品环境风险管理。</w:t>
                  </w:r>
                  <w:r>
                    <w:rPr>
                      <w:rFonts w:hint="default" w:ascii="Times New Roman" w:hAnsi="Times New Roman" w:eastAsia="宋体" w:cs="Times New Roman"/>
                      <w:color w:val="auto"/>
                      <w:sz w:val="18"/>
                      <w:szCs w:val="18"/>
                      <w:lang w:val="en-US" w:eastAsia="zh-CN"/>
                    </w:rPr>
                    <w:t>项目产生的危险废物经收集后暂存于危废暂存间内，委托有资质的单位定期清运处置，危废暂存间地面和四周墙裙进行重点防渗处理。</w:t>
                  </w:r>
                  <w:r>
                    <w:rPr>
                      <w:rFonts w:hint="eastAsia" w:cs="Times New Roman"/>
                      <w:color w:val="auto"/>
                      <w:sz w:val="18"/>
                      <w:szCs w:val="18"/>
                      <w:lang w:val="en-US" w:eastAsia="zh-CN"/>
                    </w:rPr>
                    <w:t>本项目建成以后，建设单位应根据企业实际情况对现有突发环境事件应急预案进行编制，并报当地环保部门进行备案。并定期组织突发环境事件应急演练:建立突发环境事件应急教援队伍;根据企业环境风险建设相应的应急物资储备库。</w:t>
                  </w:r>
                </w:p>
              </w:tc>
              <w:tc>
                <w:tcPr>
                  <w:tcW w:w="626" w:type="dxa"/>
                  <w:vAlign w:val="center"/>
                </w:tcPr>
                <w:p w14:paraId="1D305C38">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符合</w:t>
                  </w:r>
                </w:p>
              </w:tc>
            </w:tr>
            <w:tr w14:paraId="1FAFF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68DFE36F">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bCs/>
                      <w:color w:val="auto"/>
                      <w:sz w:val="18"/>
                      <w:szCs w:val="18"/>
                      <w:u w:val="none"/>
                      <w:vertAlign w:val="baseline"/>
                      <w:lang w:val="en-US" w:eastAsia="zh-CN"/>
                    </w:rPr>
                  </w:pPr>
                  <w:r>
                    <w:rPr>
                      <w:rFonts w:hint="default" w:ascii="Times New Roman" w:hAnsi="Times New Roman" w:eastAsia="宋体" w:cs="Times New Roman"/>
                      <w:b/>
                      <w:bCs/>
                      <w:color w:val="auto"/>
                      <w:sz w:val="18"/>
                      <w:szCs w:val="18"/>
                    </w:rPr>
                    <w:t>资源开发利用效率</w:t>
                  </w:r>
                </w:p>
              </w:tc>
              <w:tc>
                <w:tcPr>
                  <w:tcW w:w="3231" w:type="dxa"/>
                  <w:vAlign w:val="center"/>
                </w:tcPr>
                <w:p w14:paraId="04395599">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到2025年，基本建成与经济社会高质量发展和生态文明建设要求相适应、与由全面建成小康社会向基本实现现代化迈进起步期相协同的水安全保障体系。</w:t>
                  </w:r>
                </w:p>
                <w:p w14:paraId="30E59383">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节水型生产和生活方式初步建立，用水效率和效益显著提高，全社会节水意识明显增强，新时代节水型社会基本建成。全市用水总量控制在35.48亿m3以内，万元GDP用水量较2020年下降10%，万元工业增加值用水量较2020年下降10%，农田灌溉水有效利用系数提高到0.55以上。</w:t>
                  </w:r>
                </w:p>
                <w:p w14:paraId="75D25FE9">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万元工业增加值用水量≤30（立方米/万元）。</w:t>
                  </w:r>
                </w:p>
                <w:p w14:paraId="2B1008BB">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2025年底前，全市单位地区生产总值能源消耗较2020年下降14%，能源消费总量得到合理控制。</w:t>
                  </w:r>
                </w:p>
                <w:p w14:paraId="1CFF1120">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单位GDP能源消耗累计下降23.6%，不低于省级下达目标。</w:t>
                  </w:r>
                </w:p>
                <w:p w14:paraId="3681595C">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6</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对照国家有关高耗能行业重点领域能效标杆水平，实施钢铁、有色金属、冶炼等17个高耗能行业节能降碳改造升级，加快提升重点行业、企业能效水平。</w:t>
                  </w:r>
                </w:p>
                <w:p w14:paraId="12F8BE51">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加强节能监察和探索用能预算管理，实施电机、变压器等重点用能设备能效提升三年行动，推广先进节能技术。</w:t>
                  </w:r>
                </w:p>
                <w:p w14:paraId="7E753DDB">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到2025年，钢铁行业全面完成超低排放改造。</w:t>
                  </w:r>
                </w:p>
                <w:p w14:paraId="10F7CDAE">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加快推进有色、化工、印染、烟草等行业清洁生产和工业废水资源化利用。</w:t>
                  </w:r>
                </w:p>
                <w:p w14:paraId="27968FEB">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到2025年，全市新建大型及以上数据中心绿色低碳等级达到4A以上，电源使用效率（PUE）达到1.3以下，逐步组织电源使用效率超过1.5的数据中心进行节能降碳改造。</w:t>
                  </w:r>
                </w:p>
                <w:p w14:paraId="60401F98">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11</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“十四五”期间，全市规模以上工业单位增加值能耗下降14.5%，万元工业增加值用水量下降12%。</w:t>
                  </w:r>
                </w:p>
                <w:p w14:paraId="055760E6">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到2025年，通过实施节能降碳提升工程，钢铁、电解铝、水泥、平板玻璃、炼油、乙烯、合成氨、电石等重点行业产能和数据中心达到能效标杆水平的比例超过30%。</w:t>
                  </w:r>
                </w:p>
                <w:p w14:paraId="6808EF7F">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公共机构单位建筑面积碳排放量比2020年下降7%。</w:t>
                  </w:r>
                </w:p>
                <w:p w14:paraId="6C131F1D">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14</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非化石能源消费占一次能源消费比重达到40%以上，完成省级下达目标。</w:t>
                  </w:r>
                </w:p>
                <w:p w14:paraId="7A31A7C6">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单位GDP二氧化碳排放累计下降23%，不低于省级下达目标。</w:t>
                  </w:r>
                </w:p>
                <w:p w14:paraId="11E80289">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16</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严把新上项目的碳排放关，严格环境影响评价审批，加强固定资产投资项目节能审查，推动新建“两高一低”项目能效水平应提尽提。</w:t>
                  </w:r>
                </w:p>
                <w:p w14:paraId="7530DAB9">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17</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25F95AA9">
                  <w:pPr>
                    <w:pageBreakBefore w:val="0"/>
                    <w:kinsoku/>
                    <w:wordWrap/>
                    <w:overflowPunct/>
                    <w:topLinePunct w:val="0"/>
                    <w:autoSpaceDE/>
                    <w:autoSpaceDN/>
                    <w:bidi w:val="0"/>
                    <w:spacing w:line="240" w:lineRule="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18</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加快淘汰落后和低端低效产能退出。</w:t>
                  </w:r>
                </w:p>
                <w:p w14:paraId="61495F11">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color w:val="auto"/>
                      <w:sz w:val="18"/>
                      <w:szCs w:val="18"/>
                    </w:rPr>
                    <w:t>19</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指导金融机构加强“两高一低”项目贷前审核。</w:t>
                  </w:r>
                </w:p>
              </w:tc>
              <w:tc>
                <w:tcPr>
                  <w:tcW w:w="1980" w:type="dxa"/>
                  <w:vAlign w:val="center"/>
                </w:tcPr>
                <w:p w14:paraId="3A57D312">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eastAsia" w:cs="Times New Roman"/>
                      <w:b w:val="0"/>
                      <w:bCs w:val="0"/>
                      <w:color w:val="auto"/>
                      <w:sz w:val="18"/>
                      <w:szCs w:val="18"/>
                      <w:u w:val="none"/>
                      <w:vertAlign w:val="baseline"/>
                      <w:lang w:val="en-US" w:eastAsia="zh-CN"/>
                    </w:rPr>
                    <w:t>本项目为水质检测实验室项目，消耗的水、电，能源消费总量较少。</w:t>
                  </w:r>
                </w:p>
              </w:tc>
              <w:tc>
                <w:tcPr>
                  <w:tcW w:w="626" w:type="dxa"/>
                  <w:vAlign w:val="center"/>
                </w:tcPr>
                <w:p w14:paraId="21B9B90B">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符合</w:t>
                  </w:r>
                </w:p>
              </w:tc>
            </w:tr>
            <w:tr w14:paraId="4561C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3" w:type="dxa"/>
                  <w:gridSpan w:val="4"/>
                  <w:vAlign w:val="center"/>
                </w:tcPr>
                <w:p w14:paraId="040850D3">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bCs/>
                      <w:color w:val="auto"/>
                      <w:sz w:val="18"/>
                      <w:szCs w:val="18"/>
                      <w:u w:val="none"/>
                      <w:vertAlign w:val="baseline"/>
                      <w:lang w:val="en-US" w:eastAsia="zh-CN"/>
                    </w:rPr>
                    <w:t>盘龙区城区生活污染重点管控单元</w:t>
                  </w:r>
                </w:p>
              </w:tc>
            </w:tr>
            <w:tr w14:paraId="210A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58BE8A2E">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空间布局约束</w:t>
                  </w:r>
                </w:p>
              </w:tc>
              <w:tc>
                <w:tcPr>
                  <w:tcW w:w="3231" w:type="dxa"/>
                  <w:vAlign w:val="center"/>
                </w:tcPr>
                <w:p w14:paraId="2FAD2B3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980" w:type="dxa"/>
                  <w:vAlign w:val="center"/>
                </w:tcPr>
                <w:p w14:paraId="6131280F">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w:t>
                  </w:r>
                </w:p>
              </w:tc>
              <w:tc>
                <w:tcPr>
                  <w:tcW w:w="626" w:type="dxa"/>
                  <w:vAlign w:val="center"/>
                </w:tcPr>
                <w:p w14:paraId="48A11D1E">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w:t>
                  </w:r>
                </w:p>
              </w:tc>
            </w:tr>
            <w:tr w14:paraId="62A32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14C4E6ED">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污染物排放管控</w:t>
                  </w:r>
                </w:p>
              </w:tc>
              <w:tc>
                <w:tcPr>
                  <w:tcW w:w="3231" w:type="dxa"/>
                  <w:vAlign w:val="center"/>
                </w:tcPr>
                <w:p w14:paraId="46F2DAA4">
                  <w:pPr>
                    <w:keepNext w:val="0"/>
                    <w:keepLines w:val="0"/>
                    <w:pageBreakBefore w:val="0"/>
                    <w:widowControl w:val="0"/>
                    <w:kinsoku/>
                    <w:wordWrap/>
                    <w:overflowPunct/>
                    <w:topLinePunct w:val="0"/>
                    <w:autoSpaceDE/>
                    <w:autoSpaceDN/>
                    <w:bidi w:val="0"/>
                    <w:adjustRightInd/>
                    <w:spacing w:line="360" w:lineRule="exact"/>
                    <w:textAlignment w:val="auto"/>
                    <w:outlineLvl w:val="9"/>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大气环境质量保持在国家大气环境质量二级标准以内。</w:t>
                  </w:r>
                </w:p>
                <w:p w14:paraId="1E74B1F1">
                  <w:pPr>
                    <w:keepNext w:val="0"/>
                    <w:keepLines w:val="0"/>
                    <w:pageBreakBefore w:val="0"/>
                    <w:widowControl w:val="0"/>
                    <w:kinsoku/>
                    <w:wordWrap/>
                    <w:overflowPunct/>
                    <w:topLinePunct w:val="0"/>
                    <w:autoSpaceDE/>
                    <w:autoSpaceDN/>
                    <w:bidi w:val="0"/>
                    <w:adjustRightInd/>
                    <w:spacing w:line="360" w:lineRule="exact"/>
                    <w:textAlignment w:val="auto"/>
                    <w:outlineLvl w:val="9"/>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加强施工工地的扬尘控制和移动源大气环境污染管理；加强对汽车尾气综合处理，减轻汽车尾气污染和光化学污染。</w:t>
                  </w:r>
                </w:p>
                <w:p w14:paraId="5BB8F900">
                  <w:pPr>
                    <w:keepNext w:val="0"/>
                    <w:keepLines w:val="0"/>
                    <w:pageBreakBefore w:val="0"/>
                    <w:widowControl w:val="0"/>
                    <w:kinsoku/>
                    <w:wordWrap/>
                    <w:overflowPunct/>
                    <w:topLinePunct w:val="0"/>
                    <w:autoSpaceDE/>
                    <w:autoSpaceDN/>
                    <w:bidi w:val="0"/>
                    <w:adjustRightInd/>
                    <w:spacing w:line="360" w:lineRule="exac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城市污水管网尚未配套的地区，房地产开发项目应自行建设污水处理设施，污水处理后达标排放。</w:t>
                  </w:r>
                </w:p>
                <w:p w14:paraId="10CCD3A3">
                  <w:pPr>
                    <w:keepNext w:val="0"/>
                    <w:keepLines w:val="0"/>
                    <w:pageBreakBefore w:val="0"/>
                    <w:widowControl w:val="0"/>
                    <w:kinsoku/>
                    <w:wordWrap/>
                    <w:overflowPunct/>
                    <w:topLinePunct w:val="0"/>
                    <w:autoSpaceDE/>
                    <w:autoSpaceDN/>
                    <w:bidi w:val="0"/>
                    <w:adjustRightInd/>
                    <w:spacing w:line="360" w:lineRule="exac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完善生活污水收集处理系统，改造截污干管，杜绝生活污水直接进入城区河道及湖库，生活污水集中处理率达到95%以上。</w:t>
                  </w:r>
                </w:p>
                <w:p w14:paraId="39C87CFA">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按国家、省、市相关标准要求建设、改造、提升满足实际需求的环卫基础设施。</w:t>
                  </w:r>
                </w:p>
              </w:tc>
              <w:tc>
                <w:tcPr>
                  <w:tcW w:w="1980" w:type="dxa"/>
                  <w:vAlign w:val="center"/>
                </w:tcPr>
                <w:p w14:paraId="5141C29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eastAsia" w:ascii="Times New Roman" w:hAnsi="Times New Roman" w:eastAsia="宋体" w:cs="Times New Roman"/>
                      <w:b w:val="0"/>
                      <w:bCs w:val="0"/>
                      <w:color w:val="auto"/>
                      <w:sz w:val="18"/>
                      <w:szCs w:val="18"/>
                      <w:u w:val="none"/>
                      <w:vertAlign w:val="baseline"/>
                      <w:lang w:val="en-US" w:eastAsia="zh-CN"/>
                    </w:rPr>
                    <w:t>1、</w:t>
                  </w:r>
                  <w:r>
                    <w:rPr>
                      <w:rFonts w:hint="default" w:ascii="Times New Roman" w:hAnsi="Times New Roman" w:eastAsia="宋体" w:cs="Times New Roman"/>
                      <w:b w:val="0"/>
                      <w:bCs w:val="0"/>
                      <w:color w:val="auto"/>
                      <w:sz w:val="18"/>
                      <w:szCs w:val="18"/>
                      <w:u w:val="none"/>
                      <w:vertAlign w:val="baseline"/>
                      <w:lang w:val="en-US" w:eastAsia="zh-CN"/>
                    </w:rPr>
                    <w:t>根据《2023年度昆明市生态环境状况公报》，本项目所在区域大气环境质量满足《环境空气质量标准》（GB3095-2012）二级标准。</w:t>
                  </w:r>
                </w:p>
                <w:p w14:paraId="18A5CAE0">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eastAsia" w:ascii="Times New Roman" w:hAnsi="Times New Roman" w:eastAsia="宋体" w:cs="Times New Roman"/>
                      <w:b w:val="0"/>
                      <w:bCs w:val="0"/>
                      <w:color w:val="auto"/>
                      <w:sz w:val="18"/>
                      <w:szCs w:val="18"/>
                      <w:u w:val="none"/>
                      <w:vertAlign w:val="baseline"/>
                      <w:lang w:val="en-US" w:eastAsia="zh-CN"/>
                    </w:rPr>
                    <w:t>2、</w:t>
                  </w:r>
                  <w:r>
                    <w:rPr>
                      <w:rFonts w:hint="default" w:ascii="Times New Roman" w:hAnsi="Times New Roman" w:eastAsia="宋体" w:cs="Times New Roman"/>
                      <w:b w:val="0"/>
                      <w:bCs w:val="0"/>
                      <w:color w:val="auto"/>
                      <w:sz w:val="18"/>
                      <w:szCs w:val="18"/>
                      <w:u w:val="none"/>
                      <w:vertAlign w:val="baseline"/>
                      <w:lang w:val="en-US" w:eastAsia="zh-CN"/>
                    </w:rPr>
                    <w:t>本项目租用云南水投牛栏江滇池补水工程有限公司</w:t>
                  </w:r>
                  <w:r>
                    <w:rPr>
                      <w:rFonts w:hint="eastAsia" w:cs="Times New Roman"/>
                      <w:b w:val="0"/>
                      <w:bCs w:val="0"/>
                      <w:color w:val="auto"/>
                      <w:sz w:val="18"/>
                      <w:szCs w:val="18"/>
                      <w:u w:val="none"/>
                      <w:vertAlign w:val="baseline"/>
                      <w:lang w:val="en-US" w:eastAsia="zh-CN"/>
                    </w:rPr>
                    <w:t>已建的</w:t>
                  </w:r>
                  <w:r>
                    <w:rPr>
                      <w:rFonts w:hint="default" w:ascii="Times New Roman" w:hAnsi="Times New Roman" w:eastAsia="宋体" w:cs="Times New Roman"/>
                      <w:b w:val="0"/>
                      <w:bCs w:val="0"/>
                      <w:color w:val="auto"/>
                      <w:sz w:val="18"/>
                      <w:szCs w:val="18"/>
                      <w:u w:val="none"/>
                      <w:vertAlign w:val="baseline"/>
                      <w:lang w:val="en-US" w:eastAsia="zh-CN"/>
                    </w:rPr>
                    <w:t>负2</w:t>
                  </w:r>
                  <w:r>
                    <w:rPr>
                      <w:rFonts w:hint="eastAsia" w:cs="Times New Roman"/>
                      <w:b w:val="0"/>
                      <w:bCs w:val="0"/>
                      <w:color w:val="auto"/>
                      <w:sz w:val="18"/>
                      <w:szCs w:val="18"/>
                      <w:u w:val="none"/>
                      <w:vertAlign w:val="baseline"/>
                      <w:lang w:val="en-US" w:eastAsia="zh-CN"/>
                    </w:rPr>
                    <w:t>层</w:t>
                  </w:r>
                  <w:r>
                    <w:rPr>
                      <w:rFonts w:hint="default" w:ascii="Times New Roman" w:hAnsi="Times New Roman" w:eastAsia="宋体" w:cs="Times New Roman"/>
                      <w:b w:val="0"/>
                      <w:bCs w:val="0"/>
                      <w:color w:val="auto"/>
                      <w:sz w:val="18"/>
                      <w:szCs w:val="18"/>
                      <w:u w:val="none"/>
                      <w:vertAlign w:val="baseline"/>
                      <w:lang w:val="en-US" w:eastAsia="zh-CN"/>
                    </w:rPr>
                    <w:t>地下室</w:t>
                  </w:r>
                  <w:r>
                    <w:rPr>
                      <w:rFonts w:hint="eastAsia" w:cs="Times New Roman"/>
                      <w:b w:val="0"/>
                      <w:bCs w:val="0"/>
                      <w:color w:val="auto"/>
                      <w:sz w:val="18"/>
                      <w:szCs w:val="18"/>
                      <w:u w:val="none"/>
                      <w:vertAlign w:val="baseline"/>
                      <w:lang w:val="en-US" w:eastAsia="zh-CN"/>
                    </w:rPr>
                    <w:t>建设本项目，</w:t>
                  </w:r>
                  <w:r>
                    <w:rPr>
                      <w:rFonts w:hint="default" w:ascii="Times New Roman" w:hAnsi="Times New Roman" w:eastAsia="宋体" w:cs="Times New Roman"/>
                      <w:b w:val="0"/>
                      <w:bCs w:val="0"/>
                      <w:color w:val="auto"/>
                      <w:sz w:val="18"/>
                      <w:szCs w:val="18"/>
                      <w:u w:val="none"/>
                      <w:vertAlign w:val="baseline"/>
                      <w:lang w:val="en-US" w:eastAsia="zh-CN"/>
                    </w:rPr>
                    <w:t>施工量较小，施工人员对场地定时清扫、洒水降尘，降低场地的粉尘污染；厂区内种植有绿化，减轻汽车尾气污染。</w:t>
                  </w:r>
                </w:p>
                <w:p w14:paraId="77D8E16A">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eastAsia" w:ascii="Times New Roman" w:hAnsi="Times New Roman" w:eastAsia="宋体" w:cs="Times New Roman"/>
                      <w:b w:val="0"/>
                      <w:bCs w:val="0"/>
                      <w:color w:val="auto"/>
                      <w:sz w:val="18"/>
                      <w:szCs w:val="18"/>
                      <w:u w:val="none"/>
                      <w:vertAlign w:val="baseline"/>
                      <w:lang w:val="en-US" w:eastAsia="zh-CN"/>
                    </w:rPr>
                    <w:t>3、</w:t>
                  </w:r>
                  <w:r>
                    <w:rPr>
                      <w:rFonts w:hint="default" w:ascii="Times New Roman" w:hAnsi="Times New Roman" w:eastAsia="宋体" w:cs="Times New Roman"/>
                      <w:b w:val="0"/>
                      <w:bCs w:val="0"/>
                      <w:color w:val="auto"/>
                      <w:sz w:val="18"/>
                      <w:szCs w:val="18"/>
                      <w:u w:val="none"/>
                      <w:vertAlign w:val="baseline"/>
                      <w:lang w:val="en-US" w:eastAsia="zh-CN"/>
                    </w:rPr>
                    <w:t>本项目周边已配套完善的雨污管网，运营期产生的污废水经处理达标后排入市政污水管网。</w:t>
                  </w:r>
                </w:p>
                <w:p w14:paraId="4D22C2AE">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eastAsia" w:ascii="Times New Roman" w:hAnsi="Times New Roman" w:eastAsia="宋体" w:cs="Times New Roman"/>
                      <w:b w:val="0"/>
                      <w:bCs w:val="0"/>
                      <w:color w:val="auto"/>
                      <w:sz w:val="18"/>
                      <w:szCs w:val="18"/>
                      <w:u w:val="none"/>
                      <w:vertAlign w:val="baseline"/>
                      <w:lang w:val="en-US" w:eastAsia="zh-CN"/>
                    </w:rPr>
                    <w:t>4、</w:t>
                  </w:r>
                  <w:r>
                    <w:rPr>
                      <w:rFonts w:hint="default" w:ascii="Times New Roman" w:hAnsi="Times New Roman" w:eastAsia="宋体" w:cs="Times New Roman"/>
                      <w:b w:val="0"/>
                      <w:bCs w:val="0"/>
                      <w:color w:val="auto"/>
                      <w:sz w:val="18"/>
                      <w:szCs w:val="18"/>
                      <w:u w:val="none"/>
                      <w:vertAlign w:val="baseline"/>
                      <w:lang w:val="en-US" w:eastAsia="zh-CN"/>
                    </w:rPr>
                    <w:t>本项目生活污水依托</w:t>
                  </w:r>
                  <w:r>
                    <w:rPr>
                      <w:rFonts w:hint="eastAsia" w:cs="Times New Roman"/>
                      <w:b w:val="0"/>
                      <w:bCs w:val="0"/>
                      <w:color w:val="auto"/>
                      <w:sz w:val="18"/>
                      <w:szCs w:val="18"/>
                      <w:u w:val="none"/>
                      <w:vertAlign w:val="baseline"/>
                      <w:lang w:val="en-US" w:eastAsia="zh-CN"/>
                    </w:rPr>
                    <w:t>云南水投牛栏江滇池补水工程有限公司现有的化粪池，经化粪池处理后</w:t>
                  </w:r>
                  <w:r>
                    <w:rPr>
                      <w:rFonts w:hint="default" w:ascii="Times New Roman" w:hAnsi="Times New Roman" w:eastAsia="宋体" w:cs="Times New Roman"/>
                      <w:b w:val="0"/>
                      <w:bCs w:val="0"/>
                      <w:color w:val="auto"/>
                      <w:sz w:val="18"/>
                      <w:szCs w:val="18"/>
                      <w:u w:val="none"/>
                      <w:vertAlign w:val="baseline"/>
                      <w:lang w:val="en-US" w:eastAsia="zh-CN"/>
                    </w:rPr>
                    <w:t>排入市政污水管网。</w:t>
                  </w:r>
                </w:p>
                <w:p w14:paraId="41C26996">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eastAsia" w:ascii="Times New Roman" w:hAnsi="Times New Roman" w:eastAsia="宋体" w:cs="Times New Roman"/>
                      <w:b w:val="0"/>
                      <w:bCs w:val="0"/>
                      <w:color w:val="auto"/>
                      <w:sz w:val="18"/>
                      <w:szCs w:val="18"/>
                      <w:u w:val="none"/>
                      <w:vertAlign w:val="baseline"/>
                      <w:lang w:val="en-US" w:eastAsia="zh-CN"/>
                    </w:rPr>
                    <w:t>5、</w:t>
                  </w:r>
                  <w:r>
                    <w:rPr>
                      <w:rFonts w:hint="default" w:ascii="Times New Roman" w:hAnsi="Times New Roman" w:eastAsia="宋体" w:cs="Times New Roman"/>
                      <w:b w:val="0"/>
                      <w:bCs w:val="0"/>
                      <w:color w:val="auto"/>
                      <w:sz w:val="18"/>
                      <w:szCs w:val="18"/>
                      <w:u w:val="none"/>
                      <w:vertAlign w:val="baseline"/>
                      <w:lang w:val="en-US" w:eastAsia="zh-CN"/>
                    </w:rPr>
                    <w:t>本项目不涉及。</w:t>
                  </w:r>
                </w:p>
              </w:tc>
              <w:tc>
                <w:tcPr>
                  <w:tcW w:w="626" w:type="dxa"/>
                  <w:vAlign w:val="center"/>
                </w:tcPr>
                <w:p w14:paraId="27539DBB">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符合</w:t>
                  </w:r>
                </w:p>
              </w:tc>
            </w:tr>
            <w:tr w14:paraId="6922E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25C33443">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环境风险防控</w:t>
                  </w:r>
                </w:p>
              </w:tc>
              <w:tc>
                <w:tcPr>
                  <w:tcW w:w="3231" w:type="dxa"/>
                  <w:vAlign w:val="center"/>
                </w:tcPr>
                <w:p w14:paraId="0E34F8DB">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危险废物必须进行集中处置。收集、贮存危险废物，必须按照危险废物标准进行分类，禁止混合收集、贮存、运输、处置性质不相同而未经安全性处置的危险废物，禁止将危险废物混入非危险废物中贮存。</w:t>
                  </w:r>
                  <w:r>
                    <w:rPr>
                      <w:rFonts w:hint="default" w:ascii="Times New Roman" w:hAnsi="Times New Roman" w:eastAsia="宋体" w:cs="Times New Roman"/>
                      <w:color w:val="auto"/>
                      <w:sz w:val="18"/>
                      <w:szCs w:val="18"/>
                    </w:rPr>
                    <w:br w:type="textWrapping"/>
                  </w:r>
                  <w:r>
                    <w:rPr>
                      <w:rFonts w:hint="default" w:ascii="Times New Roman" w:hAnsi="Times New Roman" w:eastAsia="宋体" w:cs="Times New Roman"/>
                      <w:color w:val="auto"/>
                      <w:sz w:val="18"/>
                      <w:szCs w:val="18"/>
                    </w:rPr>
                    <w:t>2</w:t>
                  </w:r>
                  <w:r>
                    <w:rPr>
                      <w:rFonts w:hint="eastAsia"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运输危险废物，必须采取防止污染环境的措施，并遵守国家有关危险废物运输管理的规定。</w:t>
                  </w:r>
                </w:p>
              </w:tc>
              <w:tc>
                <w:tcPr>
                  <w:tcW w:w="1980" w:type="dxa"/>
                  <w:vAlign w:val="center"/>
                </w:tcPr>
                <w:p w14:paraId="3E663DFB">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eastAsia" w:ascii="Times New Roman" w:hAnsi="Times New Roman" w:eastAsia="宋体" w:cs="Times New Roman"/>
                      <w:b w:val="0"/>
                      <w:bCs w:val="0"/>
                      <w:color w:val="auto"/>
                      <w:sz w:val="18"/>
                      <w:szCs w:val="18"/>
                      <w:u w:val="none"/>
                      <w:vertAlign w:val="baseline"/>
                      <w:lang w:val="en-US" w:eastAsia="zh-CN"/>
                    </w:rPr>
                    <w:t>1、</w:t>
                  </w:r>
                  <w:r>
                    <w:rPr>
                      <w:rFonts w:hint="default" w:ascii="Times New Roman" w:hAnsi="Times New Roman" w:eastAsia="宋体" w:cs="Times New Roman"/>
                      <w:b w:val="0"/>
                      <w:bCs w:val="0"/>
                      <w:color w:val="auto"/>
                      <w:sz w:val="18"/>
                      <w:szCs w:val="18"/>
                      <w:u w:val="none"/>
                      <w:vertAlign w:val="baseline"/>
                      <w:lang w:val="en-US" w:eastAsia="zh-CN"/>
                    </w:rPr>
                    <w:t>项目产生的危险废物经收集后分类暂存于危废暂存间内，委托有资质的单位定期清运处置。</w:t>
                  </w:r>
                </w:p>
                <w:p w14:paraId="258CD2A0">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eastAsia" w:ascii="Times New Roman" w:hAnsi="Times New Roman" w:eastAsia="宋体" w:cs="Times New Roman"/>
                      <w:b w:val="0"/>
                      <w:bCs w:val="0"/>
                      <w:color w:val="auto"/>
                      <w:sz w:val="18"/>
                      <w:szCs w:val="18"/>
                      <w:u w:val="none"/>
                      <w:vertAlign w:val="baseline"/>
                      <w:lang w:val="en-US" w:eastAsia="zh-CN"/>
                    </w:rPr>
                    <w:t>2、</w:t>
                  </w:r>
                  <w:r>
                    <w:rPr>
                      <w:rFonts w:hint="default" w:ascii="Times New Roman" w:hAnsi="Times New Roman" w:eastAsia="宋体" w:cs="Times New Roman"/>
                      <w:b w:val="0"/>
                      <w:bCs w:val="0"/>
                      <w:color w:val="auto"/>
                      <w:sz w:val="18"/>
                      <w:szCs w:val="18"/>
                      <w:u w:val="none"/>
                      <w:vertAlign w:val="baseline"/>
                      <w:lang w:val="en-US" w:eastAsia="zh-CN"/>
                    </w:rPr>
                    <w:t>项目产生的危险废物委托有资质的单位定期清运处置。</w:t>
                  </w:r>
                </w:p>
              </w:tc>
              <w:tc>
                <w:tcPr>
                  <w:tcW w:w="626" w:type="dxa"/>
                  <w:vAlign w:val="center"/>
                </w:tcPr>
                <w:p w14:paraId="7E8AE023">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符合</w:t>
                  </w:r>
                </w:p>
              </w:tc>
            </w:tr>
            <w:tr w14:paraId="7D86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6" w:type="dxa"/>
                  <w:vAlign w:val="center"/>
                </w:tcPr>
                <w:p w14:paraId="7B967D99">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资源开发效率要求</w:t>
                  </w:r>
                </w:p>
              </w:tc>
              <w:tc>
                <w:tcPr>
                  <w:tcW w:w="3231" w:type="dxa"/>
                  <w:vAlign w:val="center"/>
                </w:tcPr>
                <w:p w14:paraId="0C7F25C1">
                  <w:pPr>
                    <w:keepNext w:val="0"/>
                    <w:keepLines w:val="0"/>
                    <w:pageBreakBefore w:val="0"/>
                    <w:widowControl w:val="0"/>
                    <w:kinsoku/>
                    <w:wordWrap/>
                    <w:overflowPunct/>
                    <w:topLinePunct w:val="0"/>
                    <w:autoSpaceDE/>
                    <w:autoSpaceDN/>
                    <w:bidi w:val="0"/>
                    <w:adjustRightInd/>
                    <w:snapToGrid w:val="0"/>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主要可再生资源回收利用率≥80%。</w:t>
                  </w:r>
                </w:p>
              </w:tc>
              <w:tc>
                <w:tcPr>
                  <w:tcW w:w="1980" w:type="dxa"/>
                  <w:vAlign w:val="center"/>
                </w:tcPr>
                <w:p w14:paraId="1E7FBD5D">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left"/>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eastAsia" w:cs="Times New Roman"/>
                      <w:b w:val="0"/>
                      <w:bCs w:val="0"/>
                      <w:color w:val="auto"/>
                      <w:sz w:val="18"/>
                      <w:szCs w:val="18"/>
                      <w:highlight w:val="none"/>
                      <w:u w:val="none"/>
                      <w:vertAlign w:val="baseline"/>
                      <w:lang w:val="en-US" w:eastAsia="zh-CN"/>
                    </w:rPr>
                    <w:t>本项目运营期产生的一般工业固体废物，先进行分拣，有价值的外售废品回收站，提高资源回收利用率。</w:t>
                  </w:r>
                </w:p>
              </w:tc>
              <w:tc>
                <w:tcPr>
                  <w:tcW w:w="626" w:type="dxa"/>
                  <w:vAlign w:val="center"/>
                </w:tcPr>
                <w:p w14:paraId="6669E85E">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jc w:val="center"/>
                    <w:textAlignment w:val="auto"/>
                    <w:outlineLvl w:val="9"/>
                    <w:rPr>
                      <w:rFonts w:hint="default" w:ascii="Times New Roman" w:hAnsi="Times New Roman" w:eastAsia="宋体" w:cs="Times New Roman"/>
                      <w:b w:val="0"/>
                      <w:bCs w:val="0"/>
                      <w:color w:val="auto"/>
                      <w:sz w:val="18"/>
                      <w:szCs w:val="18"/>
                      <w:u w:val="none"/>
                      <w:vertAlign w:val="baseline"/>
                      <w:lang w:val="en-US" w:eastAsia="zh-CN"/>
                    </w:rPr>
                  </w:pPr>
                  <w:r>
                    <w:rPr>
                      <w:rFonts w:hint="default" w:ascii="Times New Roman" w:hAnsi="Times New Roman" w:eastAsia="宋体" w:cs="Times New Roman"/>
                      <w:b w:val="0"/>
                      <w:bCs w:val="0"/>
                      <w:color w:val="auto"/>
                      <w:sz w:val="18"/>
                      <w:szCs w:val="18"/>
                      <w:u w:val="none"/>
                      <w:vertAlign w:val="baseline"/>
                      <w:lang w:val="en-US" w:eastAsia="zh-CN"/>
                    </w:rPr>
                    <w:t>符合</w:t>
                  </w:r>
                </w:p>
              </w:tc>
            </w:tr>
          </w:tbl>
          <w:p w14:paraId="79B74882">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eastAsia"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综上所述，本项目的建设符合《昆明市生态环境分区管控动态更新方案（2023年）》的相关要求</w:t>
            </w:r>
            <w:r>
              <w:rPr>
                <w:rFonts w:hint="eastAsia" w:ascii="Times New Roman" w:hAnsi="Times New Roman" w:eastAsia="宋体" w:cs="Times New Roman"/>
                <w:b w:val="0"/>
                <w:bCs w:val="0"/>
                <w:color w:val="auto"/>
                <w:sz w:val="21"/>
                <w:szCs w:val="21"/>
                <w:lang w:val="en-US" w:eastAsia="zh-CN"/>
              </w:rPr>
              <w:t>。</w:t>
            </w:r>
          </w:p>
          <w:p w14:paraId="5757B960">
            <w:pPr>
              <w:adjustRightInd w:val="0"/>
              <w:snapToGrid w:val="0"/>
              <w:spacing w:line="360" w:lineRule="auto"/>
              <w:jc w:val="left"/>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color w:val="auto"/>
                <w:sz w:val="21"/>
                <w:szCs w:val="21"/>
              </w:rPr>
              <w:t>与《云南省滇池保护条例》符合性分析</w:t>
            </w:r>
          </w:p>
          <w:p w14:paraId="69857FA1">
            <w:pPr>
              <w:pStyle w:val="9"/>
              <w:adjustRightInd w:val="0"/>
              <w:snapToGrid w:val="0"/>
              <w:spacing w:before="0" w:after="0" w:line="36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云南省滇池保护条例》（云南省第十四届人民代表大会常务委员会第六次会议于2023年11月30日审议通过，自2024年1月1日起施行）。条例中规定昆明市人民政府应当按照划定的湖滨生态红线和湖泊生态黄线，确定生态保护核心区、生态保护缓冲区和绿色发展区。</w:t>
            </w:r>
          </w:p>
          <w:p w14:paraId="0D35FFCC">
            <w:pPr>
              <w:pStyle w:val="9"/>
              <w:adjustRightInd w:val="0"/>
              <w:snapToGrid w:val="0"/>
              <w:spacing w:before="0" w:after="0" w:line="36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生态保护核心区是指湖滨生态红线以内的水域和陆域。</w:t>
            </w:r>
          </w:p>
          <w:p w14:paraId="18504CBE">
            <w:pPr>
              <w:pStyle w:val="9"/>
              <w:adjustRightInd w:val="0"/>
              <w:snapToGrid w:val="0"/>
              <w:spacing w:before="0" w:after="0" w:line="36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生态保护缓冲区是指湖滨生态红线与湖泊生态黄线之间的区域。</w:t>
            </w:r>
          </w:p>
          <w:p w14:paraId="39892E9E">
            <w:pPr>
              <w:pStyle w:val="9"/>
              <w:adjustRightInd w:val="0"/>
              <w:snapToGrid w:val="0"/>
              <w:spacing w:before="0" w:after="0" w:line="36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绿色发展区是指湖泊生态黄线与湖泊流域分水线之间的区域。</w:t>
            </w:r>
          </w:p>
          <w:p w14:paraId="5A817671">
            <w:pPr>
              <w:pStyle w:val="9"/>
              <w:adjustRightInd w:val="0"/>
              <w:snapToGrid w:val="0"/>
              <w:spacing w:before="0" w:after="0" w:line="36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昆明市人民政府应当按照保护面积不减少、保护措施和保护标准从严的要求确定生态保护核心区、生态保护缓冲区和绿色发展区的具体范围，向社会公布，并在湖滨生态红线和湖泊生态黄线设置界桩、标识。</w:t>
            </w:r>
          </w:p>
          <w:p w14:paraId="330A32D7">
            <w:pPr>
              <w:pStyle w:val="9"/>
              <w:adjustRightInd w:val="0"/>
              <w:snapToGrid w:val="0"/>
              <w:spacing w:before="0" w:after="0" w:line="360" w:lineRule="auto"/>
              <w:ind w:firstLine="420" w:firstLineChars="200"/>
              <w:jc w:val="left"/>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本项目选址</w:t>
            </w:r>
            <w:r>
              <w:rPr>
                <w:rFonts w:hint="eastAsia" w:cs="Times New Roman"/>
                <w:color w:val="auto"/>
                <w:sz w:val="21"/>
                <w:szCs w:val="21"/>
                <w:lang w:val="en-US" w:eastAsia="zh-CN"/>
              </w:rPr>
              <w:t>位于</w:t>
            </w:r>
            <w:r>
              <w:rPr>
                <w:rFonts w:hint="default" w:ascii="Times New Roman" w:hAnsi="Times New Roman" w:eastAsia="宋体" w:cs="Times New Roman"/>
                <w:color w:val="auto"/>
                <w:sz w:val="21"/>
                <w:szCs w:val="21"/>
                <w:lang w:eastAsia="zh-CN"/>
              </w:rPr>
              <w:t>云南省昆明市</w:t>
            </w:r>
            <w:r>
              <w:rPr>
                <w:rFonts w:hint="default" w:ascii="Times New Roman" w:hAnsi="Times New Roman" w:eastAsia="宋体" w:cs="Times New Roman"/>
                <w:color w:val="auto"/>
                <w:sz w:val="21"/>
                <w:szCs w:val="21"/>
                <w:lang w:val="en-US" w:eastAsia="zh-CN"/>
              </w:rPr>
              <w:t>盘龙区</w:t>
            </w:r>
            <w:r>
              <w:rPr>
                <w:rFonts w:hint="default" w:ascii="Times New Roman" w:hAnsi="Times New Roman" w:eastAsia="宋体" w:cs="Times New Roman"/>
                <w:color w:val="auto"/>
                <w:sz w:val="21"/>
                <w:szCs w:val="21"/>
                <w:lang w:eastAsia="zh-CN"/>
              </w:rPr>
              <w:t>龙泉街道昆澜街2号</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对照《云南省滇池湖滨生态红线及湖泊生态保护黄线布置图》，项目所在区域为绿色发展区</w:t>
            </w:r>
            <w:r>
              <w:rPr>
                <w:rFonts w:hint="default" w:ascii="Times New Roman" w:hAnsi="Times New Roman" w:eastAsia="宋体" w:cs="Times New Roman"/>
                <w:color w:val="auto"/>
                <w:sz w:val="21"/>
                <w:szCs w:val="21"/>
              </w:rPr>
              <w:t>，本项目与《云南省滇池保护条例》中的要求对比</w:t>
            </w:r>
            <w:r>
              <w:rPr>
                <w:rFonts w:hint="default" w:ascii="Times New Roman" w:hAnsi="Times New Roman" w:eastAsia="宋体" w:cs="Times New Roman"/>
                <w:color w:val="auto"/>
                <w:sz w:val="21"/>
                <w:szCs w:val="21"/>
                <w:lang w:val="en-US" w:eastAsia="zh-CN"/>
              </w:rPr>
              <w:t>见下表</w:t>
            </w:r>
            <w:r>
              <w:rPr>
                <w:rFonts w:hint="default" w:ascii="Times New Roman" w:hAnsi="Times New Roman" w:eastAsia="宋体" w:cs="Times New Roman"/>
                <w:color w:val="auto"/>
                <w:sz w:val="21"/>
                <w:szCs w:val="21"/>
              </w:rPr>
              <w:t>所示</w:t>
            </w:r>
            <w:r>
              <w:rPr>
                <w:rFonts w:hint="default" w:ascii="Times New Roman" w:hAnsi="Times New Roman" w:eastAsia="宋体" w:cs="Times New Roman"/>
                <w:color w:val="auto"/>
                <w:sz w:val="21"/>
                <w:szCs w:val="21"/>
                <w:lang w:eastAsia="zh-CN"/>
              </w:rPr>
              <w:t>。</w:t>
            </w:r>
          </w:p>
          <w:p w14:paraId="36B79980">
            <w:pPr>
              <w:jc w:val="center"/>
              <w:outlineLvl w:val="9"/>
              <w:rPr>
                <w:rFonts w:hint="default"/>
                <w:b/>
                <w:bCs/>
                <w:color w:val="auto"/>
                <w:sz w:val="18"/>
                <w:szCs w:val="18"/>
                <w:lang w:val="en-US" w:eastAsia="zh-CN"/>
              </w:rPr>
            </w:pPr>
            <w:r>
              <w:rPr>
                <w:rFonts w:hint="eastAsia"/>
                <w:b/>
                <w:bCs/>
                <w:color w:val="auto"/>
                <w:sz w:val="18"/>
                <w:szCs w:val="18"/>
                <w:lang w:val="en-US" w:eastAsia="zh-CN"/>
              </w:rPr>
              <w:t>表1-4  本项目与《云南省滇池保护条例》对比一览表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0"/>
              <w:gridCol w:w="2358"/>
              <w:gridCol w:w="710"/>
            </w:tblGrid>
            <w:tr w14:paraId="078D4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3" w:type="pct"/>
                  <w:noWrap w:val="0"/>
                  <w:vAlign w:val="center"/>
                </w:tcPr>
                <w:p w14:paraId="76BC920E">
                  <w:pPr>
                    <w:pStyle w:val="44"/>
                    <w:keepNext w:val="0"/>
                    <w:keepLines w:val="0"/>
                    <w:pageBreakBefore w:val="0"/>
                    <w:kinsoku/>
                    <w:wordWrap/>
                    <w:overflowPunct/>
                    <w:topLinePunct w:val="0"/>
                    <w:bidi w:val="0"/>
                    <w:adjustRightInd w:val="0"/>
                    <w:snapToGrid w:val="0"/>
                    <w:spacing w:before="0" w:after="0" w:line="360" w:lineRule="exact"/>
                    <w:ind w:firstLine="0" w:firstLineChars="0"/>
                    <w:jc w:val="center"/>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云南省滇池保护条例中绿色发展区管理要求</w:t>
                  </w:r>
                </w:p>
              </w:tc>
              <w:tc>
                <w:tcPr>
                  <w:tcW w:w="1757" w:type="pct"/>
                  <w:noWrap w:val="0"/>
                  <w:vAlign w:val="center"/>
                </w:tcPr>
                <w:p w14:paraId="4228907E">
                  <w:pPr>
                    <w:pStyle w:val="44"/>
                    <w:keepNext w:val="0"/>
                    <w:keepLines w:val="0"/>
                    <w:pageBreakBefore w:val="0"/>
                    <w:kinsoku/>
                    <w:wordWrap/>
                    <w:overflowPunct/>
                    <w:topLinePunct w:val="0"/>
                    <w:bidi w:val="0"/>
                    <w:adjustRightInd w:val="0"/>
                    <w:snapToGrid w:val="0"/>
                    <w:spacing w:before="0" w:after="0" w:line="360" w:lineRule="exact"/>
                    <w:ind w:firstLine="0" w:firstLineChars="0"/>
                    <w:jc w:val="center"/>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本项目情况</w:t>
                  </w:r>
                </w:p>
              </w:tc>
              <w:tc>
                <w:tcPr>
                  <w:tcW w:w="529" w:type="pct"/>
                  <w:noWrap w:val="0"/>
                  <w:vAlign w:val="center"/>
                </w:tcPr>
                <w:p w14:paraId="6510F94B">
                  <w:pPr>
                    <w:pStyle w:val="44"/>
                    <w:keepNext w:val="0"/>
                    <w:keepLines w:val="0"/>
                    <w:pageBreakBefore w:val="0"/>
                    <w:kinsoku/>
                    <w:wordWrap/>
                    <w:overflowPunct/>
                    <w:topLinePunct w:val="0"/>
                    <w:bidi w:val="0"/>
                    <w:adjustRightInd w:val="0"/>
                    <w:snapToGrid w:val="0"/>
                    <w:spacing w:before="0" w:after="0" w:line="360" w:lineRule="exact"/>
                    <w:ind w:firstLine="0" w:firstLineChars="0"/>
                    <w:jc w:val="center"/>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符合性</w:t>
                  </w:r>
                </w:p>
              </w:tc>
            </w:tr>
            <w:tr w14:paraId="10C82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3" w:type="pct"/>
                  <w:noWrap w:val="0"/>
                  <w:vAlign w:val="center"/>
                </w:tcPr>
                <w:p w14:paraId="1FF77B85">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第二十六条 绿色发展区应当控制开发利用强度、调整开发利用方式、实现流域保护和开发利用协调发展，以提升生态涵养功能、促进富民就业为重点，建设生态特色城镇和美丽乡村，构建绿色高质量发展的生产生活方式。</w:t>
                  </w:r>
                </w:p>
                <w:p w14:paraId="7EEC8FAF">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严禁审批高污染、高耗水、高耗能项目，禁止在绿色发展区内新建、改建、扩建造纸、制革、印染、染料、炼焦、炼硫、炼砷、炼油、炼汞、电镀、化肥、农药、石棉、水泥、玻璃、冶金、火电等项目，以及直接向入湖河道排放氮、磷污染物的工业项目和严重污染环境、破坏生态的其他项目。现有高污染、高耗水、高耗能项目应当全部迁出滇池流域。</w:t>
                  </w:r>
                </w:p>
                <w:p w14:paraId="4DDC3DC9">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严格管控建设用地总规模，推动土地集约高效利用。</w:t>
                  </w:r>
                </w:p>
              </w:tc>
              <w:tc>
                <w:tcPr>
                  <w:tcW w:w="1757" w:type="pct"/>
                  <w:noWrap w:val="0"/>
                  <w:vAlign w:val="center"/>
                </w:tcPr>
                <w:p w14:paraId="74BD9F97">
                  <w:pPr>
                    <w:pStyle w:val="44"/>
                    <w:keepNext w:val="0"/>
                    <w:keepLines w:val="0"/>
                    <w:pageBreakBefore w:val="0"/>
                    <w:kinsoku/>
                    <w:wordWrap/>
                    <w:overflowPunct/>
                    <w:topLinePunct w:val="0"/>
                    <w:bidi w:val="0"/>
                    <w:adjustRightInd w:val="0"/>
                    <w:snapToGrid w:val="0"/>
                    <w:spacing w:before="0" w:after="0" w:line="360" w:lineRule="exact"/>
                    <w:ind w:firstLine="0" w:firstLineChars="0"/>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本项目不属于条例中严禁审批的高污染、高耗水、高耗能项目，且不属于造纸、制革、印染、染料、炼焦、炼硫、炼砷、炼油、炼汞、电镀、化肥、农药、石棉、水泥、玻璃、冶金、火电等项目。项目租用</w:t>
                  </w:r>
                  <w:r>
                    <w:rPr>
                      <w:rFonts w:hint="default" w:ascii="Times New Roman" w:hAnsi="Times New Roman" w:eastAsia="宋体" w:cs="Times New Roman"/>
                      <w:color w:val="auto"/>
                      <w:sz w:val="18"/>
                      <w:szCs w:val="18"/>
                      <w:lang w:eastAsia="zh-CN"/>
                    </w:rPr>
                    <w:t>现有</w:t>
                  </w:r>
                  <w:r>
                    <w:rPr>
                      <w:rFonts w:hint="default" w:ascii="Times New Roman" w:hAnsi="Times New Roman" w:eastAsia="宋体" w:cs="Times New Roman"/>
                      <w:color w:val="auto"/>
                      <w:sz w:val="18"/>
                      <w:szCs w:val="18"/>
                    </w:rPr>
                    <w:t>办公楼，推动土地集约高效利用。</w:t>
                  </w:r>
                </w:p>
              </w:tc>
              <w:tc>
                <w:tcPr>
                  <w:tcW w:w="529" w:type="pct"/>
                  <w:noWrap w:val="0"/>
                  <w:vAlign w:val="center"/>
                </w:tcPr>
                <w:p w14:paraId="201FC754">
                  <w:pPr>
                    <w:pStyle w:val="44"/>
                    <w:keepNext w:val="0"/>
                    <w:keepLines w:val="0"/>
                    <w:pageBreakBefore w:val="0"/>
                    <w:kinsoku/>
                    <w:wordWrap/>
                    <w:overflowPunct/>
                    <w:topLinePunct w:val="0"/>
                    <w:bidi w:val="0"/>
                    <w:adjustRightInd w:val="0"/>
                    <w:snapToGrid w:val="0"/>
                    <w:spacing w:before="0" w:after="0" w:line="360" w:lineRule="exact"/>
                    <w:ind w:firstLine="0" w:firstLineChars="0"/>
                    <w:jc w:val="center"/>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15B2B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3" w:type="pct"/>
                  <w:noWrap w:val="0"/>
                  <w:vAlign w:val="center"/>
                </w:tcPr>
                <w:p w14:paraId="37E83C90">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第二十七条 绿色发展区禁止下列行为：</w:t>
                  </w:r>
                </w:p>
                <w:p w14:paraId="2F62819C">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（一）利用渗井、渗坑、裂隙、溶洞，私设暗管，篡改、伪造监测数据，或者不正常运行水污染防治设施等逃避监管的方式排放水污染物；</w:t>
                  </w:r>
                </w:p>
                <w:p w14:paraId="6E8769F5">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（二）未按照规定进行预处理，向污水集中处理设施排放不符合处理工艺要求的工业废水；</w:t>
                  </w:r>
                </w:p>
                <w:p w14:paraId="2852D038">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（三）向水体排放剧毒废液，或者将含有汞、镉、砷、铬、铅、氰化物、黄磷等的可溶性剧毒废渣向水体排放、倾倒或者直接埋入地下；</w:t>
                  </w:r>
                </w:p>
                <w:p w14:paraId="0AB14910">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（四）未按照规定采取防护性措施，或者利用无防渗漏措施的沟渠、坑塘等输送或者存贮含有毒污染物的废水、含病原体的污水或者其他废弃物；</w:t>
                  </w:r>
                </w:p>
                <w:p w14:paraId="0F4F60D5">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（五）向水体排放、倾倒工业废渣、城镇垃圾或者其他废弃物；</w:t>
                  </w:r>
                </w:p>
                <w:p w14:paraId="3710F9B6">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（六）超过水污染物排放标准或者超过重点水污染物排放总量控制指标排放水污染物；</w:t>
                  </w:r>
                </w:p>
                <w:p w14:paraId="125036D5">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（七）擅自取水或者违反取水许可规定取水；</w:t>
                  </w:r>
                </w:p>
                <w:p w14:paraId="6557EA0F">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（八）违法砍伐林木；</w:t>
                  </w:r>
                </w:p>
                <w:p w14:paraId="0B1272F3">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（九）违法开垦、占用林地；</w:t>
                  </w:r>
                </w:p>
                <w:p w14:paraId="57AD94B7">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（十）违法猎捕、杀害、买卖野生动物；</w:t>
                  </w:r>
                </w:p>
                <w:p w14:paraId="45181DEA">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（十一）损毁或者擅自移动界桩、标识；</w:t>
                  </w:r>
                </w:p>
                <w:p w14:paraId="5DB6E1AB">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（十二）生产、销售、使用含磷洗涤用品、国家明令禁止或者明令淘汰的一次性发泡塑料餐具、塑料袋等塑料制品；</w:t>
                  </w:r>
                </w:p>
                <w:p w14:paraId="1E46B058">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（十三）擅自填堵、覆盖河道，侵占河床、河堤，改变河道走向；</w:t>
                  </w:r>
                </w:p>
                <w:p w14:paraId="7706DE76">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（十四）使用禁用的渔具、捕捞方法或者不符合规定的网具捕捞；</w:t>
                  </w:r>
                </w:p>
                <w:p w14:paraId="68D1EA35">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（十五）法律、法规禁止的其他行为。</w:t>
                  </w:r>
                </w:p>
              </w:tc>
              <w:tc>
                <w:tcPr>
                  <w:tcW w:w="1757" w:type="pct"/>
                  <w:noWrap w:val="0"/>
                  <w:vAlign w:val="center"/>
                </w:tcPr>
                <w:p w14:paraId="123EC738">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（一）项目区已实行雨污分流制，雨水经雨水管道进入市政雨水管网，污水经污水管道进入市政污水管网，不涉及利用渗井、渗坑、裂隙、溶洞，私设暗管</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篡改</w:t>
                  </w:r>
                  <w:r>
                    <w:rPr>
                      <w:rFonts w:hint="default" w:ascii="Times New Roman" w:hAnsi="Times New Roman" w:eastAsia="宋体" w:cs="Times New Roman"/>
                      <w:color w:val="auto"/>
                      <w:sz w:val="18"/>
                      <w:szCs w:val="18"/>
                    </w:rPr>
                    <w:t>、伪造监测数据，或者不正常运行水污染防治设施等逃避监管的方式排放水污染物；</w:t>
                  </w:r>
                </w:p>
                <w:p w14:paraId="32683B82">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（二）项目运营期产生的废水经中和池预处理达《污水排入城镇下水道水质标准》(GB/T 31962-2015)表1中的 A 级标准后排入市政污水管网，最终排入</w:t>
                  </w:r>
                  <w:r>
                    <w:rPr>
                      <w:rFonts w:hint="eastAsia" w:cs="Times New Roman"/>
                      <w:color w:val="auto"/>
                      <w:sz w:val="18"/>
                      <w:szCs w:val="18"/>
                      <w:lang w:eastAsia="zh-CN"/>
                    </w:rPr>
                    <w:t>昆明市第十四水质净化厂</w:t>
                  </w:r>
                  <w:r>
                    <w:rPr>
                      <w:rFonts w:hint="default" w:ascii="Times New Roman" w:hAnsi="Times New Roman" w:eastAsia="宋体" w:cs="Times New Roman"/>
                      <w:color w:val="auto"/>
                      <w:sz w:val="18"/>
                      <w:szCs w:val="18"/>
                    </w:rPr>
                    <w:t>处理，项目采取的预处理措施符合处理工艺要求。</w:t>
                  </w:r>
                </w:p>
                <w:p w14:paraId="7E7CB339">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三</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十五</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本项目</w:t>
                  </w:r>
                  <w:r>
                    <w:rPr>
                      <w:rFonts w:hint="default" w:ascii="Times New Roman" w:hAnsi="Times New Roman" w:eastAsia="宋体" w:cs="Times New Roman"/>
                      <w:color w:val="auto"/>
                      <w:sz w:val="18"/>
                      <w:szCs w:val="18"/>
                    </w:rPr>
                    <w:t>均不涉及。</w:t>
                  </w:r>
                </w:p>
                <w:p w14:paraId="79A48E0A">
                  <w:pPr>
                    <w:keepNext w:val="0"/>
                    <w:keepLines w:val="0"/>
                    <w:pageBreakBefore w:val="0"/>
                    <w:widowControl/>
                    <w:kinsoku/>
                    <w:wordWrap/>
                    <w:overflowPunct/>
                    <w:topLinePunct w:val="0"/>
                    <w:bidi w:val="0"/>
                    <w:adjustRightInd w:val="0"/>
                    <w:snapToGrid w:val="0"/>
                    <w:spacing w:line="360" w:lineRule="exact"/>
                    <w:jc w:val="left"/>
                    <w:outlineLvl w:val="9"/>
                    <w:rPr>
                      <w:rFonts w:hint="default" w:ascii="Times New Roman" w:hAnsi="Times New Roman" w:eastAsia="宋体" w:cs="Times New Roman"/>
                      <w:color w:val="auto"/>
                      <w:sz w:val="18"/>
                      <w:szCs w:val="18"/>
                    </w:rPr>
                  </w:pPr>
                </w:p>
              </w:tc>
              <w:tc>
                <w:tcPr>
                  <w:tcW w:w="529" w:type="pct"/>
                  <w:noWrap w:val="0"/>
                  <w:vAlign w:val="center"/>
                </w:tcPr>
                <w:p w14:paraId="2CCF4FBB">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符合</w:t>
                  </w:r>
                </w:p>
              </w:tc>
            </w:tr>
            <w:tr w14:paraId="24802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13" w:type="pct"/>
                  <w:noWrap w:val="0"/>
                  <w:vAlign w:val="center"/>
                </w:tcPr>
                <w:p w14:paraId="0714DA5C">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第四十三条 有关县级人民政府、乡（镇）人民政府、街道办事处应当采取有效措施，调整优化农业种植结构，转变农业生产方式，推广环境友好型农业，实现化肥、农药减量增效和农业废弃物资源化利用，推进农田退水循环利用，有效防治农业面源污染。</w:t>
                  </w:r>
                </w:p>
                <w:p w14:paraId="6503BBED">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态保护核心区全面禁止畜禽养殖；生态保护缓冲区全面禁止畜禽规模养殖，对畜禽非规模养殖实行严格管理，禁止排放污染物；绿色发展区禁止直接排放畜禽粪污，不得新增畜禽规模养殖、生猪定点屠宰厂（场）。</w:t>
                  </w:r>
                </w:p>
                <w:p w14:paraId="73BAF1CF">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态保护核心区禁止大棚种植，禁施农药和化肥，严控农田污染物进入滇池；生态保护缓冲区和绿色发展区全面优化种植产业结构，发展绿色生态农业，控制和减少农药及化肥使用量，严禁经营使用国家规定的禁止使用类、限制使用类农药，鼓励轮作休耕。</w:t>
                  </w:r>
                </w:p>
              </w:tc>
              <w:tc>
                <w:tcPr>
                  <w:tcW w:w="1757" w:type="pct"/>
                  <w:noWrap w:val="0"/>
                  <w:vAlign w:val="center"/>
                </w:tcPr>
                <w:p w14:paraId="20C5FA07">
                  <w:pPr>
                    <w:keepNext w:val="0"/>
                    <w:keepLines w:val="0"/>
                    <w:pageBreakBefore w:val="0"/>
                    <w:widowControl/>
                    <w:kinsoku/>
                    <w:wordWrap/>
                    <w:overflowPunct/>
                    <w:topLinePunct w:val="0"/>
                    <w:bidi w:val="0"/>
                    <w:adjustRightInd w:val="0"/>
                    <w:snapToGrid w:val="0"/>
                    <w:spacing w:line="360" w:lineRule="exact"/>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本项目不涉及。</w:t>
                  </w:r>
                </w:p>
              </w:tc>
              <w:tc>
                <w:tcPr>
                  <w:tcW w:w="529" w:type="pct"/>
                  <w:noWrap w:val="0"/>
                  <w:vAlign w:val="center"/>
                </w:tcPr>
                <w:p w14:paraId="1893D4D0">
                  <w:pPr>
                    <w:pStyle w:val="44"/>
                    <w:keepNext w:val="0"/>
                    <w:keepLines w:val="0"/>
                    <w:pageBreakBefore w:val="0"/>
                    <w:kinsoku/>
                    <w:wordWrap/>
                    <w:overflowPunct/>
                    <w:topLinePunct w:val="0"/>
                    <w:bidi w:val="0"/>
                    <w:adjustRightInd w:val="0"/>
                    <w:snapToGrid w:val="0"/>
                    <w:spacing w:before="0" w:after="0" w:line="360" w:lineRule="exact"/>
                    <w:ind w:firstLine="0" w:firstLineChars="0"/>
                    <w:jc w:val="left"/>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符合</w:t>
                  </w:r>
                </w:p>
              </w:tc>
            </w:tr>
          </w:tbl>
          <w:p w14:paraId="2C456E02">
            <w:pPr>
              <w:adjustRightInd w:val="0"/>
              <w:snapToGrid w:val="0"/>
              <w:spacing w:line="360" w:lineRule="auto"/>
              <w:ind w:firstLine="420" w:firstLineChars="200"/>
              <w:jc w:val="left"/>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综上，本项目所在区域不属《云南省滇池保护条例》规定的禁建和限制区范畴，不属《云南省滇池保护条例》中规定不得建设的项目，项目建设符合《云南省滇池保护条例》要求。</w:t>
            </w:r>
          </w:p>
          <w:p w14:paraId="4F86A847">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5、与《云南省重点行业挥发性有机物综合治理实施方案》符合性分析</w:t>
            </w:r>
          </w:p>
          <w:p w14:paraId="1DF3164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表1-</w:t>
            </w:r>
            <w:r>
              <w:rPr>
                <w:rFonts w:hint="eastAsia" w:cs="Times New Roman"/>
                <w:b/>
                <w:bCs/>
                <w:color w:val="auto"/>
                <w:sz w:val="18"/>
                <w:szCs w:val="18"/>
                <w:lang w:val="en-US" w:eastAsia="zh-CN"/>
              </w:rPr>
              <w:t>5</w:t>
            </w:r>
            <w:r>
              <w:rPr>
                <w:rFonts w:hint="eastAsia" w:ascii="Times New Roman" w:hAnsi="Times New Roman" w:eastAsia="宋体" w:cs="Times New Roman"/>
                <w:b/>
                <w:bCs/>
                <w:color w:val="auto"/>
                <w:sz w:val="18"/>
                <w:szCs w:val="18"/>
                <w:lang w:val="en-US" w:eastAsia="zh-CN"/>
              </w:rPr>
              <w:t xml:space="preserve">  </w:t>
            </w:r>
            <w:r>
              <w:rPr>
                <w:rFonts w:hint="default" w:ascii="Times New Roman" w:hAnsi="Times New Roman" w:eastAsia="宋体" w:cs="Times New Roman"/>
                <w:b/>
                <w:bCs/>
                <w:color w:val="auto"/>
                <w:sz w:val="18"/>
                <w:szCs w:val="18"/>
                <w:lang w:val="en-US" w:eastAsia="zh-CN"/>
              </w:rPr>
              <w:t>与《云南省重点行业挥发性有机物综合治理实施方案》相符性分析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1"/>
              <w:gridCol w:w="2692"/>
              <w:gridCol w:w="806"/>
            </w:tblGrid>
            <w:tr w14:paraId="482A1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93" w:type="pct"/>
                  <w:noWrap w:val="0"/>
                  <w:vAlign w:val="center"/>
                </w:tcPr>
                <w:p w14:paraId="07968B2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要求</w:t>
                  </w:r>
                </w:p>
              </w:tc>
              <w:tc>
                <w:tcPr>
                  <w:tcW w:w="2006" w:type="pct"/>
                  <w:noWrap w:val="0"/>
                  <w:vAlign w:val="center"/>
                </w:tcPr>
                <w:p w14:paraId="7C79FD8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本</w:t>
                  </w:r>
                  <w:r>
                    <w:rPr>
                      <w:rFonts w:hint="default" w:ascii="Times New Roman" w:hAnsi="Times New Roman" w:eastAsia="宋体" w:cs="Times New Roman"/>
                      <w:b/>
                      <w:bCs/>
                      <w:color w:val="auto"/>
                      <w:sz w:val="18"/>
                      <w:szCs w:val="18"/>
                      <w:lang w:val="en-US" w:eastAsia="zh-CN"/>
                    </w:rPr>
                    <w:cr/>
                  </w:r>
                  <w:r>
                    <w:rPr>
                      <w:rFonts w:hint="default" w:ascii="Times New Roman" w:hAnsi="Times New Roman" w:eastAsia="宋体" w:cs="Times New Roman"/>
                      <w:b/>
                      <w:bCs/>
                      <w:color w:val="auto"/>
                      <w:sz w:val="18"/>
                      <w:szCs w:val="18"/>
                      <w:lang w:val="en-US" w:eastAsia="zh-CN"/>
                    </w:rPr>
                    <w:t>目实际情况</w:t>
                  </w:r>
                </w:p>
              </w:tc>
              <w:tc>
                <w:tcPr>
                  <w:tcW w:w="600" w:type="pct"/>
                  <w:noWrap w:val="0"/>
                  <w:vAlign w:val="center"/>
                </w:tcPr>
                <w:p w14:paraId="562A0B1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符合性</w:t>
                  </w:r>
                </w:p>
              </w:tc>
            </w:tr>
            <w:tr w14:paraId="1295F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93" w:type="pct"/>
                  <w:noWrap w:val="0"/>
                  <w:vAlign w:val="center"/>
                </w:tcPr>
                <w:p w14:paraId="5A22D5D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1、</w:t>
                  </w:r>
                  <w:r>
                    <w:rPr>
                      <w:rFonts w:hint="default" w:ascii="Times New Roman" w:hAnsi="Times New Roman" w:eastAsia="宋体" w:cs="Times New Roman"/>
                      <w:b w:val="0"/>
                      <w:bCs w:val="0"/>
                      <w:color w:val="auto"/>
                      <w:sz w:val="18"/>
                      <w:szCs w:val="18"/>
                      <w:lang w:val="en-US" w:eastAsia="zh-CN"/>
                    </w:rPr>
                    <w:t>全面加强无组织排放控制。重点对含VOCs物料（包括含VOCs原辅材料、含VOCs产品、含VOCs废料以及有机聚合物材料）储存、转移和输送、设备与管线组件泄漏、敞开液面逸散以及工艺过程等五类排放源实施管控。通过采取设备与场所密闭、工艺改进、废气有效收集等措施，削减 VOCs 无组织放。</w:t>
                  </w:r>
                </w:p>
              </w:tc>
              <w:tc>
                <w:tcPr>
                  <w:tcW w:w="2006" w:type="pct"/>
                  <w:noWrap w:val="0"/>
                  <w:vAlign w:val="center"/>
                </w:tcPr>
                <w:p w14:paraId="3948C11C">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本项目产生的有机废气进入三级活性炭吸附装置处理后经</w:t>
                  </w:r>
                  <w:r>
                    <w:rPr>
                      <w:rFonts w:hint="eastAsia" w:ascii="Times New Roman" w:hAnsi="Times New Roman" w:eastAsia="宋体" w:cs="Times New Roman"/>
                      <w:b w:val="0"/>
                      <w:bCs w:val="0"/>
                      <w:color w:val="auto"/>
                      <w:sz w:val="18"/>
                      <w:szCs w:val="18"/>
                      <w:lang w:val="en-US" w:eastAsia="zh-CN"/>
                    </w:rPr>
                    <w:t>1</w:t>
                  </w:r>
                  <w:r>
                    <w:rPr>
                      <w:rFonts w:hint="default" w:ascii="Times New Roman" w:hAnsi="Times New Roman" w:eastAsia="宋体" w:cs="Times New Roman"/>
                      <w:b w:val="0"/>
                      <w:bCs w:val="0"/>
                      <w:color w:val="auto"/>
                      <w:sz w:val="18"/>
                      <w:szCs w:val="18"/>
                      <w:lang w:val="en-US" w:eastAsia="zh-CN"/>
                    </w:rPr>
                    <w:t xml:space="preserve">5m 高的 DA001 </w:t>
                  </w:r>
                  <w:r>
                    <w:rPr>
                      <w:rFonts w:hint="eastAsia" w:cs="Times New Roman"/>
                      <w:b w:val="0"/>
                      <w:bCs w:val="0"/>
                      <w:color w:val="auto"/>
                      <w:sz w:val="18"/>
                      <w:szCs w:val="18"/>
                      <w:lang w:val="en-US" w:eastAsia="zh-CN"/>
                    </w:rPr>
                    <w:t>排气筒</w:t>
                  </w:r>
                  <w:r>
                    <w:rPr>
                      <w:rFonts w:hint="default" w:ascii="Times New Roman" w:hAnsi="Times New Roman" w:eastAsia="宋体" w:cs="Times New Roman"/>
                      <w:b w:val="0"/>
                      <w:bCs w:val="0"/>
                      <w:color w:val="auto"/>
                      <w:sz w:val="18"/>
                      <w:szCs w:val="18"/>
                      <w:lang w:val="en-US" w:eastAsia="zh-CN"/>
                    </w:rPr>
                    <w:t>排放。未经收集的少量无组织有机废气，通过通风换气系统抽排至室外自然扩散，场所相对密闭，削减 VOCs 无组织排放。</w:t>
                  </w:r>
                </w:p>
              </w:tc>
              <w:tc>
                <w:tcPr>
                  <w:tcW w:w="600" w:type="pct"/>
                  <w:noWrap w:val="0"/>
                  <w:vAlign w:val="center"/>
                </w:tcPr>
                <w:p w14:paraId="0F5FCA0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087BE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93" w:type="pct"/>
                  <w:noWrap w:val="0"/>
                  <w:vAlign w:val="center"/>
                </w:tcPr>
                <w:p w14:paraId="21FA7B7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2、</w:t>
                  </w:r>
                  <w:r>
                    <w:rPr>
                      <w:rFonts w:hint="default" w:ascii="Times New Roman" w:hAnsi="Times New Roman" w:eastAsia="宋体" w:cs="Times New Roman"/>
                      <w:b w:val="0"/>
                      <w:bCs w:val="0"/>
                      <w:color w:val="auto"/>
                      <w:sz w:val="18"/>
                      <w:szCs w:val="18"/>
                      <w:lang w:val="en-US" w:eastAsia="zh-CN"/>
                    </w:rPr>
                    <w:t>推进建设适宜高效的治污设施。企业新建治污设施或对现有治污设施实施改造，应依据排放废对现有治污设施实施改造，应依据排放废气的浓度、组分、风量，温度、湿度、压力，以及生产工况等，合理选择治理技术。</w:t>
                  </w:r>
                </w:p>
              </w:tc>
              <w:tc>
                <w:tcPr>
                  <w:tcW w:w="2006" w:type="pct"/>
                  <w:noWrap w:val="0"/>
                  <w:vAlign w:val="center"/>
                </w:tcPr>
                <w:p w14:paraId="45469A4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本项目产生非甲烷总烃，经通风橱、集气罩收集后经活性炭吸附装置处理后通过1根15m高排气筒（DA001）排放，处理后对环境影响较小。</w:t>
                  </w:r>
                </w:p>
              </w:tc>
              <w:tc>
                <w:tcPr>
                  <w:tcW w:w="600" w:type="pct"/>
                  <w:noWrap w:val="0"/>
                  <w:vAlign w:val="center"/>
                </w:tcPr>
                <w:p w14:paraId="75184E7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0E75C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93" w:type="pct"/>
                  <w:noWrap w:val="0"/>
                  <w:vAlign w:val="center"/>
                </w:tcPr>
                <w:p w14:paraId="3BAA96C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3、</w:t>
                  </w:r>
                  <w:r>
                    <w:rPr>
                      <w:rFonts w:hint="default" w:ascii="Times New Roman" w:hAnsi="Times New Roman" w:eastAsia="宋体" w:cs="Times New Roman"/>
                      <w:b w:val="0"/>
                      <w:bCs w:val="0"/>
                      <w:color w:val="auto"/>
                      <w:sz w:val="18"/>
                      <w:szCs w:val="18"/>
                      <w:lang w:val="en-US" w:eastAsia="zh-CN"/>
                    </w:rPr>
                    <w:t>重点行业</w:t>
                  </w:r>
                  <w:r>
                    <w:rPr>
                      <w:rFonts w:hint="eastAsia" w:ascii="Times New Roman" w:hAnsi="Times New Roman" w:eastAsia="宋体" w:cs="Times New Roman"/>
                      <w:b w:val="0"/>
                      <w:bCs w:val="0"/>
                      <w:color w:val="auto"/>
                      <w:sz w:val="18"/>
                      <w:szCs w:val="18"/>
                      <w:lang w:val="en-US" w:eastAsia="zh-CN"/>
                    </w:rPr>
                    <w:t>治理任务：</w:t>
                  </w:r>
                  <w:r>
                    <w:rPr>
                      <w:rFonts w:hint="default" w:ascii="Times New Roman" w:hAnsi="Times New Roman" w:eastAsia="宋体" w:cs="Times New Roman"/>
                      <w:b w:val="0"/>
                      <w:bCs w:val="0"/>
                      <w:color w:val="auto"/>
                      <w:sz w:val="18"/>
                      <w:szCs w:val="18"/>
                      <w:lang w:val="en-US" w:eastAsia="zh-CN"/>
                    </w:rPr>
                    <w:t>重点推进石化、化工、包装印刷、工业涂装等重点行业以及机动车、油品储运销等交通源 VOCs 及工业园区和产业集群 VOCs 治理污染防治，实施一批重点工程。</w:t>
                  </w:r>
                </w:p>
              </w:tc>
              <w:tc>
                <w:tcPr>
                  <w:tcW w:w="2006" w:type="pct"/>
                  <w:noWrap w:val="0"/>
                  <w:vAlign w:val="center"/>
                </w:tcPr>
                <w:p w14:paraId="13BBF9D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本项目属于检测服务行业不属于重点行业。</w:t>
                  </w:r>
                </w:p>
              </w:tc>
              <w:tc>
                <w:tcPr>
                  <w:tcW w:w="600" w:type="pct"/>
                  <w:noWrap w:val="0"/>
                  <w:vAlign w:val="center"/>
                </w:tcPr>
                <w:p w14:paraId="6FDE0C0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2AF5C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393" w:type="pct"/>
                  <w:noWrap w:val="0"/>
                  <w:vAlign w:val="center"/>
                </w:tcPr>
                <w:p w14:paraId="275B9C54">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4、提高废气收集率，遵循“应收尽收、分质收集”的原则，科学设计废气收集系统，将无组织排放转变为有组织排放进行控制。</w:t>
                  </w:r>
                </w:p>
              </w:tc>
              <w:tc>
                <w:tcPr>
                  <w:tcW w:w="2006" w:type="pct"/>
                  <w:noWrap w:val="0"/>
                  <w:vAlign w:val="center"/>
                </w:tcPr>
                <w:p w14:paraId="5CDD2FDD">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①本项目有机实验与无机实验在各自实验室开展，产生的有机废气和无机废气位于不同实验室，严格遵循分质收集、分别处置、分别排放的原则。②项目有机废气通过通风橱、集气罩收集后经管道输送至三级活性炭吸附装置处理后由</w:t>
                  </w:r>
                  <w:r>
                    <w:rPr>
                      <w:rFonts w:hint="eastAsia" w:ascii="Times New Roman" w:hAnsi="Times New Roman" w:eastAsia="宋体" w:cs="Times New Roman"/>
                      <w:b w:val="0"/>
                      <w:bCs w:val="0"/>
                      <w:color w:val="auto"/>
                      <w:sz w:val="18"/>
                      <w:szCs w:val="18"/>
                      <w:lang w:val="en-US" w:eastAsia="zh-CN"/>
                    </w:rPr>
                    <w:t>1</w:t>
                  </w:r>
                  <w:r>
                    <w:rPr>
                      <w:rFonts w:hint="default" w:ascii="Times New Roman" w:hAnsi="Times New Roman" w:eastAsia="宋体" w:cs="Times New Roman"/>
                      <w:b w:val="0"/>
                      <w:bCs w:val="0"/>
                      <w:color w:val="auto"/>
                      <w:sz w:val="18"/>
                      <w:szCs w:val="18"/>
                      <w:lang w:val="en-US" w:eastAsia="zh-CN"/>
                    </w:rPr>
                    <w:t>5m 高的 DA001</w:t>
                  </w:r>
                  <w:r>
                    <w:rPr>
                      <w:rFonts w:hint="eastAsia" w:cs="Times New Roman"/>
                      <w:b w:val="0"/>
                      <w:bCs w:val="0"/>
                      <w:color w:val="auto"/>
                      <w:sz w:val="18"/>
                      <w:szCs w:val="18"/>
                      <w:lang w:val="en-US" w:eastAsia="zh-CN"/>
                    </w:rPr>
                    <w:t>排气筒</w:t>
                  </w:r>
                  <w:r>
                    <w:rPr>
                      <w:rFonts w:hint="default" w:ascii="Times New Roman" w:hAnsi="Times New Roman" w:eastAsia="宋体" w:cs="Times New Roman"/>
                      <w:b w:val="0"/>
                      <w:bCs w:val="0"/>
                      <w:color w:val="auto"/>
                      <w:sz w:val="18"/>
                      <w:szCs w:val="18"/>
                      <w:lang w:val="en-US" w:eastAsia="zh-CN"/>
                    </w:rPr>
                    <w:t>排放。</w:t>
                  </w:r>
                </w:p>
              </w:tc>
              <w:tc>
                <w:tcPr>
                  <w:tcW w:w="600" w:type="pct"/>
                  <w:noWrap w:val="0"/>
                  <w:vAlign w:val="center"/>
                </w:tcPr>
                <w:p w14:paraId="216142B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p>
              </w:tc>
            </w:tr>
          </w:tbl>
          <w:p w14:paraId="5ED00E4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根据上表分析结果，本项目与《云南省重点行业挥发性有机物综合治理实施方案》中的要求相符。</w:t>
            </w:r>
          </w:p>
          <w:p w14:paraId="3283B5D1">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6</w:t>
            </w:r>
            <w:r>
              <w:rPr>
                <w:rFonts w:hint="default" w:ascii="Times New Roman" w:hAnsi="Times New Roman" w:eastAsia="宋体" w:cs="Times New Roman"/>
                <w:b/>
                <w:bCs/>
                <w:color w:val="auto"/>
                <w:lang w:val="en-US" w:eastAsia="zh-CN"/>
              </w:rPr>
              <w:t>、与《昆明市环境噪声污染防治管理办法》符合性分析</w:t>
            </w:r>
          </w:p>
          <w:p w14:paraId="3AE6B9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《昆明市环境噪声污染防治管理办法》自2007年7月1日起施行。根据《昆明市环境噪声污染防治管理办法》（昆明市人民政府令第72号）中的规定，进行项目相符性分析，见</w:t>
            </w:r>
            <w:r>
              <w:rPr>
                <w:rFonts w:hint="eastAsia" w:ascii="Times New Roman" w:hAnsi="Times New Roman" w:eastAsia="宋体" w:cs="Times New Roman"/>
                <w:color w:val="auto"/>
                <w:lang w:val="en-US" w:eastAsia="zh-CN"/>
              </w:rPr>
              <w:t>下表</w:t>
            </w:r>
            <w:r>
              <w:rPr>
                <w:rFonts w:hint="default" w:ascii="Times New Roman" w:hAnsi="Times New Roman" w:eastAsia="宋体" w:cs="Times New Roman"/>
                <w:color w:val="auto"/>
                <w:lang w:val="en-US" w:eastAsia="zh-CN"/>
              </w:rPr>
              <w:t>。</w:t>
            </w:r>
          </w:p>
          <w:p w14:paraId="173283F2">
            <w:pPr>
              <w:bidi w:val="0"/>
              <w:jc w:val="center"/>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表1-</w:t>
            </w:r>
            <w:r>
              <w:rPr>
                <w:rFonts w:hint="eastAsia" w:cs="Times New Roman"/>
                <w:b/>
                <w:bCs/>
                <w:color w:val="auto"/>
                <w:sz w:val="18"/>
                <w:szCs w:val="18"/>
                <w:lang w:val="en-US" w:eastAsia="zh-CN"/>
              </w:rPr>
              <w:t>6</w:t>
            </w:r>
            <w:r>
              <w:rPr>
                <w:rFonts w:hint="eastAsia" w:ascii="Times New Roman" w:hAnsi="Times New Roman" w:eastAsia="宋体" w:cs="Times New Roman"/>
                <w:b/>
                <w:bCs/>
                <w:color w:val="auto"/>
                <w:sz w:val="18"/>
                <w:szCs w:val="18"/>
                <w:lang w:val="en-US" w:eastAsia="zh-CN"/>
              </w:rPr>
              <w:t xml:space="preserve"> </w:t>
            </w:r>
            <w:r>
              <w:rPr>
                <w:rFonts w:hint="default" w:ascii="Times New Roman" w:hAnsi="Times New Roman" w:eastAsia="宋体" w:cs="Times New Roman"/>
                <w:b/>
                <w:bCs/>
                <w:color w:val="auto"/>
                <w:sz w:val="18"/>
                <w:szCs w:val="18"/>
                <w:lang w:val="en-US" w:eastAsia="zh-CN"/>
              </w:rPr>
              <w:t xml:space="preserve"> 《昆明市环境噪声污染防治管理办法》相符性分析</w:t>
            </w:r>
          </w:p>
          <w:tbl>
            <w:tblPr>
              <w:tblStyle w:val="2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2812"/>
              <w:gridCol w:w="877"/>
            </w:tblGrid>
            <w:tr w14:paraId="3B59A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251" w:type="pct"/>
                  <w:noWrap w:val="0"/>
                  <w:vAlign w:val="center"/>
                </w:tcPr>
                <w:p w14:paraId="2658D814">
                  <w:pPr>
                    <w:bidi w:val="0"/>
                    <w:jc w:val="center"/>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昆明市环境噪声污染防治</w:t>
                  </w:r>
                  <w:r>
                    <w:rPr>
                      <w:rFonts w:hint="default" w:ascii="Times New Roman" w:hAnsi="Times New Roman" w:eastAsia="宋体" w:cs="Times New Roman"/>
                      <w:b/>
                      <w:bCs/>
                      <w:color w:val="auto"/>
                      <w:sz w:val="18"/>
                      <w:szCs w:val="18"/>
                      <w:lang w:val="en-US" w:eastAsia="zh-CN"/>
                    </w:rPr>
                    <w:cr/>
                  </w:r>
                  <w:r>
                    <w:rPr>
                      <w:rFonts w:hint="default" w:ascii="Times New Roman" w:hAnsi="Times New Roman" w:eastAsia="宋体" w:cs="Times New Roman"/>
                      <w:b/>
                      <w:bCs/>
                      <w:color w:val="auto"/>
                      <w:sz w:val="18"/>
                      <w:szCs w:val="18"/>
                      <w:lang w:val="en-US" w:eastAsia="zh-CN"/>
                    </w:rPr>
                    <w:t>理办法</w:t>
                  </w:r>
                </w:p>
              </w:tc>
              <w:tc>
                <w:tcPr>
                  <w:tcW w:w="2096" w:type="pct"/>
                  <w:noWrap w:val="0"/>
                  <w:vAlign w:val="center"/>
                </w:tcPr>
                <w:p w14:paraId="7A13170D">
                  <w:pPr>
                    <w:bidi w:val="0"/>
                    <w:jc w:val="center"/>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项目情况</w:t>
                  </w:r>
                </w:p>
              </w:tc>
              <w:tc>
                <w:tcPr>
                  <w:tcW w:w="653" w:type="pct"/>
                  <w:noWrap w:val="0"/>
                  <w:vAlign w:val="center"/>
                </w:tcPr>
                <w:p w14:paraId="753544CA">
                  <w:pPr>
                    <w:bidi w:val="0"/>
                    <w:jc w:val="center"/>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符合性</w:t>
                  </w:r>
                </w:p>
              </w:tc>
            </w:tr>
            <w:tr w14:paraId="34A03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251" w:type="pct"/>
                  <w:noWrap w:val="0"/>
                  <w:vAlign w:val="center"/>
                </w:tcPr>
                <w:p w14:paraId="31B0A7F4">
                  <w:pPr>
                    <w:bidi w:val="0"/>
                    <w:jc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禁止在下列区域内新建、扩建排放环境噪声的工业企业：（一）医疗区、文教科研区、机关办公区、居民住宅区；（二）风景名胜区、自然保护区、旅游度假区、重点文物保护区；禁止在医疗区、文教科研区、机关办公区、居民住宅区等噪声敏感建筑物集中区域内从事机械加工、汽车维修等产生环境噪声污染的经营活动。</w:t>
                  </w:r>
                </w:p>
              </w:tc>
              <w:tc>
                <w:tcPr>
                  <w:tcW w:w="2096" w:type="pct"/>
                  <w:noWrap w:val="0"/>
                  <w:vAlign w:val="center"/>
                </w:tcPr>
                <w:p w14:paraId="57798BD8">
                  <w:pPr>
                    <w:bidi w:val="0"/>
                    <w:jc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本项目为实验室项目，不属于《昆明市环境噪声污染防治管理办法》中禁止新建、扩建排放环境噪声的工业企业。</w:t>
                  </w:r>
                </w:p>
              </w:tc>
              <w:tc>
                <w:tcPr>
                  <w:tcW w:w="653" w:type="pct"/>
                  <w:noWrap w:val="0"/>
                  <w:vAlign w:val="center"/>
                </w:tcPr>
                <w:p w14:paraId="27A6CCBE">
                  <w:pPr>
                    <w:bidi w:val="0"/>
                    <w:jc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7DD5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251" w:type="pct"/>
                  <w:noWrap w:val="0"/>
                  <w:vAlign w:val="center"/>
                </w:tcPr>
                <w:p w14:paraId="24841F3C">
                  <w:pPr>
                    <w:bidi w:val="0"/>
                    <w:jc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产生环境噪声污染的工业企业，应当对设备进行合理布局，采用低噪声设备，改进工艺，并采取吸声、消声、隔声、隔振和减振等治理措施，减轻环境噪声污染，达到工业企业厂界噪声排放标准。</w:t>
                  </w:r>
                </w:p>
              </w:tc>
              <w:tc>
                <w:tcPr>
                  <w:tcW w:w="2096" w:type="pct"/>
                  <w:noWrap w:val="0"/>
                  <w:vAlign w:val="center"/>
                </w:tcPr>
                <w:p w14:paraId="38626BB1">
                  <w:pPr>
                    <w:bidi w:val="0"/>
                    <w:jc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项目选用低噪声设备，设备设置在厂房内，利用厂房墙壁进行隔声；并结合项目工艺流程、设备产噪情况以及与周边保护目标的分</w:t>
                  </w:r>
                  <w:r>
                    <w:rPr>
                      <w:rFonts w:hint="default" w:ascii="Times New Roman" w:hAnsi="Times New Roman" w:eastAsia="宋体" w:cs="Times New Roman"/>
                      <w:color w:val="auto"/>
                      <w:sz w:val="18"/>
                      <w:szCs w:val="18"/>
                      <w:lang w:val="en-US" w:eastAsia="zh-CN"/>
                    </w:rPr>
                    <w:cr/>
                  </w:r>
                  <w:r>
                    <w:rPr>
                      <w:rFonts w:hint="default" w:ascii="Times New Roman" w:hAnsi="Times New Roman" w:eastAsia="宋体" w:cs="Times New Roman"/>
                      <w:color w:val="auto"/>
                      <w:sz w:val="18"/>
                      <w:szCs w:val="18"/>
                      <w:lang w:val="en-US" w:eastAsia="zh-CN"/>
                    </w:rPr>
                    <w:t>等对主要产噪设备进行合理布置，夜间不进行实验检测分析活动，厂界噪声达标排放。</w:t>
                  </w:r>
                </w:p>
              </w:tc>
              <w:tc>
                <w:tcPr>
                  <w:tcW w:w="653" w:type="pct"/>
                  <w:noWrap w:val="0"/>
                  <w:vAlign w:val="center"/>
                </w:tcPr>
                <w:p w14:paraId="2911E2B7">
                  <w:pPr>
                    <w:bidi w:val="0"/>
                    <w:jc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bl>
          <w:p w14:paraId="40E4CAF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根据上表分析，项目的建设不违反《昆明市环境噪声污染防治管理办法》（昆明市人民政府令第72号）中的相关规定。</w:t>
            </w:r>
          </w:p>
          <w:p w14:paraId="04E85621">
            <w:pPr>
              <w:bidi w:val="0"/>
              <w:spacing w:line="360" w:lineRule="auto"/>
              <w:outlineLvl w:val="9"/>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7、与《云南省长江经济带发展负面清单指南实施细则（试行，2022 年版）》符合性分析</w:t>
            </w:r>
          </w:p>
          <w:p w14:paraId="4E89E9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项目与《云南省长江经济带负面清单指南实施细则（试行，2022年版）》符合性对比分析详见下表。</w:t>
            </w:r>
          </w:p>
          <w:p w14:paraId="0BE03FF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表1-</w:t>
            </w:r>
            <w:r>
              <w:rPr>
                <w:rFonts w:hint="eastAsia" w:cs="Times New Roman"/>
                <w:b/>
                <w:bCs/>
                <w:color w:val="auto"/>
                <w:sz w:val="18"/>
                <w:szCs w:val="18"/>
                <w:lang w:val="en-US" w:eastAsia="zh-CN"/>
              </w:rPr>
              <w:t>7</w:t>
            </w:r>
            <w:r>
              <w:rPr>
                <w:rFonts w:hint="eastAsia" w:ascii="Times New Roman" w:hAnsi="Times New Roman" w:eastAsia="宋体" w:cs="Times New Roman"/>
                <w:b/>
                <w:bCs/>
                <w:color w:val="auto"/>
                <w:sz w:val="18"/>
                <w:szCs w:val="18"/>
                <w:lang w:val="en-US" w:eastAsia="zh-CN"/>
              </w:rPr>
              <w:t xml:space="preserve">  </w:t>
            </w:r>
            <w:r>
              <w:rPr>
                <w:rFonts w:hint="default" w:ascii="Times New Roman" w:hAnsi="Times New Roman" w:eastAsia="宋体" w:cs="Times New Roman"/>
                <w:b/>
                <w:bCs/>
                <w:color w:val="auto"/>
                <w:sz w:val="18"/>
                <w:szCs w:val="18"/>
                <w:lang w:val="en-US" w:eastAsia="zh-CN"/>
              </w:rPr>
              <w:t>与《云南省长江经济带负面清单指南实施细则》相符性分析</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3244"/>
              <w:gridCol w:w="1805"/>
              <w:gridCol w:w="782"/>
            </w:tblGrid>
            <w:tr w14:paraId="2A0F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2CD0492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序号</w:t>
                  </w:r>
                </w:p>
              </w:tc>
              <w:tc>
                <w:tcPr>
                  <w:tcW w:w="3244" w:type="dxa"/>
                  <w:vAlign w:val="center"/>
                </w:tcPr>
                <w:p w14:paraId="7E35DE7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相关要求</w:t>
                  </w:r>
                </w:p>
              </w:tc>
              <w:tc>
                <w:tcPr>
                  <w:tcW w:w="1805" w:type="dxa"/>
                  <w:vAlign w:val="center"/>
                </w:tcPr>
                <w:p w14:paraId="514852E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本项目</w:t>
                  </w:r>
                </w:p>
              </w:tc>
              <w:tc>
                <w:tcPr>
                  <w:tcW w:w="782" w:type="dxa"/>
                  <w:vAlign w:val="center"/>
                </w:tcPr>
                <w:p w14:paraId="7556667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符合性</w:t>
                  </w:r>
                </w:p>
              </w:tc>
            </w:tr>
            <w:tr w14:paraId="00592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3" w:type="dxa"/>
                  <w:gridSpan w:val="4"/>
                  <w:vAlign w:val="center"/>
                </w:tcPr>
                <w:p w14:paraId="0CA3093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一、各类功能区</w:t>
                  </w:r>
                </w:p>
              </w:tc>
            </w:tr>
            <w:tr w14:paraId="058C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2A00205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w:t>
                  </w:r>
                </w:p>
              </w:tc>
              <w:tc>
                <w:tcPr>
                  <w:tcW w:w="3244" w:type="dxa"/>
                  <w:vAlign w:val="center"/>
                </w:tcPr>
                <w:p w14:paraId="7C408B4E">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（一）禁止一切不符合主体功能定位的投资建设项目，严禁任意改变用途，因国家重大战略资源勘查需要，在不影响主体功能定位的前提下，经依法批准后予以安排勘查项目</w:t>
                  </w:r>
                </w:p>
              </w:tc>
              <w:tc>
                <w:tcPr>
                  <w:tcW w:w="1805" w:type="dxa"/>
                  <w:vAlign w:val="center"/>
                </w:tcPr>
                <w:p w14:paraId="3A80B6D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本项目符合主体功能定位。</w:t>
                  </w:r>
                </w:p>
              </w:tc>
              <w:tc>
                <w:tcPr>
                  <w:tcW w:w="782" w:type="dxa"/>
                  <w:vAlign w:val="center"/>
                </w:tcPr>
                <w:p w14:paraId="0A72C57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27CC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0D58A63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p>
              </w:tc>
              <w:tc>
                <w:tcPr>
                  <w:tcW w:w="3244" w:type="dxa"/>
                  <w:vAlign w:val="center"/>
                </w:tcPr>
                <w:p w14:paraId="7BA7C8B8">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二）禁止在《长江岸线保护和开发利用总体规划》划定的岸线保护区内投资建设除保障防洪安全、河势稳定、供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1805" w:type="dxa"/>
                  <w:vAlign w:val="center"/>
                </w:tcPr>
                <w:p w14:paraId="1C9C0FD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本项目不涉及。</w:t>
                  </w:r>
                </w:p>
              </w:tc>
              <w:tc>
                <w:tcPr>
                  <w:tcW w:w="782" w:type="dxa"/>
                  <w:vAlign w:val="center"/>
                </w:tcPr>
                <w:p w14:paraId="5177570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13B5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34FEFAB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p>
              </w:tc>
              <w:tc>
                <w:tcPr>
                  <w:tcW w:w="3244" w:type="dxa"/>
                  <w:vAlign w:val="center"/>
                </w:tcPr>
                <w:p w14:paraId="0EC4B49F">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三）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1805" w:type="dxa"/>
                  <w:vAlign w:val="center"/>
                </w:tcPr>
                <w:p w14:paraId="43DABCE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本项目不涉及生态保护红线。</w:t>
                  </w:r>
                </w:p>
              </w:tc>
              <w:tc>
                <w:tcPr>
                  <w:tcW w:w="782" w:type="dxa"/>
                  <w:vAlign w:val="center"/>
                </w:tcPr>
                <w:p w14:paraId="050C4A0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5C41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4DAC576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4</w:t>
                  </w:r>
                </w:p>
              </w:tc>
              <w:tc>
                <w:tcPr>
                  <w:tcW w:w="3244" w:type="dxa"/>
                  <w:vAlign w:val="center"/>
                </w:tcPr>
                <w:p w14:paraId="1997520B">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四）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1805" w:type="dxa"/>
                  <w:vAlign w:val="center"/>
                </w:tcPr>
                <w:p w14:paraId="23D2EF8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本项目不涉及基本农田。</w:t>
                  </w:r>
                </w:p>
              </w:tc>
              <w:tc>
                <w:tcPr>
                  <w:tcW w:w="782" w:type="dxa"/>
                  <w:vAlign w:val="center"/>
                </w:tcPr>
                <w:p w14:paraId="5DF6A3A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3A2A2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7290F27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5</w:t>
                  </w:r>
                </w:p>
              </w:tc>
              <w:tc>
                <w:tcPr>
                  <w:tcW w:w="3244" w:type="dxa"/>
                  <w:vAlign w:val="center"/>
                </w:tcPr>
                <w:p w14:paraId="0BCC1392">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五）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非农化”。</w:t>
                  </w:r>
                </w:p>
              </w:tc>
              <w:tc>
                <w:tcPr>
                  <w:tcW w:w="1805" w:type="dxa"/>
                  <w:vAlign w:val="center"/>
                </w:tcPr>
                <w:p w14:paraId="3B66CF1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本项目不涉及基本农田。</w:t>
                  </w:r>
                </w:p>
              </w:tc>
              <w:tc>
                <w:tcPr>
                  <w:tcW w:w="782" w:type="dxa"/>
                  <w:vAlign w:val="center"/>
                </w:tcPr>
                <w:p w14:paraId="19DDF2A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517A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1C07A83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6</w:t>
                  </w:r>
                </w:p>
              </w:tc>
              <w:tc>
                <w:tcPr>
                  <w:tcW w:w="3244" w:type="dxa"/>
                  <w:vAlign w:val="center"/>
                </w:tcPr>
                <w:p w14:paraId="7901AEA3">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（六）禁止在金沙江、长江一级支流建设除党中央、国务院、国家投资主管部门、省级有关部门批复同意以外的过江基础设施项目。</w:t>
                  </w:r>
                </w:p>
              </w:tc>
              <w:tc>
                <w:tcPr>
                  <w:tcW w:w="1805" w:type="dxa"/>
                  <w:vAlign w:val="center"/>
                </w:tcPr>
                <w:p w14:paraId="3971EF1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本项目不涉及金沙江、长江一级支流。</w:t>
                  </w:r>
                </w:p>
              </w:tc>
              <w:tc>
                <w:tcPr>
                  <w:tcW w:w="782" w:type="dxa"/>
                  <w:vAlign w:val="center"/>
                </w:tcPr>
                <w:p w14:paraId="3321272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0D2C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3" w:type="dxa"/>
                  <w:gridSpan w:val="4"/>
                  <w:vAlign w:val="center"/>
                </w:tcPr>
                <w:p w14:paraId="6D9A07A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bCs/>
                      <w:color w:val="auto"/>
                      <w:sz w:val="18"/>
                      <w:szCs w:val="18"/>
                      <w:lang w:val="en-US" w:eastAsia="zh-CN"/>
                    </w:rPr>
                    <w:t>二、各类保护区</w:t>
                  </w:r>
                </w:p>
              </w:tc>
            </w:tr>
            <w:tr w14:paraId="12C55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jc w:val="center"/>
              </w:trPr>
              <w:tc>
                <w:tcPr>
                  <w:tcW w:w="692" w:type="dxa"/>
                  <w:vAlign w:val="center"/>
                </w:tcPr>
                <w:p w14:paraId="2899C86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w:t>
                  </w:r>
                </w:p>
              </w:tc>
              <w:tc>
                <w:tcPr>
                  <w:tcW w:w="3244" w:type="dxa"/>
                  <w:vAlign w:val="center"/>
                </w:tcPr>
                <w:p w14:paraId="02273F3A">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七）禁止在自然保护区核心区、缓冲区建设任何生产设施。禁止在自然保护区的实验区内建设污染环境、破坏资源或者景观的生产设施和污染物排放超过国家和地方规定的污染物排放标准的其他项目。禁止在自然保护区内进行砍伐、放牧、狩猎、捕捞、采药、开垦、烧荒、开矿、采石、挖沙等活动，法律、行政法规另有规定的除外。</w:t>
                  </w:r>
                </w:p>
                <w:p w14:paraId="787B0658">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八）禁止风景名胜区规划未经批准前或者违反经批准的风景名胜区规划进行各类建设活动。禁止在风景名胜区内设立各类开发区和在核心景区内投资建设宾馆、招待所、培训中心、疗养院以及与风景名胜资源保护无关的其他建筑物。禁止在风景名胜区内进行开山、采石、开矿、开荒、修坟立碑等破坏景观、植被和地形地貌的活动；禁止修建储存爆炸性、易燃性、放射性、毒害性、腐蚀性物品的设施。</w:t>
                  </w:r>
                </w:p>
                <w:p w14:paraId="05189469">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九）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14:paraId="1D1212BD">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十）禁止在水产种质资源保护区的岸线和河段范围内新建排污口，以及围湖造田、围湖造地或围垦河道等工程。禁止在国家湿地公园范围内从事房地产、度假村、高尔夫球场、风力发电、光伏发电等任何不符合主体功能定位的建设项目和开发活动；禁止开（围）垦、填埋或者排干湿地；禁止截断湿地水源、挖沙、采矿、引入外来物种；禁止擅自放牧、捕捞、取土、取水、排污、放生；禁止其他破坏湿地及其生态功能的活动。</w:t>
                  </w:r>
                </w:p>
              </w:tc>
              <w:tc>
                <w:tcPr>
                  <w:tcW w:w="1805" w:type="dxa"/>
                  <w:vAlign w:val="center"/>
                </w:tcPr>
                <w:p w14:paraId="532C118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项目不涉及自然保护区、风景名胜区、基本农田、饮用水源保护区、水产种质资源保护区等。</w:t>
                  </w:r>
                </w:p>
              </w:tc>
              <w:tc>
                <w:tcPr>
                  <w:tcW w:w="782" w:type="dxa"/>
                  <w:vAlign w:val="center"/>
                </w:tcPr>
                <w:p w14:paraId="6BC5828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744A8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3" w:type="dxa"/>
                  <w:gridSpan w:val="4"/>
                  <w:vAlign w:val="center"/>
                </w:tcPr>
                <w:p w14:paraId="3628CCD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bCs/>
                      <w:color w:val="auto"/>
                      <w:sz w:val="18"/>
                      <w:szCs w:val="18"/>
                      <w:lang w:val="en-US" w:eastAsia="zh-CN"/>
                    </w:rPr>
                    <w:t>三、工业布局</w:t>
                  </w:r>
                </w:p>
              </w:tc>
            </w:tr>
            <w:tr w14:paraId="44B4B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7B94E96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w:t>
                  </w:r>
                </w:p>
              </w:tc>
              <w:tc>
                <w:tcPr>
                  <w:tcW w:w="3244" w:type="dxa"/>
                  <w:vAlign w:val="center"/>
                </w:tcPr>
                <w:p w14:paraId="3AEDA1DF">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十一）禁止在金沙江、长江一级支流（详见附件1）岸线边界1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1805" w:type="dxa"/>
                  <w:vAlign w:val="center"/>
                </w:tcPr>
                <w:p w14:paraId="24D3EF6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本项目不涉及化工项目。</w:t>
                  </w:r>
                </w:p>
              </w:tc>
              <w:tc>
                <w:tcPr>
                  <w:tcW w:w="782" w:type="dxa"/>
                  <w:vAlign w:val="center"/>
                </w:tcPr>
                <w:p w14:paraId="7B0D7C2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0282A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40E1B56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w:t>
                  </w:r>
                </w:p>
              </w:tc>
              <w:tc>
                <w:tcPr>
                  <w:tcW w:w="3244" w:type="dxa"/>
                  <w:vAlign w:val="center"/>
                </w:tcPr>
                <w:p w14:paraId="0111B4E6">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（十二）禁止新建不符合非煤矿山转型升级有关准入标准的非煤矿山。禁止在金沙江岸线3公里、长江一级支流岸线1公里范围内新建、改建、扩建尾矿库。</w:t>
                  </w:r>
                </w:p>
              </w:tc>
              <w:tc>
                <w:tcPr>
                  <w:tcW w:w="1805" w:type="dxa"/>
                  <w:vAlign w:val="center"/>
                </w:tcPr>
                <w:p w14:paraId="41CB132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本项目不涉及非煤矿山。</w:t>
                  </w:r>
                </w:p>
              </w:tc>
              <w:tc>
                <w:tcPr>
                  <w:tcW w:w="782" w:type="dxa"/>
                  <w:vAlign w:val="center"/>
                </w:tcPr>
                <w:p w14:paraId="7AF210B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53F05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460E89E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3</w:t>
                  </w:r>
                </w:p>
              </w:tc>
              <w:tc>
                <w:tcPr>
                  <w:tcW w:w="3244" w:type="dxa"/>
                  <w:vAlign w:val="center"/>
                </w:tcPr>
                <w:p w14:paraId="03A2F9F0">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十三）禁止在合规园区（详见附件2）外新建、扩建钢铁、石化、化工、焦化、建材、有色等高污染项目。禁止新增钢铁、水泥、平板玻璃等行业建设产能，确有必要建设的，应按规定实施产能等量或减量置换。</w:t>
                  </w:r>
                </w:p>
              </w:tc>
              <w:tc>
                <w:tcPr>
                  <w:tcW w:w="1805" w:type="dxa"/>
                  <w:vAlign w:val="center"/>
                </w:tcPr>
                <w:p w14:paraId="75C2EFC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本项目不涉及钢铁、石化、化工、焦化、建材、有色等高污染项目，不属于钢铁、水泥、平板玻璃等行业。</w:t>
                  </w:r>
                </w:p>
              </w:tc>
              <w:tc>
                <w:tcPr>
                  <w:tcW w:w="782" w:type="dxa"/>
                  <w:vAlign w:val="center"/>
                </w:tcPr>
                <w:p w14:paraId="69E464C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67F79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17E05D0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4</w:t>
                  </w:r>
                </w:p>
              </w:tc>
              <w:tc>
                <w:tcPr>
                  <w:tcW w:w="3244" w:type="dxa"/>
                  <w:vAlign w:val="center"/>
                </w:tcPr>
                <w:p w14:paraId="1E085ECA">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（十四）禁止新建、扩建不符合国家石化、现代煤化工等产业布局规划的项目。</w:t>
                  </w:r>
                </w:p>
              </w:tc>
              <w:tc>
                <w:tcPr>
                  <w:tcW w:w="1805" w:type="dxa"/>
                  <w:vAlign w:val="center"/>
                </w:tcPr>
                <w:p w14:paraId="39FA6AF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本项目不涉及石化、煤化工。</w:t>
                  </w:r>
                </w:p>
              </w:tc>
              <w:tc>
                <w:tcPr>
                  <w:tcW w:w="782" w:type="dxa"/>
                  <w:vAlign w:val="center"/>
                </w:tcPr>
                <w:p w14:paraId="259CCA1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3D5E9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53880E7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5</w:t>
                  </w:r>
                </w:p>
              </w:tc>
              <w:tc>
                <w:tcPr>
                  <w:tcW w:w="3244" w:type="dxa"/>
                  <w:vAlign w:val="center"/>
                </w:tcPr>
                <w:p w14:paraId="449C4082">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十五）禁止新建、扩建法律法规和相关政策明令禁止的落后产能项目，依法依规淘汰不符合要求的电石炉及开放式电石炉、无化产回收的单一炼焦生产设施，依法依规淘汰不符合要求的硫铁矿制酸、硫磺制酸、黄磷生产、有钙焙烧铬化合物生产装置和有机—无机复混肥料、过磷酸钙和钙镁磷肥生产线。</w:t>
                  </w:r>
                </w:p>
              </w:tc>
              <w:tc>
                <w:tcPr>
                  <w:tcW w:w="1805" w:type="dxa"/>
                  <w:vAlign w:val="center"/>
                </w:tcPr>
                <w:p w14:paraId="3597EFE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本项目不属于落后产能项目。</w:t>
                  </w:r>
                </w:p>
              </w:tc>
              <w:tc>
                <w:tcPr>
                  <w:tcW w:w="782" w:type="dxa"/>
                  <w:vAlign w:val="center"/>
                </w:tcPr>
                <w:p w14:paraId="728B45E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1101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7D96C22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6</w:t>
                  </w:r>
                </w:p>
              </w:tc>
              <w:tc>
                <w:tcPr>
                  <w:tcW w:w="3244" w:type="dxa"/>
                  <w:vAlign w:val="center"/>
                </w:tcPr>
                <w:p w14:paraId="74B722E5">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（十六）禁止建设高毒高残留以及对环境影响大的农药原药生产装置，严格控制尿素、磷铵、电石、焦炭、黄磷、烧碱、纯碱、聚氯乙烯等行业新增产能。</w:t>
                  </w:r>
                </w:p>
              </w:tc>
              <w:tc>
                <w:tcPr>
                  <w:tcW w:w="1805" w:type="dxa"/>
                  <w:vAlign w:val="center"/>
                </w:tcPr>
                <w:p w14:paraId="5ACA846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本项目不涉及高毒高残留以及对环境影响大的农药原药生产装置，不属于尿素、磷铵、电石、焦炭、黄磷、烧碱、纯碱、聚氯乙烯等行业。</w:t>
                  </w:r>
                </w:p>
              </w:tc>
              <w:tc>
                <w:tcPr>
                  <w:tcW w:w="782" w:type="dxa"/>
                  <w:vAlign w:val="center"/>
                </w:tcPr>
                <w:p w14:paraId="406446D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r w14:paraId="72939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14:paraId="4FB1080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7</w:t>
                  </w:r>
                </w:p>
              </w:tc>
              <w:tc>
                <w:tcPr>
                  <w:tcW w:w="3244" w:type="dxa"/>
                  <w:vAlign w:val="center"/>
                </w:tcPr>
                <w:p w14:paraId="1B1DE090">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十七）禁止列入《云南省城镇人口密集区危险化学品生产企业搬迁改造名单》的搬迁改造企业在原址新建、扩建危险化学品生产项目，加强搬迁入园、关闭退出企业腾退土地污染风险管控和治理修复，确保腾退土地符合规划用地土壤环境质量标准。</w:t>
                  </w:r>
                </w:p>
              </w:tc>
              <w:tc>
                <w:tcPr>
                  <w:tcW w:w="1805" w:type="dxa"/>
                  <w:vAlign w:val="center"/>
                </w:tcPr>
                <w:p w14:paraId="2FFBFC3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本项目不属于化学品生产项目。</w:t>
                  </w:r>
                </w:p>
              </w:tc>
              <w:tc>
                <w:tcPr>
                  <w:tcW w:w="782" w:type="dxa"/>
                  <w:vAlign w:val="center"/>
                </w:tcPr>
                <w:p w14:paraId="5836890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符合</w:t>
                  </w:r>
                </w:p>
              </w:tc>
            </w:tr>
          </w:tbl>
          <w:p w14:paraId="4F1DF0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b w:val="0"/>
                <w:bCs w:val="0"/>
                <w:color w:val="auto"/>
                <w:lang w:val="en-US" w:eastAsia="zh-CN"/>
              </w:rPr>
            </w:pPr>
            <w:r>
              <w:rPr>
                <w:rFonts w:hint="eastAsia" w:ascii="Times New Roman" w:hAnsi="Times New Roman" w:eastAsia="宋体" w:cs="Times New Roman"/>
                <w:b w:val="0"/>
                <w:bCs w:val="0"/>
                <w:color w:val="auto"/>
                <w:lang w:val="en-US" w:eastAsia="zh-CN"/>
              </w:rPr>
              <w:t>根据上表可知，项目与《云南省长江经济带负面清单指南实施细则（试行，2022年版）》相符。</w:t>
            </w:r>
          </w:p>
          <w:p w14:paraId="3819ACCE">
            <w:pPr>
              <w:bidi w:val="0"/>
              <w:spacing w:line="360" w:lineRule="auto"/>
              <w:outlineLvl w:val="9"/>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8</w:t>
            </w:r>
            <w:r>
              <w:rPr>
                <w:rFonts w:hint="default" w:ascii="Times New Roman" w:hAnsi="Times New Roman" w:eastAsia="宋体" w:cs="Times New Roman"/>
                <w:b/>
                <w:bCs/>
                <w:color w:val="auto"/>
                <w:lang w:val="en-US" w:eastAsia="zh-CN"/>
              </w:rPr>
              <w:t>、《科学实验室建筑设计规范》选址要求符合性分析</w:t>
            </w:r>
          </w:p>
          <w:p w14:paraId="2A7D16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本评价根据本项目的特点，对本项目选址与《科学实验建筑设计规范》选址要求对比分析详见下表。</w:t>
            </w:r>
          </w:p>
          <w:p w14:paraId="312258F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bCs/>
                <w:color w:val="auto"/>
                <w:sz w:val="18"/>
                <w:szCs w:val="18"/>
                <w:lang w:val="en-US" w:eastAsia="zh-CN"/>
              </w:rPr>
              <w:t>表1-</w:t>
            </w:r>
            <w:r>
              <w:rPr>
                <w:rFonts w:hint="eastAsia" w:cs="Times New Roman"/>
                <w:b/>
                <w:bCs/>
                <w:color w:val="auto"/>
                <w:sz w:val="18"/>
                <w:szCs w:val="18"/>
                <w:lang w:val="en-US" w:eastAsia="zh-CN"/>
              </w:rPr>
              <w:t>8</w:t>
            </w:r>
            <w:r>
              <w:rPr>
                <w:rFonts w:hint="default" w:ascii="Times New Roman" w:hAnsi="Times New Roman" w:eastAsia="宋体" w:cs="Times New Roman"/>
                <w:b/>
                <w:bCs/>
                <w:color w:val="auto"/>
                <w:sz w:val="18"/>
                <w:szCs w:val="18"/>
                <w:lang w:val="en-US" w:eastAsia="zh-CN"/>
              </w:rPr>
              <w:t xml:space="preserve"> 本项目选址与《科学实验室建筑设计规范》选址要求的符合性分析</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1"/>
              <w:gridCol w:w="3018"/>
              <w:gridCol w:w="910"/>
            </w:tblGrid>
            <w:tr w14:paraId="07AC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73" w:type="pct"/>
                  <w:noWrap w:val="0"/>
                  <w:vAlign w:val="center"/>
                </w:tcPr>
                <w:p w14:paraId="28C2257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选址要求</w:t>
                  </w:r>
                </w:p>
              </w:tc>
              <w:tc>
                <w:tcPr>
                  <w:tcW w:w="2249" w:type="pct"/>
                  <w:noWrap w:val="0"/>
                  <w:vAlign w:val="center"/>
                </w:tcPr>
                <w:p w14:paraId="5D51744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本项目</w:t>
                  </w:r>
                </w:p>
              </w:tc>
              <w:tc>
                <w:tcPr>
                  <w:tcW w:w="678" w:type="pct"/>
                  <w:noWrap w:val="0"/>
                  <w:vAlign w:val="center"/>
                </w:tcPr>
                <w:p w14:paraId="6DF524B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符合性</w:t>
                  </w:r>
                </w:p>
              </w:tc>
            </w:tr>
            <w:tr w14:paraId="71157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73" w:type="pct"/>
                  <w:noWrap w:val="0"/>
                  <w:vAlign w:val="center"/>
                </w:tcPr>
                <w:p w14:paraId="27C10CFB">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必须符合当地城市规划和环境保护的要求，应节约用地，不占或少占良田。</w:t>
                  </w:r>
                </w:p>
              </w:tc>
              <w:tc>
                <w:tcPr>
                  <w:tcW w:w="2249" w:type="pct"/>
                  <w:noWrap w:val="0"/>
                  <w:vAlign w:val="center"/>
                </w:tcPr>
                <w:p w14:paraId="79B1B795">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本项目位于云南省昆明市盘龙区龙泉街道昆澜街2号，租用已建成的建筑按标准实验室进行装修后投入使用，未占用农田。</w:t>
                  </w:r>
                </w:p>
              </w:tc>
              <w:tc>
                <w:tcPr>
                  <w:tcW w:w="678" w:type="pct"/>
                  <w:noWrap w:val="0"/>
                  <w:vAlign w:val="center"/>
                </w:tcPr>
                <w:p w14:paraId="414799D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696DF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73" w:type="pct"/>
                  <w:noWrap w:val="0"/>
                  <w:vAlign w:val="center"/>
                </w:tcPr>
                <w:p w14:paraId="7A3EF8B6">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应满足科学实验工作的要求，并应具有水源、能源、信息交换和协作条件，交通方便。</w:t>
                  </w:r>
                </w:p>
              </w:tc>
              <w:tc>
                <w:tcPr>
                  <w:tcW w:w="2249" w:type="pct"/>
                  <w:noWrap w:val="0"/>
                  <w:vAlign w:val="center"/>
                </w:tcPr>
                <w:p w14:paraId="2736A2CC">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本项目选址于云南省昆明市盘龙区龙泉街道昆澜街2号，属于城市建成区，周边水、电、交通等基础设施已完善。</w:t>
                  </w:r>
                </w:p>
              </w:tc>
              <w:tc>
                <w:tcPr>
                  <w:tcW w:w="678" w:type="pct"/>
                  <w:noWrap w:val="0"/>
                  <w:vAlign w:val="center"/>
                </w:tcPr>
                <w:p w14:paraId="0750A7D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7EF4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73" w:type="pct"/>
                  <w:noWrap w:val="0"/>
                  <w:vAlign w:val="center"/>
                </w:tcPr>
                <w:p w14:paraId="2FB38E04">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与易燃、易爆品生产及储存区之间的安全距离应符合国家现行有关规范的规定。</w:t>
                  </w:r>
                </w:p>
              </w:tc>
              <w:tc>
                <w:tcPr>
                  <w:tcW w:w="2249" w:type="pct"/>
                  <w:noWrap w:val="0"/>
                  <w:vAlign w:val="center"/>
                </w:tcPr>
                <w:p w14:paraId="6FC5D6C0">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本项目不在易燃、易爆品生产及储存区之间的安全距离内。</w:t>
                  </w:r>
                </w:p>
              </w:tc>
              <w:tc>
                <w:tcPr>
                  <w:tcW w:w="678" w:type="pct"/>
                  <w:noWrap w:val="0"/>
                  <w:vAlign w:val="center"/>
                </w:tcPr>
                <w:p w14:paraId="3DCFCAB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597AA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73" w:type="pct"/>
                  <w:noWrap w:val="0"/>
                  <w:vAlign w:val="center"/>
                </w:tcPr>
                <w:p w14:paraId="4CF53C91">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避开噪声、振动、电磁干扰和其它污染源，或采取相应的保护措施。对科学实验工作自身产生的上述危害，亦应采取相应的环境保护措施，防止对周围环境的影响。</w:t>
                  </w:r>
                </w:p>
              </w:tc>
              <w:tc>
                <w:tcPr>
                  <w:tcW w:w="2249" w:type="pct"/>
                  <w:noWrap w:val="0"/>
                  <w:vAlign w:val="center"/>
                </w:tcPr>
                <w:p w14:paraId="52C157CA">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本项目选址区域环境空气、地表水及声环境现状良好，无噪声、振动、电磁干扰，本项目产生的污染物在采取环评所要求的措施后各项污染物均能达标排放，对周围环境影响小。</w:t>
                  </w:r>
                </w:p>
              </w:tc>
              <w:tc>
                <w:tcPr>
                  <w:tcW w:w="678" w:type="pct"/>
                  <w:noWrap w:val="0"/>
                  <w:vAlign w:val="center"/>
                </w:tcPr>
                <w:p w14:paraId="07EB4D7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r w14:paraId="45B9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073" w:type="pct"/>
                  <w:noWrap w:val="0"/>
                  <w:vAlign w:val="center"/>
                </w:tcPr>
                <w:p w14:paraId="4F5B2E7D">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有相应的安全消防保障条件及措施。</w:t>
                  </w:r>
                </w:p>
              </w:tc>
              <w:tc>
                <w:tcPr>
                  <w:tcW w:w="2249" w:type="pct"/>
                  <w:noWrap w:val="0"/>
                  <w:vAlign w:val="center"/>
                </w:tcPr>
                <w:p w14:paraId="7DBA496C">
                  <w:pPr>
                    <w:keepNext w:val="0"/>
                    <w:keepLines w:val="0"/>
                    <w:pageBreakBefore w:val="0"/>
                    <w:widowControl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租用的对云南水投牛栏江滇池补水工程有限公司</w:t>
                  </w:r>
                  <w:r>
                    <w:rPr>
                      <w:rFonts w:hint="eastAsia" w:cs="Times New Roman"/>
                      <w:color w:val="auto"/>
                      <w:sz w:val="18"/>
                      <w:szCs w:val="18"/>
                      <w:lang w:val="en-US" w:eastAsia="zh-CN"/>
                    </w:rPr>
                    <w:t>办公楼的</w:t>
                  </w:r>
                  <w:r>
                    <w:rPr>
                      <w:rFonts w:hint="default" w:ascii="Times New Roman" w:hAnsi="Times New Roman" w:eastAsia="宋体" w:cs="Times New Roman"/>
                      <w:color w:val="auto"/>
                      <w:sz w:val="18"/>
                      <w:szCs w:val="18"/>
                      <w:lang w:val="en-US" w:eastAsia="zh-CN"/>
                    </w:rPr>
                    <w:t>负2</w:t>
                  </w:r>
                  <w:r>
                    <w:rPr>
                      <w:rFonts w:hint="eastAsia" w:cs="Times New Roman"/>
                      <w:color w:val="auto"/>
                      <w:sz w:val="18"/>
                      <w:szCs w:val="18"/>
                      <w:lang w:val="en-US" w:eastAsia="zh-CN"/>
                    </w:rPr>
                    <w:t>层</w:t>
                  </w:r>
                  <w:r>
                    <w:rPr>
                      <w:rFonts w:hint="default" w:ascii="Times New Roman" w:hAnsi="Times New Roman" w:eastAsia="宋体" w:cs="Times New Roman"/>
                      <w:color w:val="auto"/>
                      <w:sz w:val="18"/>
                      <w:szCs w:val="18"/>
                      <w:lang w:val="en-US" w:eastAsia="zh-CN"/>
                    </w:rPr>
                    <w:t>地下室符合相应的安全消防保障条件。</w:t>
                  </w:r>
                </w:p>
              </w:tc>
              <w:tc>
                <w:tcPr>
                  <w:tcW w:w="678" w:type="pct"/>
                  <w:noWrap w:val="0"/>
                  <w:vAlign w:val="center"/>
                </w:tcPr>
                <w:p w14:paraId="0FA4AB1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符合</w:t>
                  </w:r>
                </w:p>
              </w:tc>
            </w:tr>
          </w:tbl>
          <w:p w14:paraId="60AF626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建设项目位于云南省昆明市盘龙区龙泉街道昆澜街2号，项目周围无风景名胜区、自然保护区和名胜古迹，无珍稀动植物分布。因此，建设项目选址合理。</w:t>
            </w:r>
          </w:p>
          <w:p w14:paraId="7874F43D">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9、</w:t>
            </w:r>
            <w:r>
              <w:rPr>
                <w:rFonts w:hint="default" w:ascii="Times New Roman" w:hAnsi="Times New Roman" w:eastAsia="宋体" w:cs="Times New Roman"/>
                <w:b/>
                <w:bCs/>
                <w:color w:val="auto"/>
                <w:lang w:val="en-US" w:eastAsia="zh-CN"/>
              </w:rPr>
              <w:t>项目选址合理性分析</w:t>
            </w:r>
          </w:p>
          <w:p w14:paraId="1D9FF82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（1）项目环境敏感性</w:t>
            </w:r>
          </w:p>
          <w:p w14:paraId="4882F2D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位于云南省昆明市盘龙区龙泉街道昆澜街2号，厂址不涉及国务院、国家有关部门和省（自治区、直辖市）人民政府规定的自然保护区、风景名胜区、文化遗产保护区以及饮用水水源保护区。区内无国家规定的保护动植物种类。项目所在地不属于国家或地方法律、法规规定需特殊保护的其他区域。周围无文物保护、学校等环境敏感目标，项目外环境相对较简单，不存在明显的环境制约因素。</w:t>
            </w:r>
          </w:p>
          <w:p w14:paraId="09EC2A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（2）环境相容性</w:t>
            </w:r>
          </w:p>
          <w:p w14:paraId="25B6F1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①项目周边企业调查</w:t>
            </w:r>
          </w:p>
          <w:p w14:paraId="367857C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项目位于云南省昆明市盘龙区龙泉街道昆澜街2号，根据现场调查，本项目周边无生产企业入驻，基本无污染物产生，因此对本项目无影响。</w:t>
            </w:r>
          </w:p>
          <w:p w14:paraId="667A693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（2）项目对周边环境及企业的影响分析</w:t>
            </w:r>
          </w:p>
          <w:p w14:paraId="47AFDD8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根据现场调查，项目周边主要为</w:t>
            </w:r>
            <w:r>
              <w:rPr>
                <w:rFonts w:hint="eastAsia" w:ascii="Times New Roman" w:hAnsi="Times New Roman" w:eastAsia="宋体" w:cs="Times New Roman"/>
                <w:color w:val="auto"/>
                <w:lang w:val="en-US" w:eastAsia="zh-CN"/>
              </w:rPr>
              <w:t>居住</w:t>
            </w:r>
            <w:r>
              <w:rPr>
                <w:rFonts w:hint="default" w:ascii="Times New Roman" w:hAnsi="Times New Roman" w:eastAsia="宋体" w:cs="Times New Roman"/>
                <w:color w:val="auto"/>
                <w:lang w:val="en-US" w:eastAsia="zh-CN"/>
              </w:rPr>
              <w:t>区</w:t>
            </w:r>
            <w:r>
              <w:rPr>
                <w:rFonts w:hint="eastAsia" w:ascii="Times New Roman" w:hAnsi="Times New Roman" w:eastAsia="宋体" w:cs="Times New Roman"/>
                <w:color w:val="auto"/>
                <w:lang w:val="en-US" w:eastAsia="zh-CN"/>
              </w:rPr>
              <w:t>、瀑布公园和云南省农业科学院</w:t>
            </w:r>
            <w:r>
              <w:rPr>
                <w:rFonts w:hint="default" w:ascii="Times New Roman" w:hAnsi="Times New Roman" w:eastAsia="宋体" w:cs="Times New Roman"/>
                <w:color w:val="auto"/>
                <w:lang w:val="en-US" w:eastAsia="zh-CN"/>
              </w:rPr>
              <w:t>，项目污染物排放量较低，外排废水、废气、噪声均能实现达标排放。项目所在区域大气环境为二类功能区，声环境为2类功能区，项目在运营期间通过针对各种污染物分别采取防治措施，项目建设后不会改变功能区现状，因此项目的建设与周边环境是相容的。</w:t>
            </w:r>
          </w:p>
          <w:p w14:paraId="46FB3DC9">
            <w:pPr>
              <w:bidi w:val="0"/>
              <w:outlineLvl w:val="9"/>
              <w:rPr>
                <w:rFonts w:hint="default"/>
                <w:color w:val="auto"/>
                <w:lang w:val="en-US" w:eastAsia="zh-CN"/>
              </w:rPr>
            </w:pPr>
          </w:p>
          <w:p w14:paraId="68934A6E">
            <w:pPr>
              <w:bidi w:val="0"/>
              <w:outlineLvl w:val="9"/>
              <w:rPr>
                <w:rFonts w:hint="default"/>
                <w:color w:val="auto"/>
                <w:lang w:val="en-US" w:eastAsia="zh-CN"/>
              </w:rPr>
            </w:pPr>
          </w:p>
          <w:p w14:paraId="5BBE4A7B">
            <w:pPr>
              <w:pStyle w:val="14"/>
              <w:outlineLvl w:val="9"/>
              <w:rPr>
                <w:rFonts w:hint="default"/>
                <w:color w:val="auto"/>
                <w:lang w:val="en-US" w:eastAsia="zh-CN"/>
              </w:rPr>
            </w:pPr>
          </w:p>
        </w:tc>
      </w:tr>
    </w:tbl>
    <w:p w14:paraId="7B0C3D18">
      <w:pPr>
        <w:pStyle w:val="17"/>
        <w:adjustRightInd w:val="0"/>
        <w:snapToGrid w:val="0"/>
        <w:spacing w:before="0" w:beforeAutospacing="0" w:after="0" w:afterAutospacing="0"/>
        <w:jc w:val="center"/>
        <w:outlineLvl w:val="9"/>
        <w:rPr>
          <w:rFonts w:ascii="黑体" w:hAnsi="黑体" w:eastAsia="黑体"/>
          <w:snapToGrid w:val="0"/>
          <w:color w:val="auto"/>
          <w:sz w:val="30"/>
          <w:szCs w:val="30"/>
        </w:rPr>
      </w:pPr>
    </w:p>
    <w:p w14:paraId="57F62B69">
      <w:pPr>
        <w:outlineLvl w:val="9"/>
        <w:rPr>
          <w:color w:val="auto"/>
        </w:rPr>
        <w:sectPr>
          <w:footerReference r:id="rId5" w:type="default"/>
          <w:pgSz w:w="11906" w:h="16838"/>
          <w:pgMar w:top="1440" w:right="1800" w:bottom="1440" w:left="1800" w:header="851" w:footer="992" w:gutter="0"/>
          <w:pgNumType w:fmt="decimal" w:start="1"/>
          <w:cols w:space="425" w:num="1"/>
          <w:docGrid w:type="lines" w:linePitch="312" w:charSpace="0"/>
        </w:sectPr>
      </w:pPr>
    </w:p>
    <w:p w14:paraId="7EBD7494">
      <w:pPr>
        <w:jc w:val="center"/>
        <w:outlineLvl w:val="0"/>
        <w:rPr>
          <w:rFonts w:hint="default"/>
          <w:b/>
          <w:bCs/>
          <w:color w:val="auto"/>
          <w:sz w:val="28"/>
          <w:szCs w:val="28"/>
        </w:rPr>
      </w:pPr>
      <w:bookmarkStart w:id="3" w:name="_Toc29592"/>
      <w:r>
        <w:rPr>
          <w:rFonts w:hint="default"/>
          <w:b/>
          <w:bCs/>
          <w:color w:val="auto"/>
          <w:sz w:val="28"/>
          <w:szCs w:val="28"/>
        </w:rPr>
        <w:t>二、建设项目工程分析</w:t>
      </w:r>
      <w:bookmarkEnd w:id="3"/>
    </w:p>
    <w:tbl>
      <w:tblPr>
        <w:tblStyle w:val="20"/>
        <w:tblW w:w="91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03"/>
        <w:gridCol w:w="8435"/>
      </w:tblGrid>
      <w:tr w14:paraId="42C8AD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jc w:val="center"/>
        </w:trPr>
        <w:tc>
          <w:tcPr>
            <w:tcW w:w="703" w:type="dxa"/>
            <w:noWrap w:val="0"/>
            <w:vAlign w:val="center"/>
          </w:tcPr>
          <w:p w14:paraId="71249C84">
            <w:pPr>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建设内容</w:t>
            </w:r>
          </w:p>
        </w:tc>
        <w:tc>
          <w:tcPr>
            <w:tcW w:w="8435" w:type="dxa"/>
            <w:noWrap w:val="0"/>
            <w:vAlign w:val="top"/>
          </w:tcPr>
          <w:p w14:paraId="5C495A3D">
            <w:pPr>
              <w:spacing w:line="360" w:lineRule="auto"/>
              <w:jc w:val="both"/>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1、项目背景</w:t>
            </w:r>
          </w:p>
          <w:p w14:paraId="7687CC72">
            <w:pPr>
              <w:pStyle w:val="2"/>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本项目的建设单位云南恒禹检测技术服务有限公司（以下简称“恒禹公司”）是云南建设投资集团旗下云南水投工程管理咨询有限公司的全资子公司。恒禹公司</w:t>
            </w:r>
            <w:r>
              <w:rPr>
                <w:rFonts w:hint="eastAsia" w:asciiTheme="minorEastAsia" w:hAnsiTheme="minorEastAsia" w:eastAsiaTheme="minorEastAsia" w:cstheme="minorEastAsia"/>
                <w:color w:val="auto"/>
                <w:sz w:val="21"/>
                <w:szCs w:val="21"/>
              </w:rPr>
              <w:t>成立于</w:t>
            </w:r>
            <w:r>
              <w:rPr>
                <w:rFonts w:hint="eastAsia" w:asciiTheme="minorEastAsia" w:hAnsiTheme="minorEastAsia" w:eastAsiaTheme="minorEastAsia" w:cstheme="minorEastAsia"/>
                <w:color w:val="auto"/>
                <w:sz w:val="21"/>
                <w:szCs w:val="21"/>
                <w:lang w:val="en-US" w:eastAsia="zh-CN"/>
              </w:rPr>
              <w:t>1994</w:t>
            </w:r>
            <w:r>
              <w:rPr>
                <w:rFonts w:hint="eastAsia" w:asciiTheme="minorEastAsia" w:hAnsiTheme="minorEastAsia" w:eastAsiaTheme="minorEastAsia" w:cstheme="minorEastAsia"/>
                <w:color w:val="auto"/>
                <w:sz w:val="21"/>
                <w:szCs w:val="21"/>
              </w:rPr>
              <w:t>年</w:t>
            </w:r>
            <w:r>
              <w:rPr>
                <w:rFonts w:hint="eastAsia" w:asciiTheme="minorEastAsia" w:hAnsiTheme="minorEastAsia" w:eastAsiaTheme="minorEastAsia" w:cstheme="minorEastAsia"/>
                <w:color w:val="auto"/>
                <w:sz w:val="21"/>
                <w:szCs w:val="21"/>
                <w:lang w:val="en-US" w:eastAsia="zh-CN"/>
              </w:rPr>
              <w:t>11</w:t>
            </w:r>
            <w:r>
              <w:rPr>
                <w:rFonts w:hint="eastAsia" w:asciiTheme="minorEastAsia" w:hAnsiTheme="minorEastAsia" w:eastAsiaTheme="minorEastAsia" w:cstheme="minorEastAsia"/>
                <w:color w:val="auto"/>
                <w:sz w:val="21"/>
                <w:szCs w:val="21"/>
              </w:rPr>
              <w:t>月，</w:t>
            </w:r>
            <w:r>
              <w:rPr>
                <w:rFonts w:hint="eastAsia" w:asciiTheme="minorEastAsia" w:hAnsiTheme="minorEastAsia" w:eastAsiaTheme="minorEastAsia" w:cstheme="minorEastAsia"/>
                <w:color w:val="auto"/>
                <w:sz w:val="21"/>
                <w:szCs w:val="21"/>
                <w:lang w:val="en-US" w:eastAsia="zh-CN"/>
              </w:rPr>
              <w:t>主要从事水质检测服务和水利工程质量检测服务。为了满足云南水投工程管理咨询有限公司下属的供水项目的水质检测需要，恒禹公司拟建设一个水质检测实验室开展水质检测服务，检测项目涵盖《生活饮用水卫生标准》（GB5749-2022）中的生活饮用水水质常规指标和扩展指标共计97项，《地表水环境质量标准》（GB3838-2002）中的基本项目和补充项目共计29项，《地下水质量标准》(GB/T14848-2017)中的常规项目39项。项目拟租用位于盘龙区龙泉街道昆澜街2号的云南水投牛栏江滇池补水工程有限公司办公楼的负二层地下室建设水质检测实验室项目。云南水投牛栏江滇池补水工程有限公司也是云南建设投资集团旗下的全资子公司。</w:t>
            </w:r>
          </w:p>
          <w:p w14:paraId="338D670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查阅《建设项目环境影响评价分类管理名录》（2021年版），恒禹公司拟建的水质检测实验室项目属于“第四十五、研究和试验发展，98专业实验室、研发（试验）基地中的其他（不产生实验废气、废水、危险废物的除外）”之列，应当编制环境影响报告表上报生态环境主管部门审批。因此，恒禹公司委托我公司（云南恒成工程设计咨询有限公司）承担本项目的环境影响评价工作（委托书详见附件1），</w:t>
            </w:r>
            <w:r>
              <w:rPr>
                <w:rFonts w:hint="eastAsia" w:asciiTheme="minorEastAsia" w:hAnsiTheme="minorEastAsia" w:eastAsiaTheme="minorEastAsia" w:cstheme="minorEastAsia"/>
                <w:color w:val="auto"/>
                <w:sz w:val="21"/>
                <w:szCs w:val="21"/>
              </w:rPr>
              <w:t>我公司</w:t>
            </w:r>
            <w:r>
              <w:rPr>
                <w:rFonts w:hint="eastAsia" w:asciiTheme="minorEastAsia" w:hAnsiTheme="minorEastAsia" w:eastAsiaTheme="minorEastAsia" w:cstheme="minorEastAsia"/>
                <w:color w:val="auto"/>
                <w:sz w:val="21"/>
                <w:szCs w:val="21"/>
                <w:lang w:val="en-US" w:eastAsia="zh-CN"/>
              </w:rPr>
              <w:t>承接本项目的环评工作后，按照《建设项目环境影响报告表编制技术指南（污染影响类）》的要求编制了</w:t>
            </w:r>
            <w:r>
              <w:rPr>
                <w:rFonts w:hint="eastAsia" w:asciiTheme="minorEastAsia" w:hAnsiTheme="minorEastAsia" w:eastAsiaTheme="minorEastAsia" w:cstheme="minorEastAsia"/>
                <w:color w:val="auto"/>
                <w:sz w:val="21"/>
                <w:szCs w:val="21"/>
              </w:rPr>
              <w:t>《云南恒禹检测技术服务有限公司水质检测中心项目环境影响报告表》供建设单位上报生态环境主管部门审批，并作为项目</w:t>
            </w:r>
            <w:r>
              <w:rPr>
                <w:rFonts w:hint="eastAsia" w:asciiTheme="minorEastAsia" w:hAnsiTheme="minorEastAsia" w:eastAsiaTheme="minorEastAsia" w:cstheme="minorEastAsia"/>
                <w:color w:val="auto"/>
                <w:sz w:val="21"/>
                <w:szCs w:val="21"/>
                <w:lang w:val="en-US" w:eastAsia="zh-CN"/>
              </w:rPr>
              <w:t>环保</w:t>
            </w:r>
            <w:r>
              <w:rPr>
                <w:rFonts w:hint="eastAsia" w:asciiTheme="minorEastAsia" w:hAnsiTheme="minorEastAsia" w:eastAsiaTheme="minorEastAsia" w:cstheme="minorEastAsia"/>
                <w:color w:val="auto"/>
                <w:sz w:val="21"/>
                <w:szCs w:val="21"/>
              </w:rPr>
              <w:t>管理的依据。</w:t>
            </w:r>
          </w:p>
          <w:p w14:paraId="5C9F706C">
            <w:pPr>
              <w:pStyle w:val="3"/>
              <w:spacing w:line="360" w:lineRule="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2、项目基本情况</w:t>
            </w:r>
          </w:p>
          <w:p w14:paraId="2945C07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项目名称：</w:t>
            </w:r>
            <w:r>
              <w:rPr>
                <w:rFonts w:hint="eastAsia" w:asciiTheme="minorEastAsia" w:hAnsiTheme="minorEastAsia" w:eastAsiaTheme="minorEastAsia" w:cstheme="minorEastAsia"/>
                <w:color w:val="auto"/>
                <w:sz w:val="21"/>
                <w:szCs w:val="21"/>
                <w:lang w:eastAsia="zh-CN"/>
              </w:rPr>
              <w:t>云南恒禹检测技术服务有限公司水质检测中心项目</w:t>
            </w:r>
            <w:r>
              <w:rPr>
                <w:rFonts w:hint="eastAsia" w:asciiTheme="minorEastAsia" w:hAnsiTheme="minorEastAsia" w:eastAsiaTheme="minorEastAsia" w:cstheme="minorEastAsia"/>
                <w:color w:val="auto"/>
                <w:sz w:val="21"/>
                <w:szCs w:val="21"/>
              </w:rPr>
              <w:t>；</w:t>
            </w:r>
          </w:p>
          <w:p w14:paraId="39C9B77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建设单位：云南恒禹检测技术服务有限公司；</w:t>
            </w:r>
          </w:p>
          <w:p w14:paraId="7233702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建设地点：</w:t>
            </w:r>
            <w:r>
              <w:rPr>
                <w:rFonts w:hint="eastAsia" w:asciiTheme="minorEastAsia" w:hAnsiTheme="minorEastAsia" w:eastAsiaTheme="minorEastAsia" w:cstheme="minorEastAsia"/>
                <w:color w:val="auto"/>
                <w:sz w:val="21"/>
                <w:szCs w:val="21"/>
                <w:u w:val="none"/>
              </w:rPr>
              <w:t>云南省昆明市盘龙区龙泉街道</w:t>
            </w:r>
            <w:r>
              <w:rPr>
                <w:rFonts w:hint="eastAsia" w:asciiTheme="minorEastAsia" w:hAnsiTheme="minorEastAsia" w:eastAsiaTheme="minorEastAsia" w:cstheme="minorEastAsia"/>
                <w:color w:val="auto"/>
                <w:sz w:val="21"/>
                <w:szCs w:val="21"/>
                <w:u w:val="none"/>
                <w:lang w:eastAsia="zh-CN"/>
              </w:rPr>
              <w:t>昆澜街2号</w:t>
            </w:r>
            <w:r>
              <w:rPr>
                <w:rFonts w:hint="eastAsia" w:asciiTheme="minorEastAsia" w:hAnsiTheme="minorEastAsia" w:eastAsiaTheme="minorEastAsia" w:cstheme="minorEastAsia"/>
                <w:color w:val="auto"/>
                <w:sz w:val="21"/>
                <w:szCs w:val="21"/>
              </w:rPr>
              <w:t>；</w:t>
            </w:r>
          </w:p>
          <w:p w14:paraId="6027DDD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建设性质：新建；</w:t>
            </w:r>
          </w:p>
          <w:p w14:paraId="3DC92D6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建筑</w:t>
            </w:r>
            <w:r>
              <w:rPr>
                <w:rFonts w:hint="eastAsia" w:asciiTheme="minorEastAsia" w:hAnsiTheme="minorEastAsia" w:eastAsiaTheme="minorEastAsia" w:cstheme="minorEastAsia"/>
                <w:color w:val="auto"/>
                <w:sz w:val="21"/>
                <w:szCs w:val="21"/>
              </w:rPr>
              <w:t>面积：</w:t>
            </w:r>
            <w:r>
              <w:rPr>
                <w:rFonts w:hint="eastAsia" w:asciiTheme="minorEastAsia" w:hAnsiTheme="minorEastAsia" w:eastAsiaTheme="minorEastAsia" w:cstheme="minorEastAsia"/>
                <w:color w:val="auto"/>
                <w:sz w:val="21"/>
                <w:szCs w:val="21"/>
                <w:lang w:val="en-US" w:eastAsia="zh-CN"/>
              </w:rPr>
              <w:t>734.1</w:t>
            </w:r>
            <w:r>
              <w:rPr>
                <w:rFonts w:hint="eastAsia" w:asciiTheme="minorEastAsia" w:hAnsiTheme="minorEastAsia" w:eastAsiaTheme="minorEastAsia" w:cstheme="minorEastAsia"/>
                <w:color w:val="auto"/>
                <w:sz w:val="21"/>
                <w:szCs w:val="21"/>
              </w:rPr>
              <w:t>m</w:t>
            </w:r>
            <w:r>
              <w:rPr>
                <w:rFonts w:hint="eastAsia" w:asciiTheme="minorEastAsia" w:hAnsiTheme="minorEastAsia" w:eastAsiaTheme="minorEastAsia" w:cstheme="minorEastAsia"/>
                <w:color w:val="auto"/>
                <w:sz w:val="21"/>
                <w:szCs w:val="21"/>
                <w:vertAlign w:val="superscript"/>
              </w:rPr>
              <w:t>2</w:t>
            </w:r>
            <w:r>
              <w:rPr>
                <w:rFonts w:hint="eastAsia" w:asciiTheme="minorEastAsia" w:hAnsiTheme="minorEastAsia" w:eastAsiaTheme="minorEastAsia" w:cstheme="minorEastAsia"/>
                <w:color w:val="auto"/>
                <w:sz w:val="21"/>
                <w:szCs w:val="21"/>
              </w:rPr>
              <w:t>；</w:t>
            </w:r>
          </w:p>
          <w:p w14:paraId="5C807D9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default" w:asciiTheme="minorEastAsia" w:hAnsiTheme="minorEastAsia" w:eastAsiaTheme="minorEastAsia" w:cstheme="minorEastAsia"/>
                <w:color w:val="auto"/>
                <w:lang w:val="en-US" w:eastAsia="zh-CN"/>
              </w:rPr>
            </w:pPr>
            <w:r>
              <w:rPr>
                <w:rFonts w:hint="eastAsia" w:asciiTheme="minorEastAsia" w:hAnsiTheme="minorEastAsia" w:eastAsiaTheme="minorEastAsia" w:cstheme="minorEastAsia"/>
                <w:color w:val="auto"/>
                <w:sz w:val="21"/>
                <w:szCs w:val="21"/>
                <w:lang w:val="en-US" w:eastAsia="zh-CN"/>
              </w:rPr>
              <w:t>生产规模：水质检测3500样（次）/年</w:t>
            </w:r>
          </w:p>
          <w:p w14:paraId="4128D09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lang w:val="en-US" w:eastAsia="zh-CN"/>
              </w:rPr>
              <w:t>总投资额</w:t>
            </w:r>
            <w:r>
              <w:rPr>
                <w:rFonts w:hint="eastAsia" w:asciiTheme="minorEastAsia" w:hAnsiTheme="minorEastAsia" w:eastAsiaTheme="minorEastAsia" w:cstheme="minorEastAsia"/>
                <w:color w:val="auto"/>
                <w:sz w:val="21"/>
                <w:szCs w:val="21"/>
              </w:rPr>
              <w:t>：</w:t>
            </w:r>
            <w:r>
              <w:rPr>
                <w:rFonts w:hint="eastAsia" w:asciiTheme="minorEastAsia" w:hAnsiTheme="minorEastAsia" w:eastAsiaTheme="minorEastAsia" w:cstheme="minorEastAsia"/>
                <w:color w:val="auto"/>
                <w:sz w:val="21"/>
                <w:szCs w:val="21"/>
                <w:lang w:val="en-US" w:eastAsia="zh-CN"/>
              </w:rPr>
              <w:t>980</w:t>
            </w:r>
            <w:r>
              <w:rPr>
                <w:rFonts w:hint="eastAsia" w:asciiTheme="minorEastAsia" w:hAnsiTheme="minorEastAsia" w:eastAsiaTheme="minorEastAsia" w:cstheme="minorEastAsia"/>
                <w:color w:val="auto"/>
                <w:sz w:val="21"/>
                <w:szCs w:val="21"/>
              </w:rPr>
              <w:t>万元；</w:t>
            </w:r>
          </w:p>
          <w:p w14:paraId="55578B6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劳动定员及工作制度：劳动定员</w:t>
            </w:r>
            <w:r>
              <w:rPr>
                <w:rFonts w:hint="eastAsia" w:asciiTheme="minorEastAsia" w:hAnsiTheme="minorEastAsia" w:eastAsiaTheme="minorEastAsia" w:cstheme="minorEastAsia"/>
                <w:color w:val="auto"/>
                <w:sz w:val="21"/>
                <w:szCs w:val="21"/>
                <w:lang w:val="en-US" w:eastAsia="zh-CN"/>
              </w:rPr>
              <w:t>11</w:t>
            </w:r>
            <w:r>
              <w:rPr>
                <w:rFonts w:hint="eastAsia" w:asciiTheme="minorEastAsia" w:hAnsiTheme="minorEastAsia" w:eastAsiaTheme="minorEastAsia" w:cstheme="minorEastAsia"/>
                <w:color w:val="auto"/>
                <w:sz w:val="21"/>
                <w:szCs w:val="21"/>
              </w:rPr>
              <w:t>人，</w:t>
            </w:r>
            <w:r>
              <w:rPr>
                <w:rFonts w:hint="eastAsia" w:asciiTheme="minorEastAsia" w:hAnsiTheme="minorEastAsia" w:eastAsiaTheme="minorEastAsia" w:cstheme="minorEastAsia"/>
                <w:color w:val="auto"/>
                <w:sz w:val="21"/>
                <w:szCs w:val="21"/>
                <w:lang w:val="en-US" w:eastAsia="zh-CN"/>
              </w:rPr>
              <w:t>每天1班，每班8h，</w:t>
            </w:r>
            <w:r>
              <w:rPr>
                <w:rFonts w:hint="eastAsia" w:asciiTheme="minorEastAsia" w:hAnsiTheme="minorEastAsia" w:eastAsiaTheme="minorEastAsia" w:cstheme="minorEastAsia"/>
                <w:color w:val="auto"/>
                <w:sz w:val="21"/>
                <w:szCs w:val="21"/>
              </w:rPr>
              <w:t>年工作</w:t>
            </w:r>
            <w:r>
              <w:rPr>
                <w:rFonts w:hint="eastAsia" w:asciiTheme="minorEastAsia" w:hAnsiTheme="minorEastAsia" w:eastAsiaTheme="minorEastAsia" w:cstheme="minorEastAsia"/>
                <w:color w:val="auto"/>
                <w:sz w:val="21"/>
                <w:szCs w:val="21"/>
                <w:lang w:val="en-US" w:eastAsia="zh-CN"/>
              </w:rPr>
              <w:t>250</w:t>
            </w:r>
            <w:r>
              <w:rPr>
                <w:rFonts w:hint="eastAsia" w:asciiTheme="minorEastAsia" w:hAnsiTheme="minorEastAsia" w:eastAsiaTheme="minorEastAsia" w:cstheme="minorEastAsia"/>
                <w:color w:val="auto"/>
                <w:sz w:val="21"/>
                <w:szCs w:val="21"/>
              </w:rPr>
              <w:t>天。</w:t>
            </w:r>
          </w:p>
          <w:p w14:paraId="45EDF606">
            <w:pPr>
              <w:bidi w:val="0"/>
              <w:spacing w:line="360" w:lineRule="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3、项目主要建设内容及规模</w:t>
            </w:r>
          </w:p>
          <w:p w14:paraId="2E0D439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bCs/>
                <w:color w:val="auto"/>
                <w:kern w:val="28"/>
                <w:sz w:val="21"/>
                <w:szCs w:val="21"/>
                <w:highlight w:val="cyan"/>
              </w:rPr>
            </w:pPr>
            <w:r>
              <w:rPr>
                <w:rFonts w:hint="eastAsia" w:ascii="Times New Roman" w:hAnsi="Times New Roman" w:eastAsia="宋体" w:cs="Times New Roman"/>
                <w:color w:val="auto"/>
                <w:kern w:val="0"/>
                <w:sz w:val="21"/>
                <w:szCs w:val="21"/>
                <w:lang w:val="en-US" w:eastAsia="zh-CN" w:bidi="ar"/>
              </w:rPr>
              <w:t>项目</w:t>
            </w:r>
            <w:r>
              <w:rPr>
                <w:rFonts w:hint="eastAsia" w:cs="Times New Roman"/>
                <w:color w:val="auto"/>
                <w:kern w:val="0"/>
                <w:sz w:val="21"/>
                <w:szCs w:val="21"/>
                <w:lang w:val="en-US" w:eastAsia="zh-CN" w:bidi="ar"/>
              </w:rPr>
              <w:t>租用</w:t>
            </w:r>
            <w:r>
              <w:rPr>
                <w:rFonts w:hint="default" w:ascii="Times New Roman" w:hAnsi="Times New Roman" w:eastAsia="宋体" w:cs="Times New Roman"/>
                <w:color w:val="auto"/>
                <w:kern w:val="0"/>
                <w:sz w:val="21"/>
                <w:szCs w:val="21"/>
                <w:lang w:val="en-US" w:eastAsia="zh-CN" w:bidi="ar"/>
              </w:rPr>
              <w:t>云南水投牛栏江滇池补水工程有限公司</w:t>
            </w:r>
            <w:r>
              <w:rPr>
                <w:rFonts w:hint="eastAsia" w:cs="Times New Roman"/>
                <w:color w:val="auto"/>
                <w:kern w:val="0"/>
                <w:sz w:val="21"/>
                <w:szCs w:val="21"/>
                <w:lang w:val="en-US" w:eastAsia="zh-CN" w:bidi="ar"/>
              </w:rPr>
              <w:t>现有办公楼的负二层地下室建设检测实验室项目，实验室的总建筑面积734.1平方米。项目仅开展水质检测，项目内</w:t>
            </w:r>
            <w:r>
              <w:rPr>
                <w:rFonts w:hint="default" w:ascii="Times New Roman" w:hAnsi="Times New Roman" w:eastAsia="宋体" w:cs="Times New Roman"/>
                <w:color w:val="auto"/>
                <w:kern w:val="0"/>
                <w:sz w:val="21"/>
                <w:szCs w:val="21"/>
                <w:lang w:val="en-US" w:eastAsia="zh-CN" w:bidi="ar"/>
              </w:rPr>
              <w:t>规划</w:t>
            </w:r>
            <w:r>
              <w:rPr>
                <w:rFonts w:hint="eastAsia" w:cs="Times New Roman"/>
                <w:color w:val="auto"/>
                <w:kern w:val="0"/>
                <w:sz w:val="21"/>
                <w:szCs w:val="21"/>
                <w:lang w:val="en-US" w:eastAsia="zh-CN" w:bidi="ar"/>
              </w:rPr>
              <w:t>的</w:t>
            </w:r>
            <w:r>
              <w:rPr>
                <w:rFonts w:hint="default" w:ascii="Times New Roman" w:hAnsi="Times New Roman" w:eastAsia="宋体" w:cs="Times New Roman"/>
                <w:color w:val="auto"/>
                <w:kern w:val="0"/>
                <w:sz w:val="21"/>
                <w:szCs w:val="21"/>
                <w:lang w:val="en-US" w:eastAsia="zh-CN" w:bidi="ar"/>
              </w:rPr>
              <w:t>功能间</w:t>
            </w:r>
            <w:r>
              <w:rPr>
                <w:rFonts w:hint="eastAsia" w:cs="Times New Roman"/>
                <w:color w:val="auto"/>
                <w:kern w:val="0"/>
                <w:sz w:val="21"/>
                <w:szCs w:val="21"/>
                <w:lang w:val="en-US" w:eastAsia="zh-CN" w:bidi="ar"/>
              </w:rPr>
              <w:t>包括：</w:t>
            </w:r>
            <w:r>
              <w:rPr>
                <w:rFonts w:hint="default" w:ascii="Times New Roman" w:hAnsi="Times New Roman" w:eastAsia="宋体" w:cs="Times New Roman"/>
                <w:color w:val="auto"/>
                <w:kern w:val="0"/>
                <w:sz w:val="21"/>
                <w:szCs w:val="21"/>
                <w:lang w:val="en-US" w:eastAsia="zh-CN" w:bidi="ar"/>
              </w:rPr>
              <w:t>危废暂存间、气瓶室</w:t>
            </w:r>
            <w:r>
              <w:rPr>
                <w:rFonts w:hint="default" w:ascii="Times New Roman" w:hAnsi="Times New Roman" w:eastAsia="宋体" w:cs="Times New Roman"/>
                <w:color w:val="auto"/>
                <w:kern w:val="0"/>
                <w:sz w:val="21"/>
                <w:szCs w:val="21"/>
                <w:highlight w:val="none"/>
                <w:lang w:val="en-US" w:eastAsia="zh-CN" w:bidi="ar"/>
              </w:rPr>
              <w:t>、微生物室、药品室</w:t>
            </w:r>
            <w:r>
              <w:rPr>
                <w:rFonts w:hint="default" w:ascii="Times New Roman" w:hAnsi="Times New Roman" w:eastAsia="宋体" w:cs="Times New Roman"/>
                <w:color w:val="auto"/>
                <w:kern w:val="0"/>
                <w:sz w:val="21"/>
                <w:szCs w:val="21"/>
                <w:lang w:val="en-US" w:eastAsia="zh-CN" w:bidi="ar"/>
              </w:rPr>
              <w:t>、天平室、高温室、样品间、无机</w:t>
            </w:r>
            <w:r>
              <w:rPr>
                <w:rFonts w:hint="eastAsia" w:cs="Times New Roman"/>
                <w:color w:val="auto"/>
                <w:kern w:val="0"/>
                <w:sz w:val="21"/>
                <w:szCs w:val="21"/>
                <w:lang w:val="en-US" w:eastAsia="zh-CN" w:bidi="ar"/>
              </w:rPr>
              <w:t>实验室、</w:t>
            </w:r>
            <w:r>
              <w:rPr>
                <w:rFonts w:hint="default" w:ascii="Times New Roman" w:hAnsi="Times New Roman" w:eastAsia="宋体" w:cs="Times New Roman"/>
                <w:color w:val="auto"/>
                <w:kern w:val="0"/>
                <w:sz w:val="21"/>
                <w:szCs w:val="21"/>
                <w:lang w:val="en-US" w:eastAsia="zh-CN" w:bidi="ar"/>
              </w:rPr>
              <w:t>有机实验室、气相室、色谱室、无氨室等，</w:t>
            </w:r>
            <w:r>
              <w:rPr>
                <w:rFonts w:hint="eastAsia" w:cs="Times New Roman"/>
                <w:color w:val="auto"/>
                <w:kern w:val="0"/>
                <w:sz w:val="21"/>
                <w:szCs w:val="21"/>
                <w:lang w:val="en-US" w:eastAsia="zh-CN" w:bidi="ar"/>
              </w:rPr>
              <w:t>使用的设备包括</w:t>
            </w:r>
            <w:r>
              <w:rPr>
                <w:rFonts w:hint="default" w:ascii="Times New Roman" w:hAnsi="Times New Roman" w:eastAsia="宋体" w:cs="Times New Roman"/>
                <w:color w:val="auto"/>
                <w:kern w:val="0"/>
                <w:sz w:val="21"/>
                <w:szCs w:val="21"/>
                <w:lang w:val="en-US" w:eastAsia="zh-CN" w:bidi="ar"/>
              </w:rPr>
              <w:t>离子色谱仪、超高效液相色谱三重四极杆质谱仪、气相色谱质谱联用仪、电感耦合等离子体质谱仪、低本底α、β测量仪等。</w:t>
            </w:r>
            <w:r>
              <w:rPr>
                <w:rFonts w:hint="eastAsia"/>
                <w:color w:val="auto"/>
                <w:lang w:val="en-US" w:eastAsia="zh-CN"/>
              </w:rPr>
              <w:t>本项目</w:t>
            </w:r>
            <w:r>
              <w:rPr>
                <w:rFonts w:hint="default" w:ascii="Times New Roman" w:hAnsi="Times New Roman" w:eastAsia="宋体" w:cs="Times New Roman"/>
                <w:color w:val="auto"/>
                <w:sz w:val="21"/>
                <w:szCs w:val="21"/>
              </w:rPr>
              <w:t>工程组成情况见表2-1。</w:t>
            </w:r>
          </w:p>
          <w:p w14:paraId="2CC98A4C">
            <w:pPr>
              <w:bidi w:val="0"/>
              <w:jc w:val="center"/>
              <w:outlineLvl w:val="9"/>
              <w:rPr>
                <w:rFonts w:hint="default" w:ascii="Times New Roman" w:hAnsi="Times New Roman" w:eastAsia="宋体" w:cs="Times New Roman"/>
                <w:b/>
                <w:bCs/>
                <w:color w:val="auto"/>
                <w:sz w:val="18"/>
                <w:szCs w:val="18"/>
                <w:lang w:val="en-US"/>
              </w:rPr>
            </w:pPr>
            <w:r>
              <w:rPr>
                <w:rFonts w:hint="default" w:ascii="Times New Roman" w:hAnsi="Times New Roman" w:eastAsia="宋体" w:cs="Times New Roman"/>
                <w:b/>
                <w:bCs/>
                <w:color w:val="auto"/>
                <w:sz w:val="18"/>
                <w:szCs w:val="18"/>
                <w:lang w:val="en-US"/>
              </w:rPr>
              <w:t>表2-1  项目主要建设内容一览表</w:t>
            </w:r>
          </w:p>
          <w:tbl>
            <w:tblPr>
              <w:tblStyle w:val="21"/>
              <w:tblW w:w="8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336"/>
              <w:gridCol w:w="5558"/>
              <w:gridCol w:w="966"/>
            </w:tblGrid>
            <w:tr w14:paraId="18246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noWrap w:val="0"/>
                  <w:vAlign w:val="center"/>
                </w:tcPr>
                <w:p w14:paraId="067F758B">
                  <w:pPr>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kern w:val="2"/>
                      <w:sz w:val="18"/>
                      <w:szCs w:val="18"/>
                      <w:lang w:val="en-US" w:eastAsia="zh-CN" w:bidi="ar-SA"/>
                    </w:rPr>
                    <w:t>类型</w:t>
                  </w:r>
                </w:p>
              </w:tc>
              <w:tc>
                <w:tcPr>
                  <w:tcW w:w="1336" w:type="dxa"/>
                  <w:noWrap w:val="0"/>
                  <w:vAlign w:val="center"/>
                </w:tcPr>
                <w:p w14:paraId="5DD3678C">
                  <w:pPr>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工程</w:t>
                  </w:r>
                  <w:r>
                    <w:rPr>
                      <w:rFonts w:hint="default" w:ascii="Times New Roman" w:hAnsi="Times New Roman" w:eastAsia="宋体" w:cs="Times New Roman"/>
                      <w:b/>
                      <w:bCs/>
                      <w:color w:val="auto"/>
                      <w:sz w:val="18"/>
                      <w:szCs w:val="18"/>
                      <w:lang w:val="en-US" w:eastAsia="zh-CN"/>
                    </w:rPr>
                    <w:t>名称</w:t>
                  </w:r>
                </w:p>
              </w:tc>
              <w:tc>
                <w:tcPr>
                  <w:tcW w:w="5558" w:type="dxa"/>
                  <w:noWrap w:val="0"/>
                  <w:vAlign w:val="center"/>
                </w:tcPr>
                <w:p w14:paraId="02B18F89">
                  <w:pPr>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rPr>
                    <w:t>工程内容及规模</w:t>
                  </w:r>
                </w:p>
              </w:tc>
              <w:tc>
                <w:tcPr>
                  <w:tcW w:w="966" w:type="dxa"/>
                  <w:noWrap w:val="0"/>
                  <w:vAlign w:val="center"/>
                </w:tcPr>
                <w:p w14:paraId="05CDB5F7">
                  <w:pPr>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kern w:val="2"/>
                      <w:sz w:val="18"/>
                      <w:szCs w:val="18"/>
                      <w:lang w:val="en-US" w:eastAsia="zh-CN" w:bidi="ar-SA"/>
                    </w:rPr>
                  </w:pPr>
                  <w:r>
                    <w:rPr>
                      <w:rFonts w:hint="default" w:ascii="Times New Roman" w:hAnsi="Times New Roman" w:eastAsia="宋体" w:cs="Times New Roman"/>
                      <w:b/>
                      <w:bCs/>
                      <w:color w:val="auto"/>
                      <w:sz w:val="18"/>
                      <w:szCs w:val="18"/>
                      <w:lang w:eastAsia="zh-CN"/>
                    </w:rPr>
                    <w:t>备注</w:t>
                  </w:r>
                </w:p>
              </w:tc>
            </w:tr>
            <w:tr w14:paraId="7271E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restart"/>
                  <w:noWrap w:val="0"/>
                  <w:vAlign w:val="center"/>
                </w:tcPr>
                <w:p w14:paraId="598891B5">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r>
                    <w:rPr>
                      <w:rFonts w:hint="default" w:ascii="Times New Roman" w:hAnsi="Times New Roman" w:eastAsia="宋体" w:cs="Times New Roman"/>
                      <w:b/>
                      <w:color w:val="auto"/>
                      <w:sz w:val="18"/>
                      <w:szCs w:val="18"/>
                      <w:vertAlign w:val="baseline"/>
                      <w:lang w:val="en-US" w:eastAsia="zh-CN"/>
                    </w:rPr>
                    <w:t>主体工程</w:t>
                  </w:r>
                </w:p>
              </w:tc>
              <w:tc>
                <w:tcPr>
                  <w:tcW w:w="1336" w:type="dxa"/>
                  <w:noWrap w:val="0"/>
                  <w:vAlign w:val="center"/>
                </w:tcPr>
                <w:p w14:paraId="230D2D0F">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理化实验室（有机）</w:t>
                  </w:r>
                </w:p>
              </w:tc>
              <w:tc>
                <w:tcPr>
                  <w:tcW w:w="5558" w:type="dxa"/>
                  <w:noWrap w:val="0"/>
                  <w:vAlign w:val="center"/>
                </w:tcPr>
                <w:p w14:paraId="32291C1C">
                  <w:pPr>
                    <w:pStyle w:val="48"/>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1间，建筑面积62.1m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，主要针对水中含碳的有机化合物进行检测。</w:t>
                  </w:r>
                </w:p>
              </w:tc>
              <w:tc>
                <w:tcPr>
                  <w:tcW w:w="966" w:type="dxa"/>
                  <w:noWrap w:val="0"/>
                  <w:vAlign w:val="center"/>
                </w:tcPr>
                <w:p w14:paraId="76108B6E">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4CB39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20A27BB3">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74CAD2AD">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理化实验室（无机）</w:t>
                  </w:r>
                </w:p>
              </w:tc>
              <w:tc>
                <w:tcPr>
                  <w:tcW w:w="5558" w:type="dxa"/>
                  <w:noWrap w:val="0"/>
                  <w:vAlign w:val="center"/>
                </w:tcPr>
                <w:p w14:paraId="1CE1E27E">
                  <w:pPr>
                    <w:pStyle w:val="48"/>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vertAlign w:val="baseline"/>
                      <w:lang w:val="en-US" w:eastAsia="zh-CN"/>
                    </w:rPr>
                    <w:t>1间，</w:t>
                  </w:r>
                  <w:r>
                    <w:rPr>
                      <w:rFonts w:hint="default" w:ascii="Times New Roman" w:hAnsi="Times New Roman" w:eastAsia="宋体" w:cs="Times New Roman"/>
                      <w:b w:val="0"/>
                      <w:bCs w:val="0"/>
                      <w:color w:val="auto"/>
                      <w:sz w:val="18"/>
                      <w:szCs w:val="18"/>
                      <w:lang w:val="en-US" w:eastAsia="zh-CN"/>
                    </w:rPr>
                    <w:t>建筑面积55.9</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，主要检测水中无机元素或离子，以及无机盐类。</w:t>
                  </w:r>
                </w:p>
              </w:tc>
              <w:tc>
                <w:tcPr>
                  <w:tcW w:w="966" w:type="dxa"/>
                  <w:noWrap w:val="0"/>
                  <w:vAlign w:val="center"/>
                </w:tcPr>
                <w:p w14:paraId="26559C9C">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3C4A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5FBEFE11">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493D2F14">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气相色谱分析室</w:t>
                  </w:r>
                </w:p>
              </w:tc>
              <w:tc>
                <w:tcPr>
                  <w:tcW w:w="5558" w:type="dxa"/>
                  <w:noWrap w:val="0"/>
                  <w:vAlign w:val="center"/>
                </w:tcPr>
                <w:p w14:paraId="3BE0694D">
                  <w:pPr>
                    <w:pStyle w:val="48"/>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1间，建筑面积26.6m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，主要是对容易转化为气态而不分解的液态有机化合物及气态样品的分析，主要设备为气相色谱仪。</w:t>
                  </w:r>
                </w:p>
              </w:tc>
              <w:tc>
                <w:tcPr>
                  <w:tcW w:w="966" w:type="dxa"/>
                  <w:noWrap w:val="0"/>
                  <w:vAlign w:val="center"/>
                </w:tcPr>
                <w:p w14:paraId="0F61FC8F">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7B47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71B7B609">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2A47FD49">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液相色谱分析室</w:t>
                  </w:r>
                </w:p>
              </w:tc>
              <w:tc>
                <w:tcPr>
                  <w:tcW w:w="5558" w:type="dxa"/>
                  <w:noWrap w:val="0"/>
                  <w:vAlign w:val="center"/>
                </w:tcPr>
                <w:p w14:paraId="50638B8E">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1间，建筑面积35.5m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，主要仪器设备为高效液相色谱仪，对复杂的有机化合物分离制取纯净化合物，定量分析和定性分析。</w:t>
                  </w:r>
                </w:p>
              </w:tc>
              <w:tc>
                <w:tcPr>
                  <w:tcW w:w="966" w:type="dxa"/>
                  <w:noWrap w:val="0"/>
                  <w:vAlign w:val="center"/>
                </w:tcPr>
                <w:p w14:paraId="79083B63">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6BE4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30869529">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45F03D46">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液相质谱室</w:t>
                  </w:r>
                </w:p>
              </w:tc>
              <w:tc>
                <w:tcPr>
                  <w:tcW w:w="5558" w:type="dxa"/>
                  <w:noWrap w:val="0"/>
                  <w:vAlign w:val="center"/>
                </w:tcPr>
                <w:p w14:paraId="2E75C442">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1间，建筑面积24.3m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，主要是对纯有机物的定性分析，主要设备有质谱仪、气-质联用仪。</w:t>
                  </w:r>
                </w:p>
              </w:tc>
              <w:tc>
                <w:tcPr>
                  <w:tcW w:w="966" w:type="dxa"/>
                  <w:noWrap w:val="0"/>
                  <w:vAlign w:val="center"/>
                </w:tcPr>
                <w:p w14:paraId="08257020">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2367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633CCB01">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393AFDE4">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光谱室</w:t>
                  </w:r>
                </w:p>
              </w:tc>
              <w:tc>
                <w:tcPr>
                  <w:tcW w:w="5558" w:type="dxa"/>
                  <w:noWrap w:val="0"/>
                  <w:vAlign w:val="center"/>
                </w:tcPr>
                <w:p w14:paraId="6190BEDA">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1间，建筑面积20.1m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，主要设备有</w:t>
                  </w:r>
                  <w:r>
                    <w:rPr>
                      <w:rFonts w:hint="default" w:ascii="Times New Roman" w:hAnsi="Times New Roman" w:eastAsia="宋体" w:cs="Times New Roman"/>
                      <w:color w:val="auto"/>
                      <w:kern w:val="0"/>
                      <w:sz w:val="18"/>
                      <w:szCs w:val="18"/>
                    </w:rPr>
                    <w:t>原子荧光光度计</w:t>
                  </w:r>
                  <w:r>
                    <w:rPr>
                      <w:rFonts w:hint="default" w:ascii="Times New Roman" w:hAnsi="Times New Roman" w:eastAsia="宋体" w:cs="Times New Roman"/>
                      <w:b w:val="0"/>
                      <w:bCs w:val="0"/>
                      <w:color w:val="auto"/>
                      <w:sz w:val="18"/>
                      <w:szCs w:val="18"/>
                      <w:vertAlign w:val="baseline"/>
                      <w:lang w:val="en-US" w:eastAsia="zh-CN"/>
                    </w:rPr>
                    <w:t>。</w:t>
                  </w:r>
                </w:p>
              </w:tc>
              <w:tc>
                <w:tcPr>
                  <w:tcW w:w="966" w:type="dxa"/>
                  <w:noWrap w:val="0"/>
                  <w:vAlign w:val="center"/>
                </w:tcPr>
                <w:p w14:paraId="5B806686">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3C82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482E9CD9">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6E5B3D1E">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质控室</w:t>
                  </w:r>
                </w:p>
              </w:tc>
              <w:tc>
                <w:tcPr>
                  <w:tcW w:w="5558" w:type="dxa"/>
                  <w:noWrap w:val="0"/>
                  <w:vAlign w:val="center"/>
                </w:tcPr>
                <w:p w14:paraId="32E39687">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1间，建筑面积9.3m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，主要负责实验室内部质量控制。</w:t>
                  </w:r>
                </w:p>
              </w:tc>
              <w:tc>
                <w:tcPr>
                  <w:tcW w:w="966" w:type="dxa"/>
                  <w:noWrap w:val="0"/>
                  <w:vAlign w:val="center"/>
                </w:tcPr>
                <w:p w14:paraId="2C10E0F9">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431C6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6419D045">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6E50A19F">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离子色谱、连续流动分析室</w:t>
                  </w:r>
                </w:p>
              </w:tc>
              <w:tc>
                <w:tcPr>
                  <w:tcW w:w="5558" w:type="dxa"/>
                  <w:noWrap w:val="0"/>
                  <w:vAlign w:val="center"/>
                </w:tcPr>
                <w:p w14:paraId="2D35CFE2">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1间，建筑面积49.5m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，主要设备有离子色谱仪。</w:t>
                  </w:r>
                </w:p>
              </w:tc>
              <w:tc>
                <w:tcPr>
                  <w:tcW w:w="966" w:type="dxa"/>
                  <w:noWrap w:val="0"/>
                  <w:vAlign w:val="center"/>
                </w:tcPr>
                <w:p w14:paraId="6ED0FCBF">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6466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0C5C10B6">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625A2BE8">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UPS</w:t>
                  </w:r>
                </w:p>
              </w:tc>
              <w:tc>
                <w:tcPr>
                  <w:tcW w:w="5558" w:type="dxa"/>
                  <w:noWrap w:val="0"/>
                  <w:vAlign w:val="center"/>
                </w:tcPr>
                <w:p w14:paraId="7C44833B">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1间，建筑面积4.2m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，提供稳定、不间断的电力供应。</w:t>
                  </w:r>
                </w:p>
              </w:tc>
              <w:tc>
                <w:tcPr>
                  <w:tcW w:w="966" w:type="dxa"/>
                  <w:noWrap w:val="0"/>
                  <w:vAlign w:val="center"/>
                </w:tcPr>
                <w:p w14:paraId="159C5B41">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6A328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3977979F">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6B68DC0A">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样品外采室</w:t>
                  </w:r>
                </w:p>
              </w:tc>
              <w:tc>
                <w:tcPr>
                  <w:tcW w:w="5558" w:type="dxa"/>
                  <w:noWrap w:val="0"/>
                  <w:vAlign w:val="center"/>
                </w:tcPr>
                <w:p w14:paraId="4A1718FB">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1间，建筑面积27.2m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，负责</w:t>
                  </w:r>
                  <w:r>
                    <w:rPr>
                      <w:rFonts w:hint="default" w:ascii="Times New Roman" w:hAnsi="Times New Roman" w:eastAsia="宋体" w:cs="Times New Roman"/>
                      <w:i w:val="0"/>
                      <w:iCs w:val="0"/>
                      <w:caps w:val="0"/>
                      <w:color w:val="auto"/>
                      <w:spacing w:val="0"/>
                      <w:sz w:val="18"/>
                      <w:szCs w:val="18"/>
                      <w:shd w:val="clear" w:fill="FFFFFF"/>
                    </w:rPr>
                    <w:t>制定采样计划，准备各种采样器具</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0F158104">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1E6E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6EA49BF0">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01BFECAC">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样品室</w:t>
                  </w:r>
                </w:p>
              </w:tc>
              <w:tc>
                <w:tcPr>
                  <w:tcW w:w="5558" w:type="dxa"/>
                  <w:noWrap w:val="0"/>
                  <w:vAlign w:val="center"/>
                </w:tcPr>
                <w:p w14:paraId="7D46DE8A">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1间，建筑面积11m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，负责接收从不同地点、不同时间采集来的水样。</w:t>
                  </w:r>
                </w:p>
              </w:tc>
              <w:tc>
                <w:tcPr>
                  <w:tcW w:w="966" w:type="dxa"/>
                  <w:noWrap w:val="0"/>
                  <w:vAlign w:val="center"/>
                </w:tcPr>
                <w:p w14:paraId="430AEC6C">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57FCD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273EBF28">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595AB50F">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备用间</w:t>
                  </w:r>
                </w:p>
              </w:tc>
              <w:tc>
                <w:tcPr>
                  <w:tcW w:w="5558" w:type="dxa"/>
                  <w:noWrap w:val="0"/>
                  <w:vAlign w:val="center"/>
                </w:tcPr>
                <w:p w14:paraId="3056F464">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1间，建筑面积13.3m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7C91DE89">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78A91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5C92EC46">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45FA648B">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弱电间</w:t>
                  </w:r>
                </w:p>
              </w:tc>
              <w:tc>
                <w:tcPr>
                  <w:tcW w:w="5558" w:type="dxa"/>
                  <w:noWrap w:val="0"/>
                  <w:vAlign w:val="center"/>
                </w:tcPr>
                <w:p w14:paraId="2FA74555">
                  <w:pPr>
                    <w:pStyle w:val="48"/>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w:t>
                  </w:r>
                  <w:r>
                    <w:rPr>
                      <w:rFonts w:hint="default" w:ascii="Times New Roman" w:hAnsi="Times New Roman" w:eastAsia="宋体" w:cs="Times New Roman"/>
                      <w:b w:val="0"/>
                      <w:bCs w:val="0"/>
                      <w:color w:val="auto"/>
                      <w:sz w:val="18"/>
                      <w:szCs w:val="18"/>
                      <w:lang w:val="en-US" w:eastAsia="zh-CN"/>
                    </w:rPr>
                    <w:t>建筑面积</w:t>
                  </w:r>
                  <w:r>
                    <w:rPr>
                      <w:rFonts w:hint="default" w:ascii="Times New Roman" w:hAnsi="Times New Roman" w:eastAsia="宋体" w:cs="Times New Roman"/>
                      <w:b w:val="0"/>
                      <w:bCs w:val="0"/>
                      <w:color w:val="auto"/>
                      <w:sz w:val="18"/>
                      <w:szCs w:val="18"/>
                      <w:vertAlign w:val="baseline"/>
                      <w:lang w:val="en-US" w:eastAsia="zh-CN"/>
                    </w:rPr>
                    <w:t>3.1m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b w:val="0"/>
                      <w:bCs w:val="0"/>
                      <w:color w:val="auto"/>
                      <w:sz w:val="18"/>
                      <w:szCs w:val="18"/>
                      <w:lang w:val="en-US" w:eastAsia="zh-CN"/>
                    </w:rPr>
                    <w:t>主要用于集中管理和传输弱电系统。</w:t>
                  </w:r>
                </w:p>
              </w:tc>
              <w:tc>
                <w:tcPr>
                  <w:tcW w:w="966" w:type="dxa"/>
                  <w:noWrap w:val="0"/>
                  <w:vAlign w:val="center"/>
                </w:tcPr>
                <w:p w14:paraId="251C1635">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739D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2D4D55B8">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1AEE6FD2">
                  <w:pPr>
                    <w:keepLines w:val="0"/>
                    <w:pageBreakBefore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color w:val="auto"/>
                      <w:kern w:val="0"/>
                      <w:sz w:val="18"/>
                      <w:szCs w:val="18"/>
                      <w:lang w:val="en-US" w:eastAsia="zh-CN"/>
                    </w:rPr>
                    <w:t>清洗室</w:t>
                  </w:r>
                </w:p>
              </w:tc>
              <w:tc>
                <w:tcPr>
                  <w:tcW w:w="5558" w:type="dxa"/>
                  <w:noWrap w:val="0"/>
                  <w:vAlign w:val="center"/>
                </w:tcPr>
                <w:p w14:paraId="69406992">
                  <w:pPr>
                    <w:keepLines w:val="0"/>
                    <w:pageBreakBefore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vertAlign w:val="baseline"/>
                      <w:lang w:val="en-US" w:eastAsia="zh-CN"/>
                    </w:rPr>
                    <w:t>1间，</w:t>
                  </w:r>
                  <w:r>
                    <w:rPr>
                      <w:rFonts w:hint="default" w:ascii="Times New Roman" w:hAnsi="Times New Roman" w:eastAsia="宋体" w:cs="Times New Roman"/>
                      <w:b w:val="0"/>
                      <w:bCs w:val="0"/>
                      <w:color w:val="auto"/>
                      <w:sz w:val="18"/>
                      <w:szCs w:val="18"/>
                      <w:lang w:val="en-US" w:eastAsia="zh-CN"/>
                    </w:rPr>
                    <w:t>建筑面积</w:t>
                  </w:r>
                  <w:r>
                    <w:rPr>
                      <w:rFonts w:hint="default" w:ascii="Times New Roman" w:hAnsi="Times New Roman" w:eastAsia="宋体" w:cs="Times New Roman"/>
                      <w:b w:val="0"/>
                      <w:bCs w:val="0"/>
                      <w:color w:val="auto"/>
                      <w:sz w:val="18"/>
                      <w:szCs w:val="18"/>
                      <w:vertAlign w:val="baseline"/>
                      <w:lang w:val="en-US" w:eastAsia="zh-CN"/>
                    </w:rPr>
                    <w:t>14.2m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bCs/>
                      <w:color w:val="auto"/>
                      <w:sz w:val="18"/>
                      <w:szCs w:val="18"/>
                      <w:lang w:val="en-US" w:eastAsia="zh-CN"/>
                    </w:rPr>
                    <w:t>主要用于实验器皿清洗。</w:t>
                  </w:r>
                </w:p>
              </w:tc>
              <w:tc>
                <w:tcPr>
                  <w:tcW w:w="966" w:type="dxa"/>
                  <w:noWrap w:val="0"/>
                  <w:vAlign w:val="center"/>
                </w:tcPr>
                <w:p w14:paraId="40C7D69B">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72C9F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450" w:type="dxa"/>
                  <w:vMerge w:val="continue"/>
                  <w:noWrap w:val="0"/>
                  <w:vAlign w:val="center"/>
                </w:tcPr>
                <w:p w14:paraId="6C61C011">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235AFAD2">
                  <w:pPr>
                    <w:keepLines w:val="0"/>
                    <w:pageBreakBefore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制水室</w:t>
                  </w:r>
                </w:p>
              </w:tc>
              <w:tc>
                <w:tcPr>
                  <w:tcW w:w="5558" w:type="dxa"/>
                  <w:noWrap w:val="0"/>
                  <w:vAlign w:val="center"/>
                </w:tcPr>
                <w:p w14:paraId="737B7D8D">
                  <w:pPr>
                    <w:keepLines w:val="0"/>
                    <w:pageBreakBefore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b w:val="0"/>
                      <w:bCs w:val="0"/>
                      <w:color w:val="auto"/>
                      <w:sz w:val="18"/>
                      <w:szCs w:val="18"/>
                      <w:vertAlign w:val="baseline"/>
                      <w:lang w:val="en-US" w:eastAsia="zh-CN"/>
                    </w:rPr>
                    <w:t>1间，</w:t>
                  </w:r>
                  <w:r>
                    <w:rPr>
                      <w:rFonts w:hint="default" w:ascii="Times New Roman" w:hAnsi="Times New Roman" w:eastAsia="宋体" w:cs="Times New Roman"/>
                      <w:b w:val="0"/>
                      <w:bCs w:val="0"/>
                      <w:color w:val="auto"/>
                      <w:sz w:val="18"/>
                      <w:szCs w:val="18"/>
                      <w:lang w:val="en-US" w:eastAsia="zh-CN"/>
                    </w:rPr>
                    <w:t>建筑面积</w:t>
                  </w:r>
                  <w:r>
                    <w:rPr>
                      <w:rFonts w:hint="default" w:ascii="Times New Roman" w:hAnsi="Times New Roman" w:eastAsia="宋体" w:cs="Times New Roman"/>
                      <w:b w:val="0"/>
                      <w:bCs w:val="0"/>
                      <w:color w:val="auto"/>
                      <w:sz w:val="18"/>
                      <w:szCs w:val="18"/>
                      <w:vertAlign w:val="baseline"/>
                      <w:lang w:val="en-US" w:eastAsia="zh-CN"/>
                    </w:rPr>
                    <w:t>7.7m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用于</w:t>
                  </w:r>
                  <w:r>
                    <w:rPr>
                      <w:rFonts w:hint="default" w:ascii="Times New Roman" w:hAnsi="Times New Roman" w:eastAsia="宋体" w:cs="Times New Roman"/>
                      <w:color w:val="auto"/>
                      <w:kern w:val="0"/>
                      <w:sz w:val="18"/>
                      <w:szCs w:val="18"/>
                      <w:lang w:val="en-US" w:eastAsia="zh-CN"/>
                    </w:rPr>
                    <w:t>制备</w:t>
                  </w:r>
                  <w:r>
                    <w:rPr>
                      <w:rFonts w:hint="default" w:ascii="Times New Roman" w:hAnsi="Times New Roman" w:eastAsia="宋体" w:cs="Times New Roman"/>
                      <w:color w:val="auto"/>
                      <w:kern w:val="0"/>
                      <w:sz w:val="18"/>
                      <w:szCs w:val="18"/>
                    </w:rPr>
                    <w:t>实验室检测用</w:t>
                  </w:r>
                  <w:r>
                    <w:rPr>
                      <w:rFonts w:hint="default" w:ascii="Times New Roman" w:hAnsi="Times New Roman" w:eastAsia="宋体" w:cs="Times New Roman"/>
                      <w:color w:val="auto"/>
                      <w:kern w:val="0"/>
                      <w:sz w:val="18"/>
                      <w:szCs w:val="18"/>
                      <w:lang w:val="en-US" w:eastAsia="zh-CN"/>
                    </w:rPr>
                    <w:t>的</w:t>
                  </w:r>
                  <w:r>
                    <w:rPr>
                      <w:rFonts w:hint="default" w:ascii="Times New Roman" w:hAnsi="Times New Roman" w:eastAsia="宋体" w:cs="Times New Roman"/>
                      <w:color w:val="auto"/>
                      <w:kern w:val="0"/>
                      <w:sz w:val="18"/>
                      <w:szCs w:val="18"/>
                    </w:rPr>
                    <w:t>纯水</w:t>
                  </w:r>
                  <w:r>
                    <w:rPr>
                      <w:rFonts w:hint="default" w:ascii="Times New Roman" w:hAnsi="Times New Roman" w:eastAsia="宋体" w:cs="Times New Roman"/>
                      <w:color w:val="auto"/>
                      <w:kern w:val="0"/>
                      <w:sz w:val="18"/>
                      <w:szCs w:val="18"/>
                      <w:lang w:eastAsia="zh-CN"/>
                    </w:rPr>
                    <w:t>。</w:t>
                  </w:r>
                </w:p>
              </w:tc>
              <w:tc>
                <w:tcPr>
                  <w:tcW w:w="966" w:type="dxa"/>
                  <w:noWrap w:val="0"/>
                  <w:vAlign w:val="center"/>
                </w:tcPr>
                <w:p w14:paraId="7C35C874">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1523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60A02319">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7F26EBD2">
                  <w:pPr>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无氨室</w:t>
                  </w:r>
                </w:p>
              </w:tc>
              <w:tc>
                <w:tcPr>
                  <w:tcW w:w="5558" w:type="dxa"/>
                  <w:noWrap w:val="0"/>
                  <w:vAlign w:val="center"/>
                </w:tcPr>
                <w:p w14:paraId="2B2E3FD2">
                  <w:pPr>
                    <w:keepLines w:val="0"/>
                    <w:pageBreakBefore w:val="0"/>
                    <w:widowControl/>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val="0"/>
                      <w:bCs w:val="0"/>
                      <w:color w:val="auto"/>
                      <w:sz w:val="18"/>
                      <w:szCs w:val="18"/>
                      <w:vertAlign w:val="baseline"/>
                      <w:lang w:val="en-US" w:eastAsia="zh-CN"/>
                    </w:rPr>
                    <w:t>1间，建筑面积7.9m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42317143">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111FA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5D95949F">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675EC305">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准备室（两虫检测）</w:t>
                  </w:r>
                </w:p>
              </w:tc>
              <w:tc>
                <w:tcPr>
                  <w:tcW w:w="5558" w:type="dxa"/>
                  <w:noWrap w:val="0"/>
                  <w:vAlign w:val="center"/>
                </w:tcPr>
                <w:p w14:paraId="0282D994">
                  <w:pPr>
                    <w:pStyle w:val="48"/>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1间，建筑面积26.3m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15DA502D">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6AD4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6EA7F528">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59028EE4">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更衣室</w:t>
                  </w:r>
                </w:p>
              </w:tc>
              <w:tc>
                <w:tcPr>
                  <w:tcW w:w="5558" w:type="dxa"/>
                  <w:noWrap w:val="0"/>
                  <w:vAlign w:val="center"/>
                </w:tcPr>
                <w:p w14:paraId="10FF4D77">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2.6</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777DAD38">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6E6E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24A63D5E">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7C04BA27">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无菌室缓冲间</w:t>
                  </w:r>
                </w:p>
              </w:tc>
              <w:tc>
                <w:tcPr>
                  <w:tcW w:w="5558" w:type="dxa"/>
                  <w:noWrap w:val="0"/>
                  <w:vAlign w:val="center"/>
                </w:tcPr>
                <w:p w14:paraId="4DD1A187">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2.7</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55F4C954">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43346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0DA8E347">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0B2DBA91">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无菌室</w:t>
                  </w:r>
                </w:p>
              </w:tc>
              <w:tc>
                <w:tcPr>
                  <w:tcW w:w="5558" w:type="dxa"/>
                  <w:noWrap w:val="0"/>
                  <w:vAlign w:val="center"/>
                </w:tcPr>
                <w:p w14:paraId="62511A7E">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15.8</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62DEE22F">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518F1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6DBEE7D1">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0CD42437">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培养室</w:t>
                  </w:r>
                </w:p>
              </w:tc>
              <w:tc>
                <w:tcPr>
                  <w:tcW w:w="5558" w:type="dxa"/>
                  <w:noWrap w:val="0"/>
                  <w:vAlign w:val="center"/>
                </w:tcPr>
                <w:p w14:paraId="013AF1D3">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10.4</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53EF47CC">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56E9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05886B92">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614A7526">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惰性气体室</w:t>
                  </w:r>
                </w:p>
              </w:tc>
              <w:tc>
                <w:tcPr>
                  <w:tcW w:w="5558" w:type="dxa"/>
                  <w:noWrap w:val="0"/>
                  <w:vAlign w:val="center"/>
                </w:tcPr>
                <w:p w14:paraId="25CC754D">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8.9</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7B464740">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2BA16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0E1CB3DF">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0604B20F">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可燃气体室</w:t>
                  </w:r>
                </w:p>
              </w:tc>
              <w:tc>
                <w:tcPr>
                  <w:tcW w:w="5558" w:type="dxa"/>
                  <w:noWrap w:val="0"/>
                  <w:vAlign w:val="center"/>
                </w:tcPr>
                <w:p w14:paraId="39287B55">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8.4</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0F142CEA">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48378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6BC1655D">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0DAC01E2">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小型仪器室</w:t>
                  </w:r>
                </w:p>
              </w:tc>
              <w:tc>
                <w:tcPr>
                  <w:tcW w:w="5558" w:type="dxa"/>
                  <w:noWrap w:val="0"/>
                  <w:vAlign w:val="center"/>
                </w:tcPr>
                <w:p w14:paraId="53E5C13E">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29.8</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2C7E7D80">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73C3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30919032">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11E533E2">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天平室缓冲间</w:t>
                  </w:r>
                </w:p>
              </w:tc>
              <w:tc>
                <w:tcPr>
                  <w:tcW w:w="5558" w:type="dxa"/>
                  <w:noWrap w:val="0"/>
                  <w:vAlign w:val="center"/>
                </w:tcPr>
                <w:p w14:paraId="3D3EBAA1">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3.9</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0B491503">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7790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48D9BC06">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53DD0435">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天平室</w:t>
                  </w:r>
                </w:p>
              </w:tc>
              <w:tc>
                <w:tcPr>
                  <w:tcW w:w="5558" w:type="dxa"/>
                  <w:noWrap w:val="0"/>
                  <w:vAlign w:val="center"/>
                </w:tcPr>
                <w:p w14:paraId="3456E618">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16.2</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6EE68DB1">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456B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6754556B">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751034C4">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高温室</w:t>
                  </w:r>
                </w:p>
              </w:tc>
              <w:tc>
                <w:tcPr>
                  <w:tcW w:w="5558" w:type="dxa"/>
                  <w:noWrap w:val="0"/>
                  <w:vAlign w:val="center"/>
                </w:tcPr>
                <w:p w14:paraId="1BC84A34">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17.5</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596B9C88">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130E2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2DBCB8E7">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2F4F00C5">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试剂室</w:t>
                  </w:r>
                </w:p>
              </w:tc>
              <w:tc>
                <w:tcPr>
                  <w:tcW w:w="5558" w:type="dxa"/>
                  <w:noWrap w:val="0"/>
                  <w:vAlign w:val="center"/>
                </w:tcPr>
                <w:p w14:paraId="55A003BF">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11.1</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7EFDF549">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33631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5112DF58">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4E180A49">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危化品室</w:t>
                  </w:r>
                </w:p>
              </w:tc>
              <w:tc>
                <w:tcPr>
                  <w:tcW w:w="5558" w:type="dxa"/>
                  <w:noWrap w:val="0"/>
                  <w:vAlign w:val="center"/>
                </w:tcPr>
                <w:p w14:paraId="017A587E">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10.5</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69AE1860">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0015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34E3B2F4">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28109CD8">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耗材仓库</w:t>
                  </w:r>
                </w:p>
              </w:tc>
              <w:tc>
                <w:tcPr>
                  <w:tcW w:w="5558" w:type="dxa"/>
                  <w:noWrap w:val="0"/>
                  <w:vAlign w:val="center"/>
                </w:tcPr>
                <w:p w14:paraId="4FAEE0C2">
                  <w:pPr>
                    <w:keepLines w:val="0"/>
                    <w:pageBreakBefore w:val="0"/>
                    <w:kinsoku/>
                    <w:wordWrap/>
                    <w:overflowPunct/>
                    <w:topLinePunct w:val="0"/>
                    <w:autoSpaceDE/>
                    <w:autoSpaceDN/>
                    <w:bidi w:val="0"/>
                    <w:adjustRightInd/>
                    <w:snapToGrid/>
                    <w:spacing w:line="360" w:lineRule="exact"/>
                    <w:ind w:firstLine="0" w:firstLineChars="0"/>
                    <w:jc w:val="both"/>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1间，建筑面积</w:t>
                  </w:r>
                  <w:r>
                    <w:rPr>
                      <w:rFonts w:hint="eastAsia" w:cs="Times New Roman"/>
                      <w:b w:val="0"/>
                      <w:bCs w:val="0"/>
                      <w:color w:val="auto"/>
                      <w:sz w:val="18"/>
                      <w:szCs w:val="18"/>
                      <w:vertAlign w:val="baseline"/>
                      <w:lang w:val="en-US" w:eastAsia="zh-CN"/>
                    </w:rPr>
                    <w:t>21.7</w:t>
                  </w:r>
                  <w:r>
                    <w:rPr>
                      <w:rFonts w:hint="default" w:ascii="Times New Roman" w:hAnsi="Times New Roman" w:eastAsia="宋体" w:cs="Times New Roman"/>
                      <w:b w:val="0"/>
                      <w:bCs w:val="0"/>
                      <w:color w:val="auto"/>
                      <w:sz w:val="18"/>
                      <w:szCs w:val="18"/>
                      <w:vertAlign w:val="baseline"/>
                      <w:lang w:val="en-US" w:eastAsia="zh-CN"/>
                    </w:rPr>
                    <w:t>m</w:t>
                  </w:r>
                  <w:r>
                    <w:rPr>
                      <w:rFonts w:hint="default" w:ascii="Times New Roman" w:hAnsi="Times New Roman" w:eastAsia="宋体" w:cs="Times New Roman"/>
                      <w:b w:val="0"/>
                      <w:bCs w:val="0"/>
                      <w:color w:val="auto"/>
                      <w:sz w:val="18"/>
                      <w:szCs w:val="18"/>
                      <w:vertAlign w:val="superscript"/>
                      <w:lang w:val="en-US" w:eastAsia="zh-CN"/>
                    </w:rPr>
                    <w:t>2</w:t>
                  </w:r>
                  <w:r>
                    <w:rPr>
                      <w:rFonts w:hint="default" w:ascii="Times New Roman" w:hAnsi="Times New Roman" w:eastAsia="宋体" w:cs="Times New Roman"/>
                      <w:b w:val="0"/>
                      <w:bCs w:val="0"/>
                      <w:color w:val="auto"/>
                      <w:sz w:val="18"/>
                      <w:szCs w:val="18"/>
                      <w:vertAlign w:val="baseline"/>
                      <w:lang w:val="en-US" w:eastAsia="zh-CN"/>
                    </w:rPr>
                    <w:t>，</w:t>
                  </w:r>
                  <w:r>
                    <w:rPr>
                      <w:rFonts w:hint="default" w:ascii="Times New Roman" w:hAnsi="Times New Roman" w:eastAsia="宋体" w:cs="Times New Roman"/>
                      <w:color w:val="auto"/>
                      <w:kern w:val="0"/>
                      <w:sz w:val="18"/>
                      <w:szCs w:val="18"/>
                    </w:rPr>
                    <w:t>单层</w:t>
                  </w:r>
                  <w:r>
                    <w:rPr>
                      <w:rFonts w:hint="default" w:ascii="Times New Roman" w:hAnsi="Times New Roman" w:eastAsia="宋体" w:cs="Times New Roman"/>
                      <w:bCs/>
                      <w:color w:val="auto"/>
                      <w:kern w:val="0"/>
                      <w:sz w:val="18"/>
                      <w:szCs w:val="18"/>
                    </w:rPr>
                    <w:t>框架结构</w:t>
                  </w:r>
                  <w:r>
                    <w:rPr>
                      <w:rFonts w:hint="default" w:ascii="Times New Roman" w:hAnsi="Times New Roman" w:eastAsia="宋体" w:cs="Times New Roman"/>
                      <w:i w:val="0"/>
                      <w:iCs w:val="0"/>
                      <w:caps w:val="0"/>
                      <w:color w:val="auto"/>
                      <w:spacing w:val="0"/>
                      <w:sz w:val="18"/>
                      <w:szCs w:val="18"/>
                      <w:shd w:val="clear" w:fill="FFFFFF"/>
                      <w:lang w:eastAsia="zh-CN"/>
                    </w:rPr>
                    <w:t>。</w:t>
                  </w:r>
                </w:p>
              </w:tc>
              <w:tc>
                <w:tcPr>
                  <w:tcW w:w="966" w:type="dxa"/>
                  <w:noWrap w:val="0"/>
                  <w:vAlign w:val="center"/>
                </w:tcPr>
                <w:p w14:paraId="75294E86">
                  <w:pPr>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049F3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restart"/>
                  <w:noWrap w:val="0"/>
                  <w:vAlign w:val="center"/>
                </w:tcPr>
                <w:p w14:paraId="54724F55">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r>
                    <w:rPr>
                      <w:rFonts w:hint="default" w:ascii="Times New Roman" w:hAnsi="Times New Roman" w:eastAsia="宋体" w:cs="Times New Roman"/>
                      <w:b/>
                      <w:color w:val="auto"/>
                      <w:sz w:val="18"/>
                      <w:szCs w:val="18"/>
                      <w:vertAlign w:val="baseline"/>
                      <w:lang w:val="en-US" w:eastAsia="zh-CN"/>
                    </w:rPr>
                    <w:t>公用工程</w:t>
                  </w:r>
                </w:p>
              </w:tc>
              <w:tc>
                <w:tcPr>
                  <w:tcW w:w="1336" w:type="dxa"/>
                  <w:noWrap w:val="0"/>
                  <w:vAlign w:val="center"/>
                </w:tcPr>
                <w:p w14:paraId="07DDE8F7">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给水</w:t>
                  </w:r>
                </w:p>
              </w:tc>
              <w:tc>
                <w:tcPr>
                  <w:tcW w:w="5558" w:type="dxa"/>
                  <w:noWrap w:val="0"/>
                  <w:vAlign w:val="center"/>
                </w:tcPr>
                <w:p w14:paraId="0DB05446">
                  <w:pPr>
                    <w:keepLines w:val="0"/>
                    <w:pageBreakBefore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b/>
                      <w:color w:val="auto"/>
                      <w:sz w:val="18"/>
                      <w:szCs w:val="18"/>
                      <w:vertAlign w:val="baseline"/>
                      <w:lang w:val="en-US" w:eastAsia="zh-CN"/>
                    </w:rPr>
                  </w:pPr>
                  <w:r>
                    <w:rPr>
                      <w:rFonts w:hint="default" w:ascii="Times New Roman" w:hAnsi="Times New Roman" w:eastAsia="宋体" w:cs="Times New Roman"/>
                      <w:color w:val="auto"/>
                      <w:sz w:val="18"/>
                      <w:szCs w:val="18"/>
                    </w:rPr>
                    <w:t>由所在区域市政供水管网供给。</w:t>
                  </w:r>
                </w:p>
              </w:tc>
              <w:tc>
                <w:tcPr>
                  <w:tcW w:w="966" w:type="dxa"/>
                  <w:noWrap w:val="0"/>
                  <w:vAlign w:val="center"/>
                </w:tcPr>
                <w:p w14:paraId="58A7ACF5">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74061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5A59E7F5">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00698178">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排水</w:t>
                  </w:r>
                </w:p>
              </w:tc>
              <w:tc>
                <w:tcPr>
                  <w:tcW w:w="5558" w:type="dxa"/>
                  <w:noWrap w:val="0"/>
                  <w:vAlign w:val="center"/>
                </w:tcPr>
                <w:p w14:paraId="517D41F0">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both"/>
                    <w:textAlignment w:val="auto"/>
                    <w:outlineLvl w:val="9"/>
                    <w:rPr>
                      <w:rFonts w:hint="default" w:ascii="Times New Roman" w:hAnsi="Times New Roman" w:eastAsia="宋体" w:cs="Times New Roman"/>
                      <w:b/>
                      <w:color w:val="auto"/>
                      <w:sz w:val="18"/>
                      <w:szCs w:val="18"/>
                      <w:vertAlign w:val="baseline"/>
                      <w:lang w:val="en-US" w:eastAsia="zh-CN"/>
                    </w:rPr>
                  </w:pPr>
                  <w:r>
                    <w:rPr>
                      <w:rFonts w:hint="default" w:ascii="Times New Roman" w:hAnsi="Times New Roman" w:eastAsia="宋体" w:cs="Times New Roman"/>
                      <w:color w:val="auto"/>
                      <w:kern w:val="0"/>
                      <w:sz w:val="18"/>
                      <w:szCs w:val="18"/>
                    </w:rPr>
                    <w:t>项目排水采用雨污分流制，</w:t>
                  </w:r>
                  <w:r>
                    <w:rPr>
                      <w:rFonts w:hint="eastAsia" w:ascii="Times New Roman" w:hAnsi="Times New Roman" w:eastAsia="宋体" w:cs="Times New Roman"/>
                      <w:color w:val="auto"/>
                      <w:kern w:val="0"/>
                      <w:sz w:val="18"/>
                      <w:szCs w:val="18"/>
                      <w:lang w:val="en-US" w:eastAsia="zh-CN"/>
                    </w:rPr>
                    <w:t>项目办公人员生活污水</w:t>
                  </w:r>
                  <w:r>
                    <w:rPr>
                      <w:rFonts w:hint="eastAsia" w:ascii="Times New Roman" w:hAnsi="Times New Roman" w:cs="Times New Roman"/>
                      <w:color w:val="auto"/>
                      <w:kern w:val="0"/>
                      <w:sz w:val="18"/>
                      <w:szCs w:val="18"/>
                      <w:lang w:val="en-US" w:eastAsia="zh-CN"/>
                    </w:rPr>
                    <w:t>、地面清洁废水</w:t>
                  </w:r>
                  <w:r>
                    <w:rPr>
                      <w:rFonts w:hint="eastAsia" w:ascii="Times New Roman" w:hAnsi="Times New Roman" w:eastAsia="宋体" w:cs="Times New Roman"/>
                      <w:color w:val="auto"/>
                      <w:kern w:val="0"/>
                      <w:sz w:val="18"/>
                      <w:szCs w:val="18"/>
                      <w:lang w:val="en-US" w:eastAsia="zh-CN"/>
                    </w:rPr>
                    <w:t>依托云南水投牛栏江滇池补水工程有限公司现有污水收集管网及化粪池；</w:t>
                  </w:r>
                  <w:r>
                    <w:rPr>
                      <w:rFonts w:hint="eastAsia" w:ascii="Times New Roman" w:hAnsi="Times New Roman" w:cs="Times New Roman"/>
                      <w:color w:val="auto"/>
                      <w:kern w:val="0"/>
                      <w:sz w:val="18"/>
                      <w:szCs w:val="18"/>
                      <w:lang w:val="en-US" w:eastAsia="zh-CN"/>
                    </w:rPr>
                    <w:t>实验器皿后续清洗废水、纯水制备浓水</w:t>
                  </w:r>
                  <w:r>
                    <w:rPr>
                      <w:rFonts w:hint="eastAsia" w:ascii="Times New Roman" w:hAnsi="Times New Roman" w:eastAsia="宋体" w:cs="Times New Roman"/>
                      <w:color w:val="auto"/>
                      <w:kern w:val="0"/>
                      <w:sz w:val="18"/>
                      <w:szCs w:val="18"/>
                      <w:lang w:val="en-US" w:eastAsia="zh-CN"/>
                    </w:rPr>
                    <w:t>经新建的</w:t>
                  </w:r>
                  <w:r>
                    <w:rPr>
                      <w:rFonts w:hint="eastAsia" w:ascii="Times New Roman" w:hAnsi="Times New Roman" w:cs="Times New Roman"/>
                      <w:color w:val="auto"/>
                      <w:kern w:val="0"/>
                      <w:sz w:val="18"/>
                      <w:szCs w:val="18"/>
                      <w:lang w:val="en-US" w:eastAsia="zh-CN"/>
                    </w:rPr>
                    <w:t>中和沉淀池</w:t>
                  </w:r>
                  <w:r>
                    <w:rPr>
                      <w:rFonts w:hint="eastAsia" w:ascii="Times New Roman" w:hAnsi="Times New Roman" w:eastAsia="宋体" w:cs="Times New Roman"/>
                      <w:color w:val="auto"/>
                      <w:kern w:val="0"/>
                      <w:sz w:val="18"/>
                      <w:szCs w:val="18"/>
                      <w:lang w:val="en-US" w:eastAsia="zh-CN"/>
                    </w:rPr>
                    <w:t>处理达标后</w:t>
                  </w:r>
                  <w:r>
                    <w:rPr>
                      <w:rFonts w:hint="default" w:ascii="Times New Roman" w:hAnsi="Times New Roman" w:eastAsia="宋体" w:cs="Times New Roman"/>
                      <w:color w:val="auto"/>
                      <w:sz w:val="18"/>
                      <w:szCs w:val="18"/>
                      <w:highlight w:val="none"/>
                      <w:lang w:val="en-US" w:eastAsia="zh-CN"/>
                    </w:rPr>
                    <w:t>排入</w:t>
                  </w:r>
                  <w:r>
                    <w:rPr>
                      <w:rFonts w:hint="eastAsia" w:ascii="Times New Roman" w:hAnsi="Times New Roman" w:cs="Times New Roman"/>
                      <w:color w:val="auto"/>
                      <w:sz w:val="18"/>
                      <w:szCs w:val="18"/>
                      <w:highlight w:val="none"/>
                      <w:lang w:val="en-US" w:eastAsia="zh-CN"/>
                    </w:rPr>
                    <w:t>周边市政管网，最终进入</w:t>
                  </w:r>
                  <w:r>
                    <w:rPr>
                      <w:rFonts w:hint="eastAsia" w:ascii="Times New Roman" w:hAnsi="Times New Roman" w:cs="Times New Roman"/>
                      <w:color w:val="auto"/>
                      <w:sz w:val="18"/>
                      <w:szCs w:val="18"/>
                      <w:lang w:eastAsia="zh-CN"/>
                    </w:rPr>
                    <w:t>昆明市第十四水质净化厂</w:t>
                  </w:r>
                  <w:r>
                    <w:rPr>
                      <w:rFonts w:hint="default" w:ascii="Times New Roman" w:hAnsi="Times New Roman" w:eastAsia="宋体" w:cs="Times New Roman"/>
                      <w:color w:val="auto"/>
                      <w:sz w:val="18"/>
                      <w:szCs w:val="18"/>
                      <w:highlight w:val="none"/>
                    </w:rPr>
                    <w:t>。</w:t>
                  </w:r>
                </w:p>
              </w:tc>
              <w:tc>
                <w:tcPr>
                  <w:tcW w:w="966" w:type="dxa"/>
                  <w:noWrap w:val="0"/>
                  <w:vAlign w:val="center"/>
                </w:tcPr>
                <w:p w14:paraId="0C63D310">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r>
                    <w:rPr>
                      <w:rFonts w:hint="eastAsia" w:ascii="Times New Roman" w:hAnsi="Times New Roman" w:cs="Times New Roman"/>
                      <w:b w:val="0"/>
                      <w:bCs w:val="0"/>
                      <w:color w:val="auto"/>
                      <w:sz w:val="18"/>
                      <w:szCs w:val="18"/>
                      <w:vertAlign w:val="baseline"/>
                      <w:lang w:val="en-US" w:eastAsia="zh-CN"/>
                    </w:rPr>
                    <w:t>+依托</w:t>
                  </w:r>
                </w:p>
              </w:tc>
            </w:tr>
            <w:tr w14:paraId="5F2A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672765AE">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18BA6AC9">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供电</w:t>
                  </w:r>
                </w:p>
              </w:tc>
              <w:tc>
                <w:tcPr>
                  <w:tcW w:w="5558" w:type="dxa"/>
                  <w:noWrap w:val="0"/>
                  <w:vAlign w:val="center"/>
                </w:tcPr>
                <w:p w14:paraId="0DD7F22C">
                  <w:pPr>
                    <w:keepLines w:val="0"/>
                    <w:pageBreakBefore w:val="0"/>
                    <w:kinsoku/>
                    <w:wordWrap/>
                    <w:overflowPunct/>
                    <w:topLinePunct w:val="0"/>
                    <w:autoSpaceDE/>
                    <w:autoSpaceDN/>
                    <w:bidi w:val="0"/>
                    <w:adjustRightInd/>
                    <w:snapToGrid/>
                    <w:spacing w:line="360" w:lineRule="exact"/>
                    <w:textAlignment w:val="auto"/>
                    <w:outlineLvl w:val="9"/>
                    <w:rPr>
                      <w:rFonts w:hint="default" w:ascii="Times New Roman" w:hAnsi="Times New Roman" w:eastAsia="宋体" w:cs="Times New Roman"/>
                      <w:b/>
                      <w:color w:val="auto"/>
                      <w:sz w:val="18"/>
                      <w:szCs w:val="18"/>
                      <w:vertAlign w:val="baseline"/>
                      <w:lang w:val="en-US" w:eastAsia="zh-CN"/>
                    </w:rPr>
                  </w:pPr>
                  <w:r>
                    <w:rPr>
                      <w:rFonts w:hint="eastAsia" w:ascii="Times New Roman" w:hAnsi="Times New Roman" w:eastAsia="宋体" w:cs="Times New Roman"/>
                      <w:color w:val="auto"/>
                      <w:sz w:val="18"/>
                      <w:szCs w:val="18"/>
                      <w:lang w:val="en-US" w:eastAsia="zh-CN"/>
                    </w:rPr>
                    <w:t>由所在区域市政电网供给。</w:t>
                  </w:r>
                </w:p>
              </w:tc>
              <w:tc>
                <w:tcPr>
                  <w:tcW w:w="966" w:type="dxa"/>
                  <w:noWrap w:val="0"/>
                  <w:vAlign w:val="center"/>
                </w:tcPr>
                <w:p w14:paraId="54B5E983">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val="0"/>
                      <w:color w:val="auto"/>
                      <w:sz w:val="18"/>
                      <w:szCs w:val="18"/>
                      <w:vertAlign w:val="baseline"/>
                      <w:lang w:val="en-US" w:eastAsia="zh-CN"/>
                    </w:rPr>
                    <w:t>新建</w:t>
                  </w:r>
                </w:p>
              </w:tc>
            </w:tr>
            <w:tr w14:paraId="4081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restart"/>
                  <w:noWrap w:val="0"/>
                  <w:vAlign w:val="center"/>
                </w:tcPr>
                <w:p w14:paraId="7E120CDE">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r>
                    <w:rPr>
                      <w:rFonts w:hint="default" w:ascii="Times New Roman" w:hAnsi="Times New Roman" w:eastAsia="宋体" w:cs="Times New Roman"/>
                      <w:b/>
                      <w:color w:val="auto"/>
                      <w:sz w:val="18"/>
                      <w:szCs w:val="18"/>
                      <w:vertAlign w:val="baseline"/>
                      <w:lang w:val="en-US" w:eastAsia="zh-CN"/>
                    </w:rPr>
                    <w:t>环保工程</w:t>
                  </w:r>
                </w:p>
              </w:tc>
              <w:tc>
                <w:tcPr>
                  <w:tcW w:w="1336" w:type="dxa"/>
                  <w:noWrap w:val="0"/>
                  <w:vAlign w:val="center"/>
                </w:tcPr>
                <w:p w14:paraId="3E4EC059">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废气防治措施</w:t>
                  </w:r>
                </w:p>
              </w:tc>
              <w:tc>
                <w:tcPr>
                  <w:tcW w:w="5558" w:type="dxa"/>
                  <w:shd w:val="clear" w:color="auto" w:fill="auto"/>
                  <w:noWrap w:val="0"/>
                  <w:vAlign w:val="center"/>
                </w:tcPr>
                <w:p w14:paraId="6DC37630">
                  <w:pPr>
                    <w:keepNext w:val="0"/>
                    <w:keepLines w:val="0"/>
                    <w:pageBreakBefore w:val="0"/>
                    <w:widowControl w:val="0"/>
                    <w:kinsoku/>
                    <w:wordWrap/>
                    <w:overflowPunct/>
                    <w:topLinePunct/>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①无机实验室设置吸</w:t>
                  </w:r>
                  <w:r>
                    <w:rPr>
                      <w:rFonts w:hint="eastAsia" w:cs="Times New Roman"/>
                      <w:color w:val="auto"/>
                      <w:sz w:val="18"/>
                      <w:szCs w:val="18"/>
                      <w:lang w:val="en-US" w:eastAsia="zh-CN"/>
                    </w:rPr>
                    <w:t>通风橱、集气罩</w:t>
                  </w:r>
                  <w:r>
                    <w:rPr>
                      <w:rFonts w:hint="default" w:ascii="Times New Roman" w:hAnsi="Times New Roman" w:eastAsia="宋体" w:cs="Times New Roman"/>
                      <w:color w:val="auto"/>
                      <w:sz w:val="18"/>
                      <w:szCs w:val="18"/>
                      <w:lang w:val="en-US" w:eastAsia="zh-CN"/>
                    </w:rPr>
                    <w:t>用于收集</w:t>
                  </w:r>
                  <w:r>
                    <w:rPr>
                      <w:rFonts w:hint="eastAsia" w:cs="Times New Roman"/>
                      <w:color w:val="auto"/>
                      <w:sz w:val="18"/>
                      <w:szCs w:val="18"/>
                      <w:lang w:val="en-US" w:eastAsia="zh-CN"/>
                    </w:rPr>
                    <w:t>无机</w:t>
                  </w:r>
                  <w:r>
                    <w:rPr>
                      <w:rFonts w:hint="default" w:ascii="Times New Roman" w:hAnsi="Times New Roman" w:eastAsia="宋体" w:cs="Times New Roman"/>
                      <w:color w:val="auto"/>
                      <w:sz w:val="18"/>
                      <w:szCs w:val="18"/>
                      <w:lang w:val="en-US" w:eastAsia="zh-CN"/>
                    </w:rPr>
                    <w:t>废气，由引风机引至</w:t>
                  </w:r>
                  <w:r>
                    <w:rPr>
                      <w:rFonts w:hint="eastAsia" w:cs="Times New Roman"/>
                      <w:color w:val="auto"/>
                      <w:sz w:val="18"/>
                      <w:szCs w:val="18"/>
                      <w:lang w:val="en-US" w:eastAsia="zh-CN"/>
                    </w:rPr>
                    <w:t>碱液喷淋</w:t>
                  </w:r>
                  <w:r>
                    <w:rPr>
                      <w:rFonts w:hint="default" w:ascii="Times New Roman" w:hAnsi="Times New Roman" w:eastAsia="宋体" w:cs="Times New Roman"/>
                      <w:color w:val="auto"/>
                      <w:sz w:val="18"/>
                      <w:szCs w:val="18"/>
                      <w:lang w:val="en-US" w:eastAsia="zh-CN"/>
                    </w:rPr>
                    <w:t>装置处理。</w:t>
                  </w:r>
                </w:p>
                <w:p w14:paraId="4D833736">
                  <w:pPr>
                    <w:keepNext w:val="0"/>
                    <w:keepLines w:val="0"/>
                    <w:pageBreakBefore w:val="0"/>
                    <w:widowControl w:val="0"/>
                    <w:kinsoku/>
                    <w:wordWrap/>
                    <w:overflowPunct/>
                    <w:topLinePunct/>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②有机实验室内设有通风橱与吸风罩收集有机废气，由引风机</w:t>
                  </w:r>
                  <w:r>
                    <w:rPr>
                      <w:rFonts w:hint="eastAsia" w:cs="Times New Roman"/>
                      <w:color w:val="auto"/>
                      <w:sz w:val="18"/>
                      <w:szCs w:val="18"/>
                      <w:lang w:val="en-US" w:eastAsia="zh-CN"/>
                    </w:rPr>
                    <w:t>引至三级活性炭</w:t>
                  </w:r>
                  <w:r>
                    <w:rPr>
                      <w:rFonts w:hint="default" w:ascii="Times New Roman" w:hAnsi="Times New Roman" w:eastAsia="宋体" w:cs="Times New Roman"/>
                      <w:color w:val="auto"/>
                      <w:sz w:val="18"/>
                      <w:szCs w:val="18"/>
                      <w:lang w:val="en-US" w:eastAsia="zh-CN"/>
                    </w:rPr>
                    <w:t>吸附处理。</w:t>
                  </w:r>
                </w:p>
                <w:p w14:paraId="031A8043">
                  <w:pPr>
                    <w:keepNext w:val="0"/>
                    <w:keepLines w:val="0"/>
                    <w:pageBreakBefore w:val="0"/>
                    <w:widowControl w:val="0"/>
                    <w:kinsoku/>
                    <w:wordWrap/>
                    <w:overflowPunct/>
                    <w:topLinePunct/>
                    <w:autoSpaceDE/>
                    <w:autoSpaceDN/>
                    <w:bidi w:val="0"/>
                    <w:adjustRightInd/>
                    <w:snapToGrid/>
                    <w:spacing w:line="240" w:lineRule="auto"/>
                    <w:ind w:firstLine="0" w:firstLineChars="0"/>
                    <w:jc w:val="left"/>
                    <w:textAlignment w:val="auto"/>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lang w:val="en-US" w:eastAsia="zh-CN"/>
                    </w:rPr>
                    <w:t>③上述废气通过</w:t>
                  </w:r>
                  <w:r>
                    <w:rPr>
                      <w:rFonts w:hint="eastAsia" w:ascii="Times New Roman" w:hAnsi="Times New Roman" w:eastAsia="宋体" w:cs="Times New Roman"/>
                      <w:color w:val="auto"/>
                      <w:sz w:val="18"/>
                      <w:szCs w:val="18"/>
                      <w:lang w:val="en-US" w:eastAsia="zh-CN"/>
                    </w:rPr>
                    <w:t>15m高的</w:t>
                  </w:r>
                  <w:r>
                    <w:rPr>
                      <w:rFonts w:hint="default" w:ascii="Times New Roman" w:hAnsi="Times New Roman" w:eastAsia="宋体" w:cs="Times New Roman"/>
                      <w:color w:val="auto"/>
                      <w:sz w:val="18"/>
                      <w:szCs w:val="18"/>
                      <w:highlight w:val="none"/>
                      <w:lang w:val="en-US" w:eastAsia="zh-CN"/>
                    </w:rPr>
                    <w:t>DA001</w:t>
                  </w:r>
                  <w:r>
                    <w:rPr>
                      <w:rFonts w:hint="eastAsia" w:ascii="Times New Roman" w:hAnsi="Times New Roman" w:eastAsia="宋体" w:cs="Times New Roman"/>
                      <w:color w:val="auto"/>
                      <w:sz w:val="18"/>
                      <w:szCs w:val="18"/>
                      <w:highlight w:val="none"/>
                      <w:lang w:val="en-US" w:eastAsia="zh-CN"/>
                    </w:rPr>
                    <w:t>排气筒排放</w:t>
                  </w:r>
                  <w:r>
                    <w:rPr>
                      <w:rFonts w:hint="default" w:ascii="Times New Roman" w:hAnsi="Times New Roman" w:eastAsia="宋体" w:cs="Times New Roman"/>
                      <w:color w:val="auto"/>
                      <w:sz w:val="18"/>
                      <w:szCs w:val="18"/>
                      <w:lang w:val="en-US" w:eastAsia="zh-CN"/>
                    </w:rPr>
                    <w:t>。</w:t>
                  </w:r>
                </w:p>
              </w:tc>
              <w:tc>
                <w:tcPr>
                  <w:tcW w:w="966" w:type="dxa"/>
                  <w:noWrap w:val="0"/>
                  <w:vAlign w:val="center"/>
                </w:tcPr>
                <w:p w14:paraId="1764B8D1">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新建</w:t>
                  </w:r>
                </w:p>
              </w:tc>
            </w:tr>
            <w:tr w14:paraId="220BA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71B4C369">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5E130FC6">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废水防治措施</w:t>
                  </w:r>
                </w:p>
              </w:tc>
              <w:tc>
                <w:tcPr>
                  <w:tcW w:w="5558" w:type="dxa"/>
                  <w:noWrap w:val="0"/>
                  <w:vAlign w:val="center"/>
                </w:tcPr>
                <w:p w14:paraId="71D67603">
                  <w:pPr>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r>
                    <w:rPr>
                      <w:rFonts w:hint="eastAsia" w:ascii="Times New Roman" w:hAnsi="Times New Roman" w:eastAsia="宋体" w:cs="Times New Roman"/>
                      <w:color w:val="auto"/>
                      <w:sz w:val="18"/>
                      <w:szCs w:val="18"/>
                      <w:lang w:val="en-US" w:eastAsia="zh-CN"/>
                    </w:rPr>
                    <w:t>1个中和池，有效容积</w:t>
                  </w:r>
                  <w:r>
                    <w:rPr>
                      <w:rFonts w:hint="eastAsia" w:cs="Times New Roman"/>
                      <w:color w:val="auto"/>
                      <w:sz w:val="18"/>
                      <w:szCs w:val="18"/>
                      <w:lang w:val="en-US" w:eastAsia="zh-CN"/>
                    </w:rPr>
                    <w:t>1.</w:t>
                  </w:r>
                  <w:r>
                    <w:rPr>
                      <w:rFonts w:hint="eastAsia" w:ascii="Times New Roman" w:hAnsi="Times New Roman" w:eastAsia="宋体" w:cs="Times New Roman"/>
                      <w:color w:val="auto"/>
                      <w:sz w:val="18"/>
                      <w:szCs w:val="18"/>
                      <w:lang w:val="en-US" w:eastAsia="zh-CN"/>
                    </w:rPr>
                    <w:t>5m</w:t>
                  </w:r>
                  <w:r>
                    <w:rPr>
                      <w:rFonts w:hint="eastAsia" w:ascii="Times New Roman" w:hAnsi="Times New Roman" w:eastAsia="宋体" w:cs="Times New Roman"/>
                      <w:color w:val="auto"/>
                      <w:sz w:val="18"/>
                      <w:szCs w:val="18"/>
                      <w:vertAlign w:val="superscript"/>
                      <w:lang w:val="en-US" w:eastAsia="zh-CN"/>
                    </w:rPr>
                    <w:t>3</w:t>
                  </w:r>
                </w:p>
              </w:tc>
              <w:tc>
                <w:tcPr>
                  <w:tcW w:w="966" w:type="dxa"/>
                  <w:noWrap w:val="0"/>
                  <w:vAlign w:val="center"/>
                </w:tcPr>
                <w:p w14:paraId="5017172B">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新建</w:t>
                  </w:r>
                </w:p>
              </w:tc>
            </w:tr>
            <w:tr w14:paraId="1E929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0FA5426E">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74288D6D">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r>
                    <w:rPr>
                      <w:rFonts w:hint="default" w:ascii="Times New Roman" w:hAnsi="Times New Roman" w:eastAsia="宋体" w:cs="Times New Roman"/>
                      <w:color w:val="auto"/>
                      <w:sz w:val="18"/>
                      <w:szCs w:val="18"/>
                    </w:rPr>
                    <w:t>噪声防治措施</w:t>
                  </w:r>
                </w:p>
              </w:tc>
              <w:tc>
                <w:tcPr>
                  <w:tcW w:w="5558" w:type="dxa"/>
                  <w:noWrap w:val="0"/>
                  <w:vAlign w:val="center"/>
                </w:tcPr>
                <w:p w14:paraId="05142F5D">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outlineLvl w:val="9"/>
                    <w:rPr>
                      <w:rFonts w:hint="default" w:ascii="Times New Roman" w:hAnsi="Times New Roman" w:eastAsia="宋体" w:cs="Times New Roman"/>
                      <w:b/>
                      <w:color w:val="auto"/>
                      <w:sz w:val="18"/>
                      <w:szCs w:val="18"/>
                      <w:vertAlign w:val="baseline"/>
                      <w:lang w:val="en-US" w:eastAsia="zh-CN"/>
                    </w:rPr>
                  </w:pPr>
                  <w:r>
                    <w:rPr>
                      <w:rFonts w:hint="default" w:ascii="Times New Roman" w:hAnsi="Times New Roman" w:eastAsia="宋体" w:cs="Times New Roman"/>
                      <w:color w:val="auto"/>
                      <w:sz w:val="18"/>
                      <w:szCs w:val="18"/>
                      <w:highlight w:val="none"/>
                    </w:rPr>
                    <w:t>在设备选型上尽量选用低噪声设备；加强设备维护定期检修，保持设备运行正常；对高噪声设备加装减震垫，风机安装减震垫及消声器，厂房隔声降噪等措施。</w:t>
                  </w:r>
                </w:p>
              </w:tc>
              <w:tc>
                <w:tcPr>
                  <w:tcW w:w="966" w:type="dxa"/>
                  <w:noWrap w:val="0"/>
                  <w:vAlign w:val="center"/>
                </w:tcPr>
                <w:p w14:paraId="306C1EC6">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新建</w:t>
                  </w:r>
                </w:p>
              </w:tc>
            </w:tr>
            <w:tr w14:paraId="2913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50EA713F">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noWrap w:val="0"/>
                  <w:vAlign w:val="center"/>
                </w:tcPr>
                <w:p w14:paraId="313E5885">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固废收集</w:t>
                  </w:r>
                  <w:r>
                    <w:rPr>
                      <w:rFonts w:hint="default" w:ascii="Times New Roman" w:hAnsi="Times New Roman" w:eastAsia="宋体" w:cs="Times New Roman"/>
                      <w:color w:val="auto"/>
                      <w:sz w:val="18"/>
                      <w:szCs w:val="18"/>
                      <w:lang w:val="en-US" w:eastAsia="zh-CN"/>
                    </w:rPr>
                    <w:t>措施</w:t>
                  </w:r>
                </w:p>
              </w:tc>
              <w:tc>
                <w:tcPr>
                  <w:tcW w:w="5558" w:type="dxa"/>
                  <w:noWrap w:val="0"/>
                  <w:vAlign w:val="center"/>
                </w:tcPr>
                <w:p w14:paraId="1FA82EA0">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设置若干垃圾桶，生活垃圾经垃圾桶收集后，委托环卫部门清运处置</w:t>
                  </w:r>
                </w:p>
              </w:tc>
              <w:tc>
                <w:tcPr>
                  <w:tcW w:w="966" w:type="dxa"/>
                  <w:noWrap w:val="0"/>
                  <w:vAlign w:val="center"/>
                </w:tcPr>
                <w:p w14:paraId="7F23E8DD">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新建</w:t>
                  </w:r>
                </w:p>
              </w:tc>
            </w:tr>
            <w:tr w14:paraId="11CE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4FD2AEC5">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vMerge w:val="restart"/>
                  <w:noWrap w:val="0"/>
                  <w:vAlign w:val="center"/>
                </w:tcPr>
                <w:p w14:paraId="10FCBA5A">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危险废物收集暂存措施</w:t>
                  </w:r>
                </w:p>
              </w:tc>
              <w:tc>
                <w:tcPr>
                  <w:tcW w:w="5558" w:type="dxa"/>
                  <w:noWrap w:val="0"/>
                  <w:vAlign w:val="center"/>
                </w:tcPr>
                <w:p w14:paraId="4F97E0B6">
                  <w:pPr>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拟设置8个实验废液收集桶，设于各检测室内，用于收集</w:t>
                  </w:r>
                  <w:r>
                    <w:rPr>
                      <w:rFonts w:hint="default" w:ascii="Times New Roman" w:hAnsi="Times New Roman" w:eastAsia="宋体" w:cs="Times New Roman"/>
                      <w:color w:val="auto"/>
                      <w:spacing w:val="3"/>
                      <w:kern w:val="0"/>
                      <w:sz w:val="18"/>
                      <w:szCs w:val="18"/>
                    </w:rPr>
                    <w:t>实验过程产生的废液及器皿第一次、第二次清洗废水、涉及重金属废液、涉及有毒有害的废液及其全部清洗废水等。</w:t>
                  </w:r>
                </w:p>
              </w:tc>
              <w:tc>
                <w:tcPr>
                  <w:tcW w:w="966" w:type="dxa"/>
                  <w:noWrap w:val="0"/>
                  <w:vAlign w:val="center"/>
                </w:tcPr>
                <w:p w14:paraId="37A3ED9B">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新建</w:t>
                  </w:r>
                </w:p>
              </w:tc>
            </w:tr>
            <w:tr w14:paraId="17DC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 w:type="dxa"/>
                  <w:vMerge w:val="continue"/>
                  <w:noWrap w:val="0"/>
                  <w:vAlign w:val="center"/>
                </w:tcPr>
                <w:p w14:paraId="04D83DAD">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color w:val="auto"/>
                      <w:sz w:val="18"/>
                      <w:szCs w:val="18"/>
                      <w:vertAlign w:val="baseline"/>
                      <w:lang w:val="en-US" w:eastAsia="zh-CN"/>
                    </w:rPr>
                  </w:pPr>
                </w:p>
              </w:tc>
              <w:tc>
                <w:tcPr>
                  <w:tcW w:w="1336" w:type="dxa"/>
                  <w:vMerge w:val="continue"/>
                  <w:noWrap w:val="0"/>
                  <w:vAlign w:val="center"/>
                </w:tcPr>
                <w:p w14:paraId="1562422D">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p>
              </w:tc>
              <w:tc>
                <w:tcPr>
                  <w:tcW w:w="5558" w:type="dxa"/>
                  <w:noWrap w:val="0"/>
                  <w:vAlign w:val="center"/>
                </w:tcPr>
                <w:p w14:paraId="282A0D3A">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新建一间危废</w:t>
                  </w:r>
                  <w:r>
                    <w:rPr>
                      <w:rFonts w:hint="eastAsia" w:ascii="Times New Roman" w:hAnsi="Times New Roman" w:eastAsia="宋体" w:cs="Times New Roman"/>
                      <w:b w:val="0"/>
                      <w:bCs/>
                      <w:color w:val="auto"/>
                      <w:sz w:val="18"/>
                      <w:szCs w:val="18"/>
                      <w:vertAlign w:val="baseline"/>
                      <w:lang w:val="en-US" w:eastAsia="zh-CN"/>
                    </w:rPr>
                    <w:t>暂存间</w:t>
                  </w:r>
                  <w:r>
                    <w:rPr>
                      <w:rFonts w:hint="default" w:ascii="Times New Roman" w:hAnsi="Times New Roman" w:eastAsia="宋体" w:cs="Times New Roman"/>
                      <w:b w:val="0"/>
                      <w:bCs/>
                      <w:color w:val="auto"/>
                      <w:sz w:val="18"/>
                      <w:szCs w:val="18"/>
                      <w:vertAlign w:val="baseline"/>
                      <w:lang w:val="en-US" w:eastAsia="zh-CN"/>
                    </w:rPr>
                    <w:t>，面积为</w:t>
                  </w:r>
                  <w:r>
                    <w:rPr>
                      <w:rFonts w:hint="eastAsia" w:ascii="Times New Roman" w:hAnsi="Times New Roman" w:eastAsia="宋体" w:cs="Times New Roman"/>
                      <w:b w:val="0"/>
                      <w:bCs/>
                      <w:color w:val="auto"/>
                      <w:sz w:val="18"/>
                      <w:szCs w:val="18"/>
                      <w:vertAlign w:val="baseline"/>
                      <w:lang w:val="en-US" w:eastAsia="zh-CN"/>
                    </w:rPr>
                    <w:t>8.9</w:t>
                  </w:r>
                  <w:r>
                    <w:rPr>
                      <w:rFonts w:hint="default" w:ascii="Times New Roman" w:hAnsi="Times New Roman" w:eastAsia="宋体" w:cs="Times New Roman"/>
                      <w:b w:val="0"/>
                      <w:bCs/>
                      <w:color w:val="auto"/>
                      <w:sz w:val="18"/>
                      <w:szCs w:val="18"/>
                      <w:vertAlign w:val="baseline"/>
                      <w:lang w:val="en-US" w:eastAsia="zh-CN"/>
                    </w:rPr>
                    <w:t>m</w:t>
                  </w:r>
                  <w:r>
                    <w:rPr>
                      <w:rFonts w:hint="default" w:ascii="Times New Roman" w:hAnsi="Times New Roman" w:eastAsia="宋体" w:cs="Times New Roman"/>
                      <w:b w:val="0"/>
                      <w:bCs/>
                      <w:color w:val="auto"/>
                      <w:sz w:val="18"/>
                      <w:szCs w:val="18"/>
                      <w:vertAlign w:val="superscript"/>
                      <w:lang w:val="en-US" w:eastAsia="zh-CN"/>
                    </w:rPr>
                    <w:t>2</w:t>
                  </w:r>
                  <w:r>
                    <w:rPr>
                      <w:rFonts w:hint="default" w:ascii="Times New Roman" w:hAnsi="Times New Roman" w:eastAsia="宋体" w:cs="Times New Roman"/>
                      <w:b w:val="0"/>
                      <w:bCs/>
                      <w:color w:val="auto"/>
                      <w:sz w:val="18"/>
                      <w:szCs w:val="18"/>
                      <w:vertAlign w:val="baseline"/>
                      <w:lang w:val="en-US" w:eastAsia="zh-CN"/>
                    </w:rPr>
                    <w:t>，</w:t>
                  </w:r>
                  <w:r>
                    <w:rPr>
                      <w:rFonts w:hint="eastAsia" w:ascii="Times New Roman" w:hAnsi="Times New Roman" w:eastAsia="宋体" w:cs="Times New Roman"/>
                      <w:b w:val="0"/>
                      <w:bCs/>
                      <w:color w:val="auto"/>
                      <w:sz w:val="18"/>
                      <w:szCs w:val="18"/>
                      <w:vertAlign w:val="baseline"/>
                      <w:lang w:val="en-US" w:eastAsia="zh-CN"/>
                    </w:rPr>
                    <w:t>分类暂存</w:t>
                  </w:r>
                  <w:r>
                    <w:rPr>
                      <w:rFonts w:hint="eastAsia" w:ascii="Times New Roman" w:hAnsi="Times New Roman" w:eastAsia="宋体" w:cs="Times New Roman"/>
                      <w:color w:val="auto"/>
                      <w:sz w:val="18"/>
                      <w:szCs w:val="18"/>
                      <w:lang w:val="en-US" w:eastAsia="zh-CN"/>
                    </w:rPr>
                    <w:t>报废、失效、过期的化学试剂、化学品，实验废液、废活性炭、实验室废试剂包装、中和沉淀池残渣、废紫外灯管、喷淋塔沉渣等</w:t>
                  </w:r>
                  <w:r>
                    <w:rPr>
                      <w:rFonts w:hint="eastAsia" w:ascii="Times New Roman" w:hAnsi="Times New Roman" w:cs="Times New Roman"/>
                      <w:color w:val="auto"/>
                      <w:sz w:val="18"/>
                      <w:szCs w:val="18"/>
                      <w:lang w:val="en-US" w:eastAsia="zh-CN"/>
                    </w:rPr>
                    <w:t>危险废物</w:t>
                  </w:r>
                  <w:r>
                    <w:rPr>
                      <w:rFonts w:hint="eastAsia" w:ascii="Times New Roman" w:hAnsi="Times New Roman" w:eastAsia="宋体" w:cs="Times New Roman"/>
                      <w:color w:val="auto"/>
                      <w:sz w:val="18"/>
                      <w:szCs w:val="18"/>
                      <w:lang w:val="en-US" w:eastAsia="zh-CN"/>
                    </w:rPr>
                    <w:t>。</w:t>
                  </w:r>
                </w:p>
              </w:tc>
              <w:tc>
                <w:tcPr>
                  <w:tcW w:w="966" w:type="dxa"/>
                  <w:noWrap w:val="0"/>
                  <w:vAlign w:val="center"/>
                </w:tcPr>
                <w:p w14:paraId="07A96094">
                  <w:pPr>
                    <w:pStyle w:val="17"/>
                    <w:keepNext/>
                    <w:keepLines w:val="0"/>
                    <w:pageBreakBefore w:val="0"/>
                    <w:widowControl w:val="0"/>
                    <w:kinsoku/>
                    <w:wordWrap/>
                    <w:overflowPunct/>
                    <w:topLinePunct w:val="0"/>
                    <w:autoSpaceDE/>
                    <w:autoSpaceDN/>
                    <w:bidi w:val="0"/>
                    <w:adjustRightInd/>
                    <w:snapToGrid/>
                    <w:spacing w:before="0" w:beforeAutospacing="0" w:after="0" w:afterAutospacing="0" w:line="360" w:lineRule="exact"/>
                    <w:jc w:val="center"/>
                    <w:textAlignment w:val="auto"/>
                    <w:outlineLvl w:val="9"/>
                    <w:rPr>
                      <w:rFonts w:hint="default" w:ascii="Times New Roman" w:hAnsi="Times New Roman" w:eastAsia="宋体" w:cs="Times New Roman"/>
                      <w:b w:val="0"/>
                      <w:bCs/>
                      <w:color w:val="auto"/>
                      <w:sz w:val="18"/>
                      <w:szCs w:val="18"/>
                      <w:vertAlign w:val="baseline"/>
                      <w:lang w:val="en-US" w:eastAsia="zh-CN"/>
                    </w:rPr>
                  </w:pPr>
                  <w:r>
                    <w:rPr>
                      <w:rFonts w:hint="default" w:ascii="Times New Roman" w:hAnsi="Times New Roman" w:eastAsia="宋体" w:cs="Times New Roman"/>
                      <w:b w:val="0"/>
                      <w:bCs/>
                      <w:color w:val="auto"/>
                      <w:sz w:val="18"/>
                      <w:szCs w:val="18"/>
                      <w:vertAlign w:val="baseline"/>
                      <w:lang w:val="en-US" w:eastAsia="zh-CN"/>
                    </w:rPr>
                    <w:t>新建</w:t>
                  </w:r>
                </w:p>
              </w:tc>
            </w:tr>
          </w:tbl>
          <w:p w14:paraId="5EDF214F">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4、项目主要检测内容及检验能力</w:t>
            </w:r>
          </w:p>
          <w:p w14:paraId="72F12D1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本目建成以后，</w:t>
            </w:r>
            <w:r>
              <w:rPr>
                <w:rFonts w:hint="default" w:ascii="Times New Roman" w:hAnsi="Times New Roman" w:eastAsia="宋体" w:cs="Times New Roman"/>
                <w:b w:val="0"/>
                <w:bCs w:val="0"/>
                <w:color w:val="auto"/>
                <w:kern w:val="0"/>
                <w:sz w:val="21"/>
                <w:szCs w:val="21"/>
                <w:lang w:val="en-US" w:eastAsia="zh-CN" w:bidi="ar"/>
              </w:rPr>
              <w:t>水质检测实验室建设目标达到CMA资质认证，具备有以下检测能力：具备《生活饮用水卫生标准》（GB 5749-2022）规定的97项水质指标的检测能力；具备《地表水环境质量标准》（GB 3838-2002）表1“地表水环境质量标准基本项目标准限值”和表2“集中式生活饮用水地表水源地补充项目标准限值”中规定的29项水质指标的检测能力；具备《地下水质量标准》（GB/T 14848-2017）表1“地下水质量常规指标及限值”中规定的39项水质指标的检测能力，具体如下表所示。</w:t>
            </w:r>
          </w:p>
          <w:p w14:paraId="5AD2DC7E">
            <w:pPr>
              <w:pStyle w:val="2"/>
              <w:keepNext w:val="0"/>
              <w:keepLines w:val="0"/>
              <w:pageBreakBefore w:val="0"/>
              <w:widowControl w:val="0"/>
              <w:kinsoku/>
              <w:wordWrap/>
              <w:overflowPunct/>
              <w:topLinePunct w:val="0"/>
              <w:autoSpaceDE/>
              <w:autoSpaceDN/>
              <w:bidi w:val="0"/>
              <w:snapToGrid/>
              <w:spacing w:line="360" w:lineRule="exact"/>
              <w:ind w:left="0" w:leftChars="0" w:firstLine="0" w:firstLineChars="0"/>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表2-2  项目主要实验检测项目</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7067"/>
            </w:tblGrid>
            <w:tr w14:paraId="16E30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6" w:type="pct"/>
                  <w:noWrap w:val="0"/>
                  <w:vAlign w:val="center"/>
                </w:tcPr>
                <w:p w14:paraId="783C07A2">
                  <w:pPr>
                    <w:pStyle w:val="18"/>
                    <w:keepNext w:val="0"/>
                    <w:keepLines w:val="0"/>
                    <w:pageBreakBefore w:val="0"/>
                    <w:widowControl w:val="0"/>
                    <w:kinsoku/>
                    <w:wordWrap/>
                    <w:overflowPunct/>
                    <w:topLinePunct w:val="0"/>
                    <w:autoSpaceDE/>
                    <w:autoSpaceDN/>
                    <w:bidi w:val="0"/>
                    <w:adjustRightInd w:val="0"/>
                    <w:snapToGrid/>
                    <w:spacing w:after="0" w:line="360" w:lineRule="exact"/>
                    <w:ind w:firstLine="0" w:firstLineChars="0"/>
                    <w:jc w:val="center"/>
                    <w:textAlignment w:val="auto"/>
                    <w:outlineLvl w:val="9"/>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检测项目</w:t>
                  </w:r>
                </w:p>
              </w:tc>
              <w:tc>
                <w:tcPr>
                  <w:tcW w:w="4303" w:type="pct"/>
                  <w:noWrap w:val="0"/>
                  <w:vAlign w:val="center"/>
                </w:tcPr>
                <w:p w14:paraId="3DEA44EC">
                  <w:pPr>
                    <w:pStyle w:val="18"/>
                    <w:keepNext w:val="0"/>
                    <w:keepLines w:val="0"/>
                    <w:pageBreakBefore w:val="0"/>
                    <w:widowControl w:val="0"/>
                    <w:kinsoku/>
                    <w:wordWrap/>
                    <w:overflowPunct/>
                    <w:topLinePunct w:val="0"/>
                    <w:autoSpaceDE/>
                    <w:autoSpaceDN/>
                    <w:bidi w:val="0"/>
                    <w:adjustRightInd w:val="0"/>
                    <w:snapToGrid/>
                    <w:spacing w:after="0" w:line="360" w:lineRule="exact"/>
                    <w:ind w:firstLine="0" w:firstLineChars="0"/>
                    <w:jc w:val="center"/>
                    <w:textAlignment w:val="auto"/>
                    <w:outlineLvl w:val="9"/>
                    <w:rPr>
                      <w:rFonts w:hint="eastAsia"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检测</w:t>
                  </w:r>
                  <w:r>
                    <w:rPr>
                      <w:rFonts w:hint="eastAsia" w:ascii="Times New Roman" w:hAnsi="Times New Roman" w:eastAsia="宋体" w:cs="Times New Roman"/>
                      <w:b/>
                      <w:bCs/>
                      <w:color w:val="auto"/>
                      <w:sz w:val="18"/>
                      <w:szCs w:val="18"/>
                      <w:lang w:val="en-US" w:eastAsia="zh-CN"/>
                    </w:rPr>
                    <w:t>因子</w:t>
                  </w:r>
                </w:p>
              </w:tc>
            </w:tr>
            <w:tr w14:paraId="3F322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6" w:type="pct"/>
                  <w:noWrap w:val="0"/>
                  <w:vAlign w:val="center"/>
                </w:tcPr>
                <w:p w14:paraId="63F93FB0">
                  <w:pPr>
                    <w:pStyle w:val="18"/>
                    <w:keepNext w:val="0"/>
                    <w:keepLines w:val="0"/>
                    <w:pageBreakBefore w:val="0"/>
                    <w:widowControl w:val="0"/>
                    <w:kinsoku/>
                    <w:wordWrap/>
                    <w:overflowPunct/>
                    <w:topLinePunct w:val="0"/>
                    <w:autoSpaceDE/>
                    <w:autoSpaceDN/>
                    <w:bidi w:val="0"/>
                    <w:adjustRightInd w:val="0"/>
                    <w:snapToGrid/>
                    <w:spacing w:after="0" w:line="360" w:lineRule="exact"/>
                    <w:ind w:firstLine="0" w:firstLineChars="0"/>
                    <w:jc w:val="center"/>
                    <w:textAlignment w:val="auto"/>
                    <w:outlineLvl w:val="9"/>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生活饮用水</w:t>
                  </w:r>
                </w:p>
              </w:tc>
              <w:tc>
                <w:tcPr>
                  <w:tcW w:w="4303" w:type="pct"/>
                  <w:noWrap w:val="0"/>
                  <w:vAlign w:val="center"/>
                </w:tcPr>
                <w:p w14:paraId="505D7FE7">
                  <w:pPr>
                    <w:keepNext w:val="0"/>
                    <w:keepLines w:val="0"/>
                    <w:pageBreakBefore w:val="0"/>
                    <w:widowControl w:val="0"/>
                    <w:kinsoku/>
                    <w:wordWrap/>
                    <w:overflowPunct/>
                    <w:topLinePunct w:val="0"/>
                    <w:autoSpaceDE/>
                    <w:autoSpaceDN/>
                    <w:bidi w:val="0"/>
                    <w:snapToGrid/>
                    <w:spacing w:line="360" w:lineRule="exact"/>
                    <w:jc w:val="left"/>
                    <w:textAlignment w:val="auto"/>
                    <w:outlineLvl w:val="9"/>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总大肠菌群、大肠埃希氏菌、菌落总数、砷、镉、铬（六价）、铅、汞、氰化物、氟化物、硝酸盐（以N计）、三氯甲烷、一氯二溴甲烷、二氯一溴甲烷、三溴甲烷、三卤甲烷（三氯甲烷、一氯二溴甲烷、二氯一溴甲烷、三溴甲烷的总和）、二氯乙酸、三氯乙酸、</w:t>
                  </w:r>
                  <w:r>
                    <w:rPr>
                      <w:rFonts w:hint="default" w:ascii="Times New Roman" w:hAnsi="Times New Roman" w:eastAsia="宋体" w:cs="Times New Roman"/>
                      <w:color w:val="auto"/>
                      <w:sz w:val="18"/>
                      <w:szCs w:val="18"/>
                      <w:lang w:val="en-US" w:eastAsia="zh-CN"/>
                    </w:rPr>
                    <w:t>溴</w:t>
                  </w:r>
                  <w:r>
                    <w:rPr>
                      <w:rFonts w:hint="default" w:ascii="Times New Roman" w:hAnsi="Times New Roman" w:eastAsia="宋体" w:cs="Times New Roman"/>
                      <w:color w:val="auto"/>
                      <w:sz w:val="18"/>
                      <w:szCs w:val="18"/>
                    </w:rPr>
                    <w:t>酸盐</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i w:val="0"/>
                      <w:iCs w:val="0"/>
                      <w:caps w:val="0"/>
                      <w:color w:val="auto"/>
                      <w:spacing w:val="0"/>
                      <w:sz w:val="18"/>
                      <w:szCs w:val="18"/>
                      <w:shd w:val="clear" w:fill="FFFFFF"/>
                    </w:rPr>
                    <w:t>亚氯酸盐、氯酸盐</w:t>
                  </w:r>
                  <w:r>
                    <w:rPr>
                      <w:rFonts w:hint="default" w:ascii="Times New Roman" w:hAnsi="Times New Roman" w:eastAsia="宋体" w:cs="Times New Roman"/>
                      <w:i w:val="0"/>
                      <w:iCs w:val="0"/>
                      <w:caps w:val="0"/>
                      <w:color w:val="auto"/>
                      <w:spacing w:val="0"/>
                      <w:sz w:val="18"/>
                      <w:szCs w:val="18"/>
                      <w:shd w:val="clear" w:fill="FFFFFF"/>
                      <w:lang w:eastAsia="zh-CN"/>
                    </w:rPr>
                    <w:t>、色度（铂钴色度单位）、浑浊度（散射浑浊度单位）</w:t>
                  </w:r>
                  <w:r>
                    <w:rPr>
                      <w:rFonts w:hint="eastAsia"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shd w:val="clear" w:fill="FFFFFF"/>
                      <w:lang w:eastAsia="zh-CN"/>
                    </w:rPr>
                    <w:t>臭和味、肉眼可见物、pH、铝、铁、锰、铜、锌、氯化物、硫酸盐、溶解性总固体、总硬度、高锰酸盐指数（以O₂计）、氨（以N计）、</w:t>
                  </w:r>
                  <w:r>
                    <w:rPr>
                      <w:rFonts w:hint="default" w:ascii="Times New Roman" w:hAnsi="Times New Roman" w:eastAsia="宋体" w:cs="Times New Roman"/>
                      <w:i w:val="0"/>
                      <w:iCs w:val="0"/>
                      <w:caps w:val="0"/>
                      <w:color w:val="auto"/>
                      <w:spacing w:val="0"/>
                      <w:sz w:val="18"/>
                      <w:szCs w:val="18"/>
                    </w:rPr>
                    <w:t>总α放射性、总β放射性</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游离氯、</w:t>
                  </w:r>
                  <w:r>
                    <w:rPr>
                      <w:rFonts w:hint="default" w:ascii="Times New Roman" w:hAnsi="Times New Roman" w:eastAsia="宋体" w:cs="Times New Roman"/>
                      <w:i w:val="0"/>
                      <w:iCs w:val="0"/>
                      <w:caps w:val="0"/>
                      <w:color w:val="auto"/>
                      <w:spacing w:val="0"/>
                      <w:sz w:val="18"/>
                      <w:szCs w:val="18"/>
                      <w:shd w:val="clear" w:fill="FFFFFF"/>
                    </w:rPr>
                    <w:t>总氯、臭氧</w:t>
                  </w:r>
                  <w:r>
                    <w:rPr>
                      <w:rFonts w:hint="default" w:ascii="Times New Roman" w:hAnsi="Times New Roman" w:eastAsia="宋体"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shd w:val="clear" w:fill="FFFFFF"/>
                    </w:rPr>
                    <w:t>二氧化氯</w:t>
                  </w:r>
                  <w:r>
                    <w:rPr>
                      <w:rFonts w:hint="default" w:ascii="Times New Roman" w:hAnsi="Times New Roman" w:eastAsia="宋体"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rPr>
                    <w:t>贾第鞭毛虫、隐孢子虫</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shd w:val="clear" w:fill="FFFFFF"/>
                    </w:rPr>
                    <w:t>锑、钡、铍、硼、钼、镍、银、铊、</w:t>
                  </w:r>
                  <w:r>
                    <w:rPr>
                      <w:rFonts w:hint="default" w:ascii="Times New Roman" w:hAnsi="Times New Roman" w:eastAsia="宋体" w:cs="Times New Roman"/>
                      <w:i w:val="0"/>
                      <w:iCs w:val="0"/>
                      <w:caps w:val="0"/>
                      <w:color w:val="auto"/>
                      <w:spacing w:val="0"/>
                      <w:sz w:val="18"/>
                      <w:szCs w:val="18"/>
                      <w:shd w:val="clear" w:fill="FFFFFF"/>
                      <w:lang w:val="en-US" w:eastAsia="zh-CN"/>
                    </w:rPr>
                    <w:t>硒、高氯酸盐、二氯甲烷、</w:t>
                  </w:r>
                  <w:r>
                    <w:rPr>
                      <w:rFonts w:hint="default" w:ascii="Times New Roman" w:hAnsi="Times New Roman" w:eastAsia="宋体" w:cs="Times New Roman"/>
                      <w:i w:val="0"/>
                      <w:iCs w:val="0"/>
                      <w:caps w:val="0"/>
                      <w:color w:val="auto"/>
                      <w:spacing w:val="0"/>
                      <w:sz w:val="18"/>
                      <w:szCs w:val="18"/>
                      <w:shd w:val="clear" w:fill="FFFFFF"/>
                    </w:rPr>
                    <w:t>1,2-</w:t>
                  </w:r>
                  <w:r>
                    <w:rPr>
                      <w:rFonts w:hint="eastAsia" w:ascii="Times New Roman" w:hAnsi="Times New Roman" w:eastAsia="宋体" w:cs="Times New Roman"/>
                      <w:i w:val="0"/>
                      <w:iCs w:val="0"/>
                      <w:caps w:val="0"/>
                      <w:color w:val="auto"/>
                      <w:spacing w:val="0"/>
                      <w:sz w:val="18"/>
                      <w:szCs w:val="18"/>
                      <w:shd w:val="clear" w:fill="FFFFFF"/>
                      <w:lang w:val="en-US" w:eastAsia="zh-CN"/>
                    </w:rPr>
                    <w:t>二氯</w:t>
                  </w:r>
                  <w:r>
                    <w:rPr>
                      <w:rFonts w:hint="default" w:ascii="Times New Roman" w:hAnsi="Times New Roman" w:eastAsia="宋体" w:cs="Times New Roman"/>
                      <w:i w:val="0"/>
                      <w:iCs w:val="0"/>
                      <w:caps w:val="0"/>
                      <w:color w:val="auto"/>
                      <w:spacing w:val="0"/>
                      <w:sz w:val="18"/>
                      <w:szCs w:val="18"/>
                      <w:shd w:val="clear" w:fill="FFFFFF"/>
                    </w:rPr>
                    <w:t>乙烷、</w:t>
                  </w:r>
                  <w:r>
                    <w:rPr>
                      <w:rFonts w:hint="default" w:ascii="Times New Roman" w:hAnsi="Times New Roman" w:eastAsia="宋体" w:cs="Times New Roman"/>
                      <w:i w:val="0"/>
                      <w:iCs w:val="0"/>
                      <w:caps w:val="0"/>
                      <w:color w:val="auto"/>
                      <w:spacing w:val="0"/>
                      <w:sz w:val="18"/>
                      <w:szCs w:val="18"/>
                      <w:shd w:val="clear" w:fill="FFFFFF"/>
                      <w:lang w:val="en-US" w:eastAsia="zh-CN"/>
                    </w:rPr>
                    <w:t>四氯化碳、</w:t>
                  </w:r>
                  <w:r>
                    <w:rPr>
                      <w:rFonts w:hint="default" w:ascii="Times New Roman" w:hAnsi="Times New Roman" w:eastAsia="宋体" w:cs="Times New Roman"/>
                      <w:i w:val="0"/>
                      <w:iCs w:val="0"/>
                      <w:caps w:val="0"/>
                      <w:color w:val="auto"/>
                      <w:spacing w:val="0"/>
                      <w:sz w:val="18"/>
                      <w:szCs w:val="18"/>
                      <w:shd w:val="clear" w:fill="FFFFFF"/>
                    </w:rPr>
                    <w:t>氯乙烯、1,1-二氯乙烯、1,2-二氯乙烯（总量）、三氯乙烯、四氯乙烯、六氯丁二烯、苯、甲苯、二甲苯（总量）、苯乙烯、</w:t>
                  </w:r>
                  <w:r>
                    <w:rPr>
                      <w:rFonts w:hint="default" w:ascii="Times New Roman" w:hAnsi="Times New Roman" w:eastAsia="宋体" w:cs="Times New Roman"/>
                      <w:i w:val="0"/>
                      <w:iCs w:val="0"/>
                      <w:caps w:val="0"/>
                      <w:color w:val="auto"/>
                      <w:spacing w:val="0"/>
                      <w:sz w:val="18"/>
                      <w:szCs w:val="18"/>
                      <w:shd w:val="clear" w:fill="FFFFFF"/>
                      <w:lang w:val="en-US" w:eastAsia="zh-CN"/>
                    </w:rPr>
                    <w:t>氯苯、1</w:t>
                  </w:r>
                  <w:r>
                    <w:rPr>
                      <w:rFonts w:hint="default" w:ascii="Times New Roman" w:hAnsi="Times New Roman" w:eastAsia="宋体" w:cs="Times New Roman"/>
                      <w:i w:val="0"/>
                      <w:iCs w:val="0"/>
                      <w:caps w:val="0"/>
                      <w:color w:val="auto"/>
                      <w:spacing w:val="0"/>
                      <w:sz w:val="18"/>
                      <w:szCs w:val="18"/>
                      <w:shd w:val="clear" w:fill="FFFFFF"/>
                    </w:rPr>
                    <w:t>,</w:t>
                  </w:r>
                  <w:r>
                    <w:rPr>
                      <w:rFonts w:hint="default" w:ascii="Times New Roman" w:hAnsi="Times New Roman" w:eastAsia="宋体" w:cs="Times New Roman"/>
                      <w:i w:val="0"/>
                      <w:iCs w:val="0"/>
                      <w:caps w:val="0"/>
                      <w:color w:val="auto"/>
                      <w:spacing w:val="0"/>
                      <w:sz w:val="18"/>
                      <w:szCs w:val="18"/>
                      <w:shd w:val="clear" w:fill="FFFFFF"/>
                      <w:lang w:val="en-US" w:eastAsia="zh-CN"/>
                    </w:rPr>
                    <w:t>4</w:t>
                  </w:r>
                  <w:r>
                    <w:rPr>
                      <w:rFonts w:hint="default" w:ascii="Times New Roman" w:hAnsi="Times New Roman" w:eastAsia="宋体" w:cs="Times New Roman"/>
                      <w:i w:val="0"/>
                      <w:iCs w:val="0"/>
                      <w:caps w:val="0"/>
                      <w:color w:val="auto"/>
                      <w:spacing w:val="0"/>
                      <w:sz w:val="18"/>
                      <w:szCs w:val="18"/>
                      <w:shd w:val="clear" w:fill="FFFFFF"/>
                    </w:rPr>
                    <w:t>-</w:t>
                  </w:r>
                  <w:r>
                    <w:rPr>
                      <w:rFonts w:hint="default" w:ascii="Times New Roman" w:hAnsi="Times New Roman" w:eastAsia="宋体" w:cs="Times New Roman"/>
                      <w:i w:val="0"/>
                      <w:iCs w:val="0"/>
                      <w:caps w:val="0"/>
                      <w:color w:val="auto"/>
                      <w:spacing w:val="0"/>
                      <w:sz w:val="18"/>
                      <w:szCs w:val="18"/>
                      <w:shd w:val="clear" w:fill="FFFFFF"/>
                      <w:lang w:val="en-US" w:eastAsia="zh-CN"/>
                    </w:rPr>
                    <w:t>二氯苯</w:t>
                  </w:r>
                  <w:r>
                    <w:rPr>
                      <w:rFonts w:hint="default" w:ascii="Times New Roman" w:hAnsi="Times New Roman" w:eastAsia="宋体" w:cs="Times New Roman"/>
                      <w:i w:val="0"/>
                      <w:iCs w:val="0"/>
                      <w:caps w:val="0"/>
                      <w:color w:val="auto"/>
                      <w:spacing w:val="0"/>
                      <w:sz w:val="18"/>
                      <w:szCs w:val="18"/>
                      <w:shd w:val="clear" w:fill="FFFFFF"/>
                    </w:rPr>
                    <w:t>、</w:t>
                  </w:r>
                  <w:r>
                    <w:rPr>
                      <w:rFonts w:hint="default" w:ascii="Times New Roman" w:hAnsi="Times New Roman" w:eastAsia="宋体" w:cs="Times New Roman"/>
                      <w:i w:val="0"/>
                      <w:iCs w:val="0"/>
                      <w:caps w:val="0"/>
                      <w:color w:val="auto"/>
                      <w:spacing w:val="0"/>
                      <w:sz w:val="18"/>
                      <w:szCs w:val="18"/>
                      <w:shd w:val="clear" w:fill="FFFFFF"/>
                      <w:lang w:val="en-US" w:eastAsia="zh-CN"/>
                    </w:rPr>
                    <w:t>三氯苯（总量）、六氯苯、七氯、马拉硫磷、乐果、灭草松、百菌清、呋喃丹、毒死蜱、草甘膦、敌敌畏、莠去津、溴氰菊酯、2,4-滴、乙草胺、五氯酚、2,4,6-三氯酚、</w:t>
                  </w:r>
                  <w:r>
                    <w:rPr>
                      <w:rFonts w:hint="default" w:ascii="Times New Roman" w:hAnsi="Times New Roman" w:eastAsia="宋体" w:cs="Times New Roman"/>
                      <w:i w:val="0"/>
                      <w:iCs w:val="0"/>
                      <w:caps w:val="0"/>
                      <w:color w:val="auto"/>
                      <w:spacing w:val="0"/>
                      <w:sz w:val="18"/>
                      <w:szCs w:val="18"/>
                      <w:shd w:val="clear" w:fill="FFFFFF"/>
                    </w:rPr>
                    <w:t>苯并（a）芘</w:t>
                  </w:r>
                  <w:r>
                    <w:rPr>
                      <w:rFonts w:hint="default" w:ascii="Times New Roman" w:hAnsi="Times New Roman" w:eastAsia="宋体"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shd w:val="clear" w:fill="FFFFFF"/>
                    </w:rPr>
                    <w:t>邻苯二甲酸二（2-乙基己基）酯</w:t>
                  </w:r>
                  <w:r>
                    <w:rPr>
                      <w:rFonts w:hint="default" w:ascii="Times New Roman" w:hAnsi="Times New Roman" w:eastAsia="宋体"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shd w:val="clear" w:fill="FFFFFF"/>
                    </w:rPr>
                    <w:t>丙烯酰胺</w:t>
                  </w:r>
                  <w:r>
                    <w:rPr>
                      <w:rFonts w:hint="default" w:ascii="Times New Roman" w:hAnsi="Times New Roman" w:eastAsia="宋体"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shd w:val="clear" w:fill="FFFFFF"/>
                    </w:rPr>
                    <w:t>环氧氯丙烷</w:t>
                  </w:r>
                  <w:r>
                    <w:rPr>
                      <w:rFonts w:hint="default" w:ascii="Times New Roman" w:hAnsi="Times New Roman" w:eastAsia="宋体"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shd w:val="clear" w:fill="FFFFFF"/>
                    </w:rPr>
                    <w:t>微囊藻毒素-LR</w:t>
                  </w:r>
                  <w:r>
                    <w:rPr>
                      <w:rFonts w:hint="default" w:ascii="Times New Roman" w:hAnsi="Times New Roman" w:eastAsia="宋体"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shd w:val="clear" w:fill="FFFFFF"/>
                    </w:rPr>
                    <w:t>钠</w:t>
                  </w:r>
                  <w:r>
                    <w:rPr>
                      <w:rFonts w:hint="default" w:ascii="Times New Roman" w:hAnsi="Times New Roman" w:eastAsia="宋体"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shd w:val="clear" w:fill="FFFFFF"/>
                    </w:rPr>
                    <w:t>挥发酚类（以苯酚计）</w:t>
                  </w:r>
                  <w:r>
                    <w:rPr>
                      <w:rFonts w:hint="default" w:ascii="Times New Roman" w:hAnsi="Times New Roman" w:eastAsia="宋体"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shd w:val="clear" w:fill="FFFFFF"/>
                    </w:rPr>
                    <w:t>阴离子合成洗涤剂</w:t>
                  </w:r>
                  <w:r>
                    <w:rPr>
                      <w:rFonts w:hint="default" w:ascii="Times New Roman" w:hAnsi="Times New Roman" w:eastAsia="宋体"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shd w:val="clear" w:fill="FFFFFF"/>
                    </w:rPr>
                    <w:t>2-甲基异莰醇</w:t>
                  </w:r>
                  <w:r>
                    <w:rPr>
                      <w:rFonts w:hint="default" w:ascii="Times New Roman" w:hAnsi="Times New Roman" w:eastAsia="宋体" w:cs="Times New Roman"/>
                      <w:i w:val="0"/>
                      <w:iCs w:val="0"/>
                      <w:caps w:val="0"/>
                      <w:color w:val="auto"/>
                      <w:spacing w:val="0"/>
                      <w:sz w:val="18"/>
                      <w:szCs w:val="18"/>
                      <w:shd w:val="clear" w:fill="FFFFFF"/>
                      <w:lang w:eastAsia="zh-CN"/>
                    </w:rPr>
                    <w:t>、</w:t>
                  </w:r>
                  <w:r>
                    <w:rPr>
                      <w:rFonts w:hint="default" w:ascii="Times New Roman" w:hAnsi="Times New Roman" w:eastAsia="宋体" w:cs="Times New Roman"/>
                      <w:i w:val="0"/>
                      <w:iCs w:val="0"/>
                      <w:caps w:val="0"/>
                      <w:color w:val="auto"/>
                      <w:spacing w:val="0"/>
                      <w:sz w:val="18"/>
                      <w:szCs w:val="18"/>
                      <w:shd w:val="clear" w:fill="FFFFFF"/>
                    </w:rPr>
                    <w:t>土臭素</w:t>
                  </w:r>
                </w:p>
              </w:tc>
            </w:tr>
            <w:tr w14:paraId="4D59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6" w:type="pct"/>
                  <w:noWrap w:val="0"/>
                  <w:vAlign w:val="center"/>
                </w:tcPr>
                <w:p w14:paraId="5F17AA4B">
                  <w:pPr>
                    <w:pStyle w:val="18"/>
                    <w:keepNext w:val="0"/>
                    <w:keepLines w:val="0"/>
                    <w:pageBreakBefore w:val="0"/>
                    <w:widowControl w:val="0"/>
                    <w:kinsoku/>
                    <w:wordWrap/>
                    <w:overflowPunct/>
                    <w:topLinePunct w:val="0"/>
                    <w:autoSpaceDE/>
                    <w:autoSpaceDN/>
                    <w:bidi w:val="0"/>
                    <w:adjustRightInd w:val="0"/>
                    <w:snapToGrid/>
                    <w:spacing w:after="0" w:line="360" w:lineRule="exact"/>
                    <w:ind w:firstLine="0" w:firstLineChars="0"/>
                    <w:jc w:val="center"/>
                    <w:textAlignment w:val="auto"/>
                    <w:outlineLvl w:val="9"/>
                    <w:rPr>
                      <w:rFonts w:hint="default"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地表水</w:t>
                  </w:r>
                </w:p>
              </w:tc>
              <w:tc>
                <w:tcPr>
                  <w:tcW w:w="4303" w:type="pct"/>
                  <w:noWrap w:val="0"/>
                  <w:vAlign w:val="center"/>
                </w:tcPr>
                <w:p w14:paraId="44687D82">
                  <w:pPr>
                    <w:keepNext w:val="0"/>
                    <w:keepLines w:val="0"/>
                    <w:pageBreakBefore w:val="0"/>
                    <w:widowControl w:val="0"/>
                    <w:kinsoku/>
                    <w:wordWrap/>
                    <w:overflowPunct/>
                    <w:topLinePunct w:val="0"/>
                    <w:autoSpaceDE/>
                    <w:autoSpaceDN/>
                    <w:bidi w:val="0"/>
                    <w:snapToGrid/>
                    <w:spacing w:line="360" w:lineRule="exact"/>
                    <w:jc w:val="left"/>
                    <w:textAlignment w:val="auto"/>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i w:val="0"/>
                      <w:iCs w:val="0"/>
                      <w:caps w:val="0"/>
                      <w:color w:val="auto"/>
                      <w:spacing w:val="0"/>
                      <w:sz w:val="18"/>
                      <w:szCs w:val="18"/>
                    </w:rPr>
                    <w:t>pH值、溶解氧、高锰酸盐指数、化学需氧量（COD）、五日生化需氧量（BOD₅）</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氨氮（NH₃-N）、总磷（以P计）、总氮（湖、库以N计）、铜、锌、氟化物（</w:t>
                  </w:r>
                  <w:r>
                    <w:rPr>
                      <w:rFonts w:hint="default" w:ascii="Times New Roman" w:hAnsi="Times New Roman" w:eastAsia="宋体" w:cs="Times New Roman"/>
                      <w:i w:val="0"/>
                      <w:iCs w:val="0"/>
                      <w:caps w:val="0"/>
                      <w:color w:val="auto"/>
                      <w:spacing w:val="0"/>
                      <w:sz w:val="18"/>
                      <w:szCs w:val="18"/>
                      <w:lang w:val="en-US" w:eastAsia="zh-CN"/>
                    </w:rPr>
                    <w:t>以</w:t>
                  </w:r>
                  <w:r>
                    <w:rPr>
                      <w:rFonts w:hint="default" w:ascii="Times New Roman" w:hAnsi="Times New Roman" w:eastAsia="宋体" w:cs="Times New Roman"/>
                      <w:i w:val="0"/>
                      <w:iCs w:val="0"/>
                      <w:caps w:val="0"/>
                      <w:color w:val="auto"/>
                      <w:spacing w:val="0"/>
                      <w:sz w:val="18"/>
                      <w:szCs w:val="18"/>
                    </w:rPr>
                    <w:t>F⁻</w:t>
                  </w:r>
                  <w:r>
                    <w:rPr>
                      <w:rFonts w:hint="default" w:ascii="Times New Roman" w:hAnsi="Times New Roman" w:eastAsia="宋体" w:cs="Times New Roman"/>
                      <w:i w:val="0"/>
                      <w:iCs w:val="0"/>
                      <w:caps w:val="0"/>
                      <w:color w:val="auto"/>
                      <w:spacing w:val="0"/>
                      <w:sz w:val="18"/>
                      <w:szCs w:val="18"/>
                      <w:lang w:val="en-US" w:eastAsia="zh-CN"/>
                    </w:rPr>
                    <w:t>计</w:t>
                  </w:r>
                  <w:r>
                    <w:rPr>
                      <w:rFonts w:hint="default" w:ascii="Times New Roman" w:hAnsi="Times New Roman" w:eastAsia="宋体" w:cs="Times New Roman"/>
                      <w:i w:val="0"/>
                      <w:iCs w:val="0"/>
                      <w:caps w:val="0"/>
                      <w:color w:val="auto"/>
                      <w:spacing w:val="0"/>
                      <w:sz w:val="18"/>
                      <w:szCs w:val="18"/>
                    </w:rPr>
                    <w:t>）、硒、砷、汞、镉、铬</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六价</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、铅、氰化物</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挥发酚、石油类、阴离子表面活性剂</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硫化物</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粪大肠菌群</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硫酸盐（</w:t>
                  </w:r>
                  <w:r>
                    <w:rPr>
                      <w:rFonts w:hint="default" w:ascii="Times New Roman" w:hAnsi="Times New Roman" w:eastAsia="宋体" w:cs="Times New Roman"/>
                      <w:i w:val="0"/>
                      <w:iCs w:val="0"/>
                      <w:caps w:val="0"/>
                      <w:color w:val="auto"/>
                      <w:spacing w:val="0"/>
                      <w:sz w:val="18"/>
                      <w:szCs w:val="18"/>
                      <w:lang w:val="en-US" w:eastAsia="zh-CN"/>
                    </w:rPr>
                    <w:t>以</w:t>
                  </w:r>
                  <w:r>
                    <w:rPr>
                      <w:rFonts w:hint="default" w:ascii="Times New Roman" w:hAnsi="Times New Roman" w:eastAsia="宋体" w:cs="Times New Roman"/>
                      <w:i w:val="0"/>
                      <w:iCs w:val="0"/>
                      <w:caps w:val="0"/>
                      <w:color w:val="auto"/>
                      <w:spacing w:val="0"/>
                      <w:sz w:val="18"/>
                      <w:szCs w:val="18"/>
                    </w:rPr>
                    <w:t>SO</w:t>
                  </w:r>
                  <w:r>
                    <w:rPr>
                      <w:rFonts w:hint="default" w:ascii="Times New Roman" w:hAnsi="Times New Roman" w:eastAsia="宋体" w:cs="Times New Roman"/>
                      <w:i w:val="0"/>
                      <w:iCs w:val="0"/>
                      <w:caps w:val="0"/>
                      <w:color w:val="auto"/>
                      <w:spacing w:val="0"/>
                      <w:sz w:val="18"/>
                      <w:szCs w:val="18"/>
                      <w:vertAlign w:val="subscript"/>
                      <w:lang w:val="en-US" w:eastAsia="zh-CN"/>
                    </w:rPr>
                    <w:t>4</w:t>
                  </w:r>
                  <w:r>
                    <w:rPr>
                      <w:rFonts w:hint="default" w:ascii="Times New Roman" w:hAnsi="Times New Roman" w:eastAsia="宋体" w:cs="Times New Roman"/>
                      <w:i w:val="0"/>
                      <w:iCs w:val="0"/>
                      <w:caps w:val="0"/>
                      <w:color w:val="auto"/>
                      <w:spacing w:val="0"/>
                      <w:sz w:val="18"/>
                      <w:szCs w:val="18"/>
                      <w:vertAlign w:val="superscript"/>
                      <w:lang w:val="en-US" w:eastAsia="zh-CN"/>
                    </w:rPr>
                    <w:t>2-</w:t>
                  </w:r>
                  <w:r>
                    <w:rPr>
                      <w:rFonts w:hint="default" w:ascii="Times New Roman" w:hAnsi="Times New Roman" w:eastAsia="宋体" w:cs="Times New Roman"/>
                      <w:i w:val="0"/>
                      <w:iCs w:val="0"/>
                      <w:caps w:val="0"/>
                      <w:color w:val="auto"/>
                      <w:spacing w:val="0"/>
                      <w:sz w:val="18"/>
                      <w:szCs w:val="18"/>
                      <w:lang w:val="en-US" w:eastAsia="zh-CN"/>
                    </w:rPr>
                    <w:t>计</w:t>
                  </w:r>
                  <w:r>
                    <w:rPr>
                      <w:rFonts w:hint="default" w:ascii="Times New Roman" w:hAnsi="Times New Roman" w:eastAsia="宋体" w:cs="Times New Roman"/>
                      <w:i w:val="0"/>
                      <w:iCs w:val="0"/>
                      <w:caps w:val="0"/>
                      <w:color w:val="auto"/>
                      <w:spacing w:val="0"/>
                      <w:sz w:val="18"/>
                      <w:szCs w:val="18"/>
                    </w:rPr>
                    <w:t>）、氯化物（</w:t>
                  </w:r>
                  <w:r>
                    <w:rPr>
                      <w:rFonts w:hint="default" w:ascii="Times New Roman" w:hAnsi="Times New Roman" w:eastAsia="宋体" w:cs="Times New Roman"/>
                      <w:i w:val="0"/>
                      <w:iCs w:val="0"/>
                      <w:caps w:val="0"/>
                      <w:color w:val="auto"/>
                      <w:spacing w:val="0"/>
                      <w:sz w:val="18"/>
                      <w:szCs w:val="18"/>
                      <w:lang w:val="en-US" w:eastAsia="zh-CN"/>
                    </w:rPr>
                    <w:t>以</w:t>
                  </w:r>
                  <w:r>
                    <w:rPr>
                      <w:rFonts w:hint="default" w:ascii="Times New Roman" w:hAnsi="Times New Roman" w:eastAsia="宋体" w:cs="Times New Roman"/>
                      <w:i w:val="0"/>
                      <w:iCs w:val="0"/>
                      <w:caps w:val="0"/>
                      <w:color w:val="auto"/>
                      <w:spacing w:val="0"/>
                      <w:sz w:val="18"/>
                      <w:szCs w:val="18"/>
                    </w:rPr>
                    <w:t>Cl⁻</w:t>
                  </w:r>
                  <w:r>
                    <w:rPr>
                      <w:rFonts w:hint="default" w:ascii="Times New Roman" w:hAnsi="Times New Roman" w:eastAsia="宋体" w:cs="Times New Roman"/>
                      <w:i w:val="0"/>
                      <w:iCs w:val="0"/>
                      <w:caps w:val="0"/>
                      <w:color w:val="auto"/>
                      <w:spacing w:val="0"/>
                      <w:sz w:val="18"/>
                      <w:szCs w:val="18"/>
                      <w:lang w:val="en-US" w:eastAsia="zh-CN"/>
                    </w:rPr>
                    <w:t>计</w:t>
                  </w:r>
                  <w:r>
                    <w:rPr>
                      <w:rFonts w:hint="default" w:ascii="Times New Roman" w:hAnsi="Times New Roman" w:eastAsia="宋体" w:cs="Times New Roman"/>
                      <w:i w:val="0"/>
                      <w:iCs w:val="0"/>
                      <w:caps w:val="0"/>
                      <w:color w:val="auto"/>
                      <w:spacing w:val="0"/>
                      <w:sz w:val="18"/>
                      <w:szCs w:val="18"/>
                    </w:rPr>
                    <w:t>）、硝酸盐（以N计）</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铁、锰</w:t>
                  </w:r>
                </w:p>
              </w:tc>
            </w:tr>
            <w:tr w14:paraId="2207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96" w:type="pct"/>
                  <w:noWrap w:val="0"/>
                  <w:vAlign w:val="center"/>
                </w:tcPr>
                <w:p w14:paraId="18FC86F5">
                  <w:pPr>
                    <w:pStyle w:val="18"/>
                    <w:keepNext w:val="0"/>
                    <w:keepLines w:val="0"/>
                    <w:pageBreakBefore w:val="0"/>
                    <w:widowControl w:val="0"/>
                    <w:kinsoku/>
                    <w:wordWrap/>
                    <w:overflowPunct/>
                    <w:topLinePunct w:val="0"/>
                    <w:autoSpaceDE/>
                    <w:autoSpaceDN/>
                    <w:bidi w:val="0"/>
                    <w:adjustRightInd w:val="0"/>
                    <w:snapToGrid/>
                    <w:spacing w:after="0" w:line="360" w:lineRule="exact"/>
                    <w:ind w:firstLine="0" w:firstLineChars="0"/>
                    <w:jc w:val="center"/>
                    <w:textAlignment w:val="auto"/>
                    <w:outlineLvl w:val="9"/>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val="en-US" w:eastAsia="zh-CN"/>
                    </w:rPr>
                    <w:t>地下水</w:t>
                  </w:r>
                </w:p>
              </w:tc>
              <w:tc>
                <w:tcPr>
                  <w:tcW w:w="4303" w:type="pct"/>
                  <w:noWrap w:val="0"/>
                  <w:vAlign w:val="center"/>
                </w:tcPr>
                <w:p w14:paraId="5BDB3B65">
                  <w:pPr>
                    <w:pStyle w:val="9"/>
                    <w:keepNext w:val="0"/>
                    <w:keepLines w:val="0"/>
                    <w:pageBreakBefore w:val="0"/>
                    <w:widowControl w:val="0"/>
                    <w:kinsoku/>
                    <w:wordWrap/>
                    <w:overflowPunct/>
                    <w:topLinePunct w:val="0"/>
                    <w:autoSpaceDE/>
                    <w:autoSpaceDN/>
                    <w:bidi w:val="0"/>
                    <w:snapToGrid/>
                    <w:spacing w:line="360" w:lineRule="exact"/>
                    <w:jc w:val="lef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色(铂钴色度单位)</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嗅和味</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浑浊度</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肉眼可见物</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i w:val="0"/>
                      <w:iCs w:val="0"/>
                      <w:caps w:val="0"/>
                      <w:color w:val="auto"/>
                      <w:spacing w:val="0"/>
                      <w:sz w:val="18"/>
                      <w:szCs w:val="18"/>
                      <w:shd w:val="clear" w:fill="FFFFFF"/>
                      <w:lang w:eastAsia="zh-CN"/>
                    </w:rPr>
                    <w:t>pH、</w:t>
                  </w:r>
                  <w:r>
                    <w:rPr>
                      <w:rFonts w:hint="default" w:ascii="Times New Roman" w:hAnsi="Times New Roman" w:eastAsia="宋体" w:cs="Times New Roman"/>
                      <w:color w:val="auto"/>
                      <w:sz w:val="18"/>
                      <w:szCs w:val="18"/>
                    </w:rPr>
                    <w:t>总硬度</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溶解性总固体</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硫酸盐</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氯化物</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铁</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锰</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i w:val="0"/>
                      <w:iCs w:val="0"/>
                      <w:caps w:val="0"/>
                      <w:color w:val="auto"/>
                      <w:spacing w:val="0"/>
                      <w:sz w:val="18"/>
                      <w:szCs w:val="18"/>
                      <w:shd w:val="clear" w:fill="FFFFFF"/>
                      <w:lang w:eastAsia="zh-CN"/>
                    </w:rPr>
                    <w:t>铜、锌、</w:t>
                  </w:r>
                  <w:r>
                    <w:rPr>
                      <w:rFonts w:hint="default" w:ascii="Times New Roman" w:hAnsi="Times New Roman" w:eastAsia="宋体" w:cs="Times New Roman"/>
                      <w:i w:val="0"/>
                      <w:iCs w:val="0"/>
                      <w:caps w:val="0"/>
                      <w:color w:val="auto"/>
                      <w:spacing w:val="0"/>
                      <w:sz w:val="18"/>
                      <w:szCs w:val="18"/>
                      <w:shd w:val="clear" w:fill="FFFFFF"/>
                      <w:lang w:val="en-US" w:eastAsia="zh-CN"/>
                    </w:rPr>
                    <w:t>铝、</w:t>
                  </w:r>
                  <w:r>
                    <w:rPr>
                      <w:rFonts w:hint="default" w:ascii="Times New Roman" w:hAnsi="Times New Roman" w:eastAsia="宋体" w:cs="Times New Roman"/>
                      <w:color w:val="auto"/>
                      <w:sz w:val="18"/>
                      <w:szCs w:val="18"/>
                    </w:rPr>
                    <w:t>挥发性酚类(以苯酚计)</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阴离子表面活性剂</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耗氧量(COD</w:t>
                  </w:r>
                  <w:r>
                    <w:rPr>
                      <w:rFonts w:hint="default" w:ascii="Times New Roman" w:hAnsi="Times New Roman" w:eastAsia="宋体" w:cs="Times New Roman"/>
                      <w:color w:val="auto"/>
                      <w:sz w:val="18"/>
                      <w:szCs w:val="18"/>
                      <w:vertAlign w:val="subscript"/>
                    </w:rPr>
                    <w:t>Mn</w:t>
                  </w:r>
                  <w:r>
                    <w:rPr>
                      <w:rFonts w:hint="default" w:ascii="Times New Roman" w:hAnsi="Times New Roman" w:eastAsia="宋体" w:cs="Times New Roman"/>
                      <w:color w:val="auto"/>
                      <w:sz w:val="18"/>
                      <w:szCs w:val="18"/>
                    </w:rPr>
                    <w:t>法,以</w:t>
                  </w:r>
                  <w:r>
                    <w:rPr>
                      <w:rFonts w:hint="default" w:ascii="Times New Roman" w:hAnsi="Times New Roman" w:eastAsia="宋体" w:cs="Times New Roman"/>
                      <w:color w:val="auto"/>
                      <w:sz w:val="18"/>
                      <w:szCs w:val="18"/>
                      <w:lang w:val="en-US" w:eastAsia="zh-CN"/>
                    </w:rPr>
                    <w:t>O</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rPr>
                    <w:t>计)</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氨氮(以N计)</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硫化物</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钠</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总大肠菌群</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菌落总数</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亚硝酸盐(以N计)</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硝酸盐(以N计)</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氰化物</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氟化物</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碘化物</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汞</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i w:val="0"/>
                      <w:iCs w:val="0"/>
                      <w:caps w:val="0"/>
                      <w:color w:val="auto"/>
                      <w:spacing w:val="0"/>
                      <w:sz w:val="18"/>
                      <w:szCs w:val="18"/>
                    </w:rPr>
                    <w:t>砷、硒、镉、铬</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六价</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rPr>
                    <w:t>、铅</w:t>
                  </w:r>
                  <w:r>
                    <w:rPr>
                      <w:rFonts w:hint="default" w:ascii="Times New Roman" w:hAnsi="Times New Roman" w:eastAsia="宋体" w:cs="Times New Roman"/>
                      <w:i w:val="0"/>
                      <w:iCs w:val="0"/>
                      <w:caps w:val="0"/>
                      <w:color w:val="auto"/>
                      <w:spacing w:val="0"/>
                      <w:sz w:val="18"/>
                      <w:szCs w:val="18"/>
                      <w:lang w:eastAsia="zh-CN"/>
                    </w:rPr>
                    <w:t>、</w:t>
                  </w:r>
                  <w:r>
                    <w:rPr>
                      <w:rFonts w:hint="default" w:ascii="Times New Roman" w:hAnsi="Times New Roman" w:eastAsia="宋体" w:cs="Times New Roman"/>
                      <w:i w:val="0"/>
                      <w:iCs w:val="0"/>
                      <w:caps w:val="0"/>
                      <w:color w:val="auto"/>
                      <w:spacing w:val="0"/>
                      <w:sz w:val="18"/>
                      <w:szCs w:val="18"/>
                      <w:lang w:val="en-US" w:eastAsia="zh-CN"/>
                    </w:rPr>
                    <w:t>三氯甲烷、四氯化碳、苯、甲苯、</w:t>
                  </w:r>
                  <w:r>
                    <w:rPr>
                      <w:rFonts w:hint="default" w:ascii="Times New Roman" w:hAnsi="Times New Roman" w:eastAsia="宋体" w:cs="Times New Roman"/>
                      <w:color w:val="auto"/>
                      <w:sz w:val="18"/>
                      <w:szCs w:val="18"/>
                    </w:rPr>
                    <w:t>总α放射性</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总β放射性</w:t>
                  </w:r>
                </w:p>
              </w:tc>
            </w:tr>
          </w:tbl>
          <w:p w14:paraId="1F17B601">
            <w:pPr>
              <w:pStyle w:val="3"/>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5、主要仪器设备</w:t>
            </w:r>
          </w:p>
          <w:p w14:paraId="6438F141">
            <w:pPr>
              <w:pStyle w:val="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根据建设单位提供资料，项目主要设备详见表 2-3。</w:t>
            </w:r>
          </w:p>
          <w:p w14:paraId="56D3CA12">
            <w:pPr>
              <w:pStyle w:val="3"/>
              <w:keepNext w:val="0"/>
              <w:keepLines w:val="0"/>
              <w:pageBreakBefore w:val="0"/>
              <w:widowControl w:val="0"/>
              <w:kinsoku/>
              <w:wordWrap/>
              <w:overflowPunct/>
              <w:topLinePunct w:val="0"/>
              <w:autoSpaceDE/>
              <w:autoSpaceDN/>
              <w:bidi w:val="0"/>
              <w:adjustRightInd/>
              <w:snapToGrid/>
              <w:spacing w:line="360" w:lineRule="exact"/>
              <w:ind w:firstLine="361" w:firstLineChars="200"/>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表2-3  项目主要设备一览表</w:t>
            </w:r>
          </w:p>
          <w:tbl>
            <w:tblPr>
              <w:tblStyle w:val="20"/>
              <w:tblW w:w="0" w:type="auto"/>
              <w:jc w:val="center"/>
              <w:tblLayout w:type="fixed"/>
              <w:tblCellMar>
                <w:top w:w="0" w:type="dxa"/>
                <w:left w:w="108" w:type="dxa"/>
                <w:bottom w:w="0" w:type="dxa"/>
                <w:right w:w="108" w:type="dxa"/>
              </w:tblCellMar>
            </w:tblPr>
            <w:tblGrid>
              <w:gridCol w:w="578"/>
              <w:gridCol w:w="2916"/>
              <w:gridCol w:w="578"/>
              <w:gridCol w:w="578"/>
              <w:gridCol w:w="2766"/>
            </w:tblGrid>
            <w:tr w14:paraId="570831E3">
              <w:tblPrEx>
                <w:tblCellMar>
                  <w:top w:w="0" w:type="dxa"/>
                  <w:left w:w="108" w:type="dxa"/>
                  <w:bottom w:w="0" w:type="dxa"/>
                  <w:right w:w="108" w:type="dxa"/>
                </w:tblCellMar>
              </w:tblPrEx>
              <w:trPr>
                <w:trHeight w:val="363" w:hRule="atLeast"/>
                <w:tblHeader/>
                <w:jc w:val="center"/>
              </w:trPr>
              <w:tc>
                <w:tcPr>
                  <w:tcW w:w="57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1228107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序号</w:t>
                  </w:r>
                </w:p>
              </w:tc>
              <w:tc>
                <w:tcPr>
                  <w:tcW w:w="2916" w:type="dxa"/>
                  <w:tcBorders>
                    <w:top w:val="single" w:color="000000" w:sz="8" w:space="0"/>
                    <w:left w:val="nil"/>
                    <w:bottom w:val="single" w:color="000000" w:sz="8" w:space="0"/>
                    <w:right w:val="single" w:color="000000" w:sz="8" w:space="0"/>
                  </w:tcBorders>
                  <w:shd w:val="clear" w:color="auto" w:fill="auto"/>
                  <w:noWrap/>
                  <w:vAlign w:val="center"/>
                </w:tcPr>
                <w:p w14:paraId="67C34FB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设备名称</w:t>
                  </w:r>
                </w:p>
              </w:tc>
              <w:tc>
                <w:tcPr>
                  <w:tcW w:w="578" w:type="dxa"/>
                  <w:tcBorders>
                    <w:top w:val="single" w:color="000000" w:sz="8" w:space="0"/>
                    <w:left w:val="nil"/>
                    <w:bottom w:val="single" w:color="000000" w:sz="8" w:space="0"/>
                    <w:right w:val="single" w:color="000000" w:sz="8" w:space="0"/>
                  </w:tcBorders>
                  <w:shd w:val="clear" w:color="auto" w:fill="auto"/>
                  <w:noWrap/>
                  <w:vAlign w:val="center"/>
                </w:tcPr>
                <w:p w14:paraId="7DE8448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数量</w:t>
                  </w:r>
                </w:p>
              </w:tc>
              <w:tc>
                <w:tcPr>
                  <w:tcW w:w="578" w:type="dxa"/>
                  <w:tcBorders>
                    <w:top w:val="single" w:color="000000" w:sz="8" w:space="0"/>
                    <w:left w:val="nil"/>
                    <w:bottom w:val="single" w:color="000000" w:sz="8" w:space="0"/>
                    <w:right w:val="single" w:color="000000" w:sz="8" w:space="0"/>
                  </w:tcBorders>
                  <w:shd w:val="clear" w:color="auto" w:fill="auto"/>
                  <w:noWrap/>
                  <w:vAlign w:val="center"/>
                </w:tcPr>
                <w:p w14:paraId="0EEA7E7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单位</w:t>
                  </w:r>
                </w:p>
              </w:tc>
              <w:tc>
                <w:tcPr>
                  <w:tcW w:w="2766" w:type="dxa"/>
                  <w:tcBorders>
                    <w:top w:val="single" w:color="000000" w:sz="8" w:space="0"/>
                    <w:left w:val="nil"/>
                    <w:bottom w:val="single" w:color="000000" w:sz="8" w:space="0"/>
                    <w:right w:val="single" w:color="000000" w:sz="8" w:space="0"/>
                  </w:tcBorders>
                  <w:shd w:val="clear" w:color="auto" w:fill="auto"/>
                  <w:noWrap/>
                  <w:vAlign w:val="center"/>
                </w:tcPr>
                <w:p w14:paraId="57D58FE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备注</w:t>
                  </w:r>
                </w:p>
              </w:tc>
            </w:tr>
            <w:tr w14:paraId="7E732B90">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467BE41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2916" w:type="dxa"/>
                  <w:tcBorders>
                    <w:top w:val="nil"/>
                    <w:left w:val="nil"/>
                    <w:bottom w:val="single" w:color="000000" w:sz="8" w:space="0"/>
                    <w:right w:val="single" w:color="000000" w:sz="8" w:space="0"/>
                  </w:tcBorders>
                  <w:shd w:val="clear" w:color="auto" w:fill="auto"/>
                  <w:noWrap w:val="0"/>
                  <w:vAlign w:val="center"/>
                </w:tcPr>
                <w:p w14:paraId="7B3FA1D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离子色谱仪</w:t>
                  </w:r>
                </w:p>
              </w:tc>
              <w:tc>
                <w:tcPr>
                  <w:tcW w:w="578" w:type="dxa"/>
                  <w:tcBorders>
                    <w:top w:val="nil"/>
                    <w:left w:val="nil"/>
                    <w:bottom w:val="single" w:color="000000" w:sz="8" w:space="0"/>
                    <w:right w:val="single" w:color="000000" w:sz="8" w:space="0"/>
                  </w:tcBorders>
                  <w:shd w:val="clear" w:color="auto" w:fill="auto"/>
                  <w:noWrap/>
                  <w:vAlign w:val="center"/>
                </w:tcPr>
                <w:p w14:paraId="5AEBED2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val="en-US" w:eastAsia="zh-CN"/>
                    </w:rPr>
                    <w:t>1</w:t>
                  </w:r>
                </w:p>
              </w:tc>
              <w:tc>
                <w:tcPr>
                  <w:tcW w:w="578" w:type="dxa"/>
                  <w:tcBorders>
                    <w:top w:val="nil"/>
                    <w:left w:val="nil"/>
                    <w:bottom w:val="single" w:color="000000" w:sz="8" w:space="0"/>
                    <w:right w:val="single" w:color="000000" w:sz="8" w:space="0"/>
                  </w:tcBorders>
                  <w:shd w:val="clear" w:color="auto" w:fill="auto"/>
                  <w:noWrap/>
                  <w:vAlign w:val="center"/>
                </w:tcPr>
                <w:p w14:paraId="0EE42D4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372A526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电脑、打印机</w:t>
                  </w:r>
                </w:p>
              </w:tc>
            </w:tr>
            <w:tr w14:paraId="2DFE1F2C">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7B9F7AE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2916" w:type="dxa"/>
                  <w:tcBorders>
                    <w:top w:val="nil"/>
                    <w:left w:val="nil"/>
                    <w:bottom w:val="single" w:color="000000" w:sz="8" w:space="0"/>
                    <w:right w:val="single" w:color="000000" w:sz="8" w:space="0"/>
                  </w:tcBorders>
                  <w:shd w:val="clear" w:color="auto" w:fill="auto"/>
                  <w:noWrap w:val="0"/>
                  <w:vAlign w:val="center"/>
                </w:tcPr>
                <w:p w14:paraId="4CF54C9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超高效液相色谱三重四极杆质谱仪</w:t>
                  </w:r>
                </w:p>
              </w:tc>
              <w:tc>
                <w:tcPr>
                  <w:tcW w:w="578" w:type="dxa"/>
                  <w:tcBorders>
                    <w:top w:val="nil"/>
                    <w:left w:val="nil"/>
                    <w:bottom w:val="single" w:color="000000" w:sz="8" w:space="0"/>
                    <w:right w:val="single" w:color="000000" w:sz="8" w:space="0"/>
                  </w:tcBorders>
                  <w:shd w:val="clear" w:color="auto" w:fill="auto"/>
                  <w:noWrap/>
                  <w:vAlign w:val="center"/>
                </w:tcPr>
                <w:p w14:paraId="35890CB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2891205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35037EE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电脑、打印机、 UPS稳压电源</w:t>
                  </w:r>
                </w:p>
              </w:tc>
            </w:tr>
            <w:tr w14:paraId="52B1A59F">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3168D38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w:t>
                  </w:r>
                </w:p>
              </w:tc>
              <w:tc>
                <w:tcPr>
                  <w:tcW w:w="2916" w:type="dxa"/>
                  <w:tcBorders>
                    <w:top w:val="nil"/>
                    <w:left w:val="nil"/>
                    <w:bottom w:val="single" w:color="000000" w:sz="8" w:space="0"/>
                    <w:right w:val="single" w:color="000000" w:sz="8" w:space="0"/>
                  </w:tcBorders>
                  <w:shd w:val="clear" w:color="auto" w:fill="auto"/>
                  <w:noWrap w:val="0"/>
                  <w:vAlign w:val="center"/>
                </w:tcPr>
                <w:p w14:paraId="21CA32F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高效液相色谱仪</w:t>
                  </w:r>
                </w:p>
              </w:tc>
              <w:tc>
                <w:tcPr>
                  <w:tcW w:w="578" w:type="dxa"/>
                  <w:tcBorders>
                    <w:top w:val="nil"/>
                    <w:left w:val="nil"/>
                    <w:bottom w:val="single" w:color="000000" w:sz="8" w:space="0"/>
                    <w:right w:val="single" w:color="000000" w:sz="8" w:space="0"/>
                  </w:tcBorders>
                  <w:shd w:val="clear" w:color="auto" w:fill="auto"/>
                  <w:noWrap/>
                  <w:vAlign w:val="center"/>
                </w:tcPr>
                <w:p w14:paraId="712A4F8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1FBF11D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1906391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电脑、打印机</w:t>
                  </w:r>
                </w:p>
              </w:tc>
            </w:tr>
            <w:tr w14:paraId="58305870">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02C6846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w:t>
                  </w:r>
                </w:p>
              </w:tc>
              <w:tc>
                <w:tcPr>
                  <w:tcW w:w="2916" w:type="dxa"/>
                  <w:tcBorders>
                    <w:top w:val="nil"/>
                    <w:left w:val="nil"/>
                    <w:bottom w:val="single" w:color="000000" w:sz="8" w:space="0"/>
                    <w:right w:val="single" w:color="000000" w:sz="8" w:space="0"/>
                  </w:tcBorders>
                  <w:shd w:val="clear" w:color="auto" w:fill="auto"/>
                  <w:noWrap w:val="0"/>
                  <w:vAlign w:val="center"/>
                </w:tcPr>
                <w:p w14:paraId="5901B90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液相色谱柱后衍生器</w:t>
                  </w:r>
                </w:p>
              </w:tc>
              <w:tc>
                <w:tcPr>
                  <w:tcW w:w="578" w:type="dxa"/>
                  <w:tcBorders>
                    <w:top w:val="nil"/>
                    <w:left w:val="nil"/>
                    <w:bottom w:val="single" w:color="000000" w:sz="8" w:space="0"/>
                    <w:right w:val="single" w:color="000000" w:sz="8" w:space="0"/>
                  </w:tcBorders>
                  <w:shd w:val="clear" w:color="auto" w:fill="auto"/>
                  <w:noWrap/>
                  <w:vAlign w:val="center"/>
                </w:tcPr>
                <w:p w14:paraId="3C0324A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7257ACE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393C34B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1C72685C">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5EC9ABF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5</w:t>
                  </w:r>
                </w:p>
              </w:tc>
              <w:tc>
                <w:tcPr>
                  <w:tcW w:w="2916" w:type="dxa"/>
                  <w:tcBorders>
                    <w:top w:val="nil"/>
                    <w:left w:val="nil"/>
                    <w:bottom w:val="single" w:color="000000" w:sz="8" w:space="0"/>
                    <w:right w:val="single" w:color="000000" w:sz="8" w:space="0"/>
                  </w:tcBorders>
                  <w:shd w:val="clear" w:color="auto" w:fill="auto"/>
                  <w:noWrap w:val="0"/>
                  <w:vAlign w:val="center"/>
                </w:tcPr>
                <w:p w14:paraId="378C495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气相色谱质谱联用仪</w:t>
                  </w:r>
                </w:p>
              </w:tc>
              <w:tc>
                <w:tcPr>
                  <w:tcW w:w="578" w:type="dxa"/>
                  <w:tcBorders>
                    <w:top w:val="nil"/>
                    <w:left w:val="nil"/>
                    <w:bottom w:val="single" w:color="000000" w:sz="8" w:space="0"/>
                    <w:right w:val="single" w:color="000000" w:sz="8" w:space="0"/>
                  </w:tcBorders>
                  <w:shd w:val="clear" w:color="auto" w:fill="auto"/>
                  <w:noWrap/>
                  <w:vAlign w:val="center"/>
                </w:tcPr>
                <w:p w14:paraId="64B0665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448016F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7FCE647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电脑、打印机、 6KW 稳压电源</w:t>
                  </w:r>
                </w:p>
              </w:tc>
            </w:tr>
            <w:tr w14:paraId="6FD0910F">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7B3B068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6</w:t>
                  </w:r>
                </w:p>
              </w:tc>
              <w:tc>
                <w:tcPr>
                  <w:tcW w:w="2916" w:type="dxa"/>
                  <w:tcBorders>
                    <w:top w:val="nil"/>
                    <w:left w:val="nil"/>
                    <w:bottom w:val="single" w:color="000000" w:sz="8" w:space="0"/>
                    <w:right w:val="single" w:color="000000" w:sz="8" w:space="0"/>
                  </w:tcBorders>
                  <w:shd w:val="clear" w:color="auto" w:fill="auto"/>
                  <w:noWrap w:val="0"/>
                  <w:vAlign w:val="center"/>
                </w:tcPr>
                <w:p w14:paraId="70B308E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吹扫捕集气质联用仪</w:t>
                  </w:r>
                </w:p>
              </w:tc>
              <w:tc>
                <w:tcPr>
                  <w:tcW w:w="578" w:type="dxa"/>
                  <w:tcBorders>
                    <w:top w:val="nil"/>
                    <w:left w:val="nil"/>
                    <w:bottom w:val="single" w:color="000000" w:sz="8" w:space="0"/>
                    <w:right w:val="single" w:color="000000" w:sz="8" w:space="0"/>
                  </w:tcBorders>
                  <w:shd w:val="clear" w:color="auto" w:fill="auto"/>
                  <w:noWrap/>
                  <w:vAlign w:val="center"/>
                </w:tcPr>
                <w:p w14:paraId="7BF23D9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033E367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3AEB29F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电脑、打印机、 6KW 稳压电源</w:t>
                  </w:r>
                </w:p>
              </w:tc>
            </w:tr>
            <w:tr w14:paraId="445AE783">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04B5670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7</w:t>
                  </w:r>
                </w:p>
              </w:tc>
              <w:tc>
                <w:tcPr>
                  <w:tcW w:w="2916" w:type="dxa"/>
                  <w:tcBorders>
                    <w:top w:val="nil"/>
                    <w:left w:val="nil"/>
                    <w:bottom w:val="single" w:color="000000" w:sz="8" w:space="0"/>
                    <w:right w:val="single" w:color="000000" w:sz="8" w:space="0"/>
                  </w:tcBorders>
                  <w:shd w:val="clear" w:color="auto" w:fill="auto"/>
                  <w:noWrap w:val="0"/>
                  <w:vAlign w:val="center"/>
                </w:tcPr>
                <w:p w14:paraId="3493121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全自动水中油分析仪</w:t>
                  </w:r>
                </w:p>
              </w:tc>
              <w:tc>
                <w:tcPr>
                  <w:tcW w:w="578" w:type="dxa"/>
                  <w:tcBorders>
                    <w:top w:val="nil"/>
                    <w:left w:val="nil"/>
                    <w:bottom w:val="single" w:color="000000" w:sz="8" w:space="0"/>
                    <w:right w:val="single" w:color="000000" w:sz="8" w:space="0"/>
                  </w:tcBorders>
                  <w:shd w:val="clear" w:color="auto" w:fill="auto"/>
                  <w:noWrap/>
                  <w:vAlign w:val="center"/>
                </w:tcPr>
                <w:p w14:paraId="3E86B6D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7F6A9EE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1E12B01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电脑、打印机</w:t>
                  </w:r>
                </w:p>
              </w:tc>
            </w:tr>
            <w:tr w14:paraId="7F3C2F12">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374107E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8</w:t>
                  </w:r>
                </w:p>
              </w:tc>
              <w:tc>
                <w:tcPr>
                  <w:tcW w:w="2916" w:type="dxa"/>
                  <w:tcBorders>
                    <w:top w:val="nil"/>
                    <w:left w:val="nil"/>
                    <w:bottom w:val="single" w:color="000000" w:sz="8" w:space="0"/>
                    <w:right w:val="single" w:color="000000" w:sz="8" w:space="0"/>
                  </w:tcBorders>
                  <w:shd w:val="clear" w:color="auto" w:fill="auto"/>
                  <w:noWrap w:val="0"/>
                  <w:vAlign w:val="center"/>
                </w:tcPr>
                <w:p w14:paraId="37B55C4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原子荧光光度计</w:t>
                  </w:r>
                </w:p>
              </w:tc>
              <w:tc>
                <w:tcPr>
                  <w:tcW w:w="578" w:type="dxa"/>
                  <w:tcBorders>
                    <w:top w:val="nil"/>
                    <w:left w:val="nil"/>
                    <w:bottom w:val="single" w:color="000000" w:sz="8" w:space="0"/>
                    <w:right w:val="single" w:color="000000" w:sz="8" w:space="0"/>
                  </w:tcBorders>
                  <w:shd w:val="clear" w:color="auto" w:fill="auto"/>
                  <w:noWrap/>
                  <w:vAlign w:val="center"/>
                </w:tcPr>
                <w:p w14:paraId="5CB2177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453CE7A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337272D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电脑、打印机</w:t>
                  </w:r>
                </w:p>
              </w:tc>
            </w:tr>
            <w:tr w14:paraId="3BE6DCA5">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17C8ED8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9</w:t>
                  </w:r>
                </w:p>
              </w:tc>
              <w:tc>
                <w:tcPr>
                  <w:tcW w:w="2916" w:type="dxa"/>
                  <w:tcBorders>
                    <w:top w:val="nil"/>
                    <w:left w:val="nil"/>
                    <w:bottom w:val="single" w:color="000000" w:sz="8" w:space="0"/>
                    <w:right w:val="single" w:color="000000" w:sz="8" w:space="0"/>
                  </w:tcBorders>
                  <w:shd w:val="clear" w:color="auto" w:fill="auto"/>
                  <w:noWrap w:val="0"/>
                  <w:vAlign w:val="center"/>
                </w:tcPr>
                <w:p w14:paraId="3037813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程控定量封口机</w:t>
                  </w:r>
                </w:p>
              </w:tc>
              <w:tc>
                <w:tcPr>
                  <w:tcW w:w="578" w:type="dxa"/>
                  <w:tcBorders>
                    <w:top w:val="nil"/>
                    <w:left w:val="nil"/>
                    <w:bottom w:val="single" w:color="000000" w:sz="8" w:space="0"/>
                    <w:right w:val="single" w:color="000000" w:sz="8" w:space="0"/>
                  </w:tcBorders>
                  <w:shd w:val="clear" w:color="auto" w:fill="auto"/>
                  <w:noWrap/>
                  <w:vAlign w:val="center"/>
                </w:tcPr>
                <w:p w14:paraId="00D0092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6E14AF1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36A183C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43037C56">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auto" w:sz="4" w:space="0"/>
                    <w:right w:val="single" w:color="000000" w:sz="8" w:space="0"/>
                  </w:tcBorders>
                  <w:shd w:val="clear" w:color="auto" w:fill="auto"/>
                  <w:noWrap/>
                  <w:vAlign w:val="center"/>
                </w:tcPr>
                <w:p w14:paraId="5857DC5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10</w:t>
                  </w:r>
                </w:p>
              </w:tc>
              <w:tc>
                <w:tcPr>
                  <w:tcW w:w="2916" w:type="dxa"/>
                  <w:tcBorders>
                    <w:top w:val="nil"/>
                    <w:left w:val="nil"/>
                    <w:bottom w:val="single" w:color="auto" w:sz="4" w:space="0"/>
                    <w:right w:val="single" w:color="000000" w:sz="8" w:space="0"/>
                  </w:tcBorders>
                  <w:shd w:val="clear" w:color="auto" w:fill="auto"/>
                  <w:noWrap w:val="0"/>
                  <w:vAlign w:val="center"/>
                </w:tcPr>
                <w:p w14:paraId="32F43EE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涡旋混合仪</w:t>
                  </w:r>
                </w:p>
              </w:tc>
              <w:tc>
                <w:tcPr>
                  <w:tcW w:w="578" w:type="dxa"/>
                  <w:tcBorders>
                    <w:top w:val="nil"/>
                    <w:left w:val="nil"/>
                    <w:bottom w:val="single" w:color="auto" w:sz="4" w:space="0"/>
                    <w:right w:val="single" w:color="000000" w:sz="8" w:space="0"/>
                  </w:tcBorders>
                  <w:shd w:val="clear" w:color="auto" w:fill="auto"/>
                  <w:noWrap/>
                  <w:vAlign w:val="center"/>
                </w:tcPr>
                <w:p w14:paraId="03BA38E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auto" w:sz="4" w:space="0"/>
                    <w:right w:val="single" w:color="000000" w:sz="8" w:space="0"/>
                  </w:tcBorders>
                  <w:shd w:val="clear" w:color="auto" w:fill="auto"/>
                  <w:noWrap/>
                  <w:vAlign w:val="center"/>
                </w:tcPr>
                <w:p w14:paraId="5219037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auto" w:sz="4" w:space="0"/>
                    <w:right w:val="single" w:color="000000" w:sz="8" w:space="0"/>
                  </w:tcBorders>
                  <w:shd w:val="clear" w:color="auto" w:fill="auto"/>
                  <w:noWrap/>
                  <w:vAlign w:val="center"/>
                </w:tcPr>
                <w:p w14:paraId="186B4EE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54726DAE">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3451F50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11</w:t>
                  </w:r>
                </w:p>
              </w:tc>
              <w:tc>
                <w:tcPr>
                  <w:tcW w:w="2916" w:type="dxa"/>
                  <w:tcBorders>
                    <w:top w:val="single" w:color="auto" w:sz="4" w:space="0"/>
                    <w:left w:val="nil"/>
                    <w:bottom w:val="single" w:color="000000" w:sz="8" w:space="0"/>
                    <w:right w:val="single" w:color="000000" w:sz="8" w:space="0"/>
                  </w:tcBorders>
                  <w:shd w:val="clear" w:color="auto" w:fill="auto"/>
                  <w:noWrap w:val="0"/>
                  <w:vAlign w:val="center"/>
                </w:tcPr>
                <w:p w14:paraId="0735866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氮吹仪(配套氮气发生器)</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0BAA113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4889821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single" w:color="auto" w:sz="4" w:space="0"/>
                    <w:left w:val="nil"/>
                    <w:bottom w:val="single" w:color="000000" w:sz="8" w:space="0"/>
                    <w:right w:val="single" w:color="000000" w:sz="8" w:space="0"/>
                  </w:tcBorders>
                  <w:shd w:val="clear" w:color="auto" w:fill="auto"/>
                  <w:noWrap/>
                  <w:vAlign w:val="center"/>
                </w:tcPr>
                <w:p w14:paraId="2F36323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7E54258E">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3730568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12</w:t>
                  </w:r>
                </w:p>
              </w:tc>
              <w:tc>
                <w:tcPr>
                  <w:tcW w:w="2916" w:type="dxa"/>
                  <w:tcBorders>
                    <w:top w:val="nil"/>
                    <w:left w:val="nil"/>
                    <w:bottom w:val="single" w:color="000000" w:sz="8" w:space="0"/>
                    <w:right w:val="single" w:color="000000" w:sz="8" w:space="0"/>
                  </w:tcBorders>
                  <w:shd w:val="clear" w:color="auto" w:fill="auto"/>
                  <w:noWrap w:val="0"/>
                  <w:vAlign w:val="center"/>
                </w:tcPr>
                <w:p w14:paraId="02D0A86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全自动固相萃取仪</w:t>
                  </w:r>
                </w:p>
              </w:tc>
              <w:tc>
                <w:tcPr>
                  <w:tcW w:w="578" w:type="dxa"/>
                  <w:tcBorders>
                    <w:top w:val="nil"/>
                    <w:left w:val="nil"/>
                    <w:bottom w:val="single" w:color="000000" w:sz="8" w:space="0"/>
                    <w:right w:val="single" w:color="000000" w:sz="8" w:space="0"/>
                  </w:tcBorders>
                  <w:shd w:val="clear" w:color="auto" w:fill="auto"/>
                  <w:noWrap/>
                  <w:vAlign w:val="center"/>
                </w:tcPr>
                <w:p w14:paraId="6B7C170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5067D9F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053A9C1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电脑、打印机</w:t>
                  </w:r>
                </w:p>
              </w:tc>
            </w:tr>
            <w:tr w14:paraId="4CE2774B">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auto" w:sz="4" w:space="0"/>
                    <w:right w:val="single" w:color="000000" w:sz="8" w:space="0"/>
                  </w:tcBorders>
                  <w:shd w:val="clear" w:color="auto" w:fill="auto"/>
                  <w:noWrap/>
                  <w:vAlign w:val="center"/>
                </w:tcPr>
                <w:p w14:paraId="7FF3C28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13</w:t>
                  </w:r>
                </w:p>
              </w:tc>
              <w:tc>
                <w:tcPr>
                  <w:tcW w:w="2916" w:type="dxa"/>
                  <w:tcBorders>
                    <w:top w:val="nil"/>
                    <w:left w:val="nil"/>
                    <w:bottom w:val="single" w:color="auto" w:sz="4" w:space="0"/>
                    <w:right w:val="single" w:color="000000" w:sz="8" w:space="0"/>
                  </w:tcBorders>
                  <w:shd w:val="clear" w:color="auto" w:fill="auto"/>
                  <w:noWrap w:val="0"/>
                  <w:vAlign w:val="center"/>
                </w:tcPr>
                <w:p w14:paraId="18408E9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紫外可见分光光度计</w:t>
                  </w:r>
                </w:p>
              </w:tc>
              <w:tc>
                <w:tcPr>
                  <w:tcW w:w="578" w:type="dxa"/>
                  <w:tcBorders>
                    <w:top w:val="nil"/>
                    <w:left w:val="nil"/>
                    <w:bottom w:val="single" w:color="auto" w:sz="4" w:space="0"/>
                    <w:right w:val="single" w:color="000000" w:sz="8" w:space="0"/>
                  </w:tcBorders>
                  <w:shd w:val="clear" w:color="auto" w:fill="auto"/>
                  <w:noWrap/>
                  <w:vAlign w:val="center"/>
                </w:tcPr>
                <w:p w14:paraId="631F81F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val="en-US" w:eastAsia="zh-CN"/>
                    </w:rPr>
                    <w:t>2</w:t>
                  </w:r>
                </w:p>
              </w:tc>
              <w:tc>
                <w:tcPr>
                  <w:tcW w:w="578" w:type="dxa"/>
                  <w:tcBorders>
                    <w:top w:val="nil"/>
                    <w:left w:val="nil"/>
                    <w:bottom w:val="single" w:color="auto" w:sz="4" w:space="0"/>
                    <w:right w:val="single" w:color="000000" w:sz="8" w:space="0"/>
                  </w:tcBorders>
                  <w:shd w:val="clear" w:color="auto" w:fill="auto"/>
                  <w:noWrap/>
                  <w:vAlign w:val="center"/>
                </w:tcPr>
                <w:p w14:paraId="6FB7113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auto" w:sz="4" w:space="0"/>
                    <w:right w:val="single" w:color="000000" w:sz="8" w:space="0"/>
                  </w:tcBorders>
                  <w:shd w:val="clear" w:color="auto" w:fill="auto"/>
                  <w:noWrap/>
                  <w:vAlign w:val="center"/>
                </w:tcPr>
                <w:p w14:paraId="3878A0E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电脑、打印机</w:t>
                  </w:r>
                </w:p>
              </w:tc>
            </w:tr>
            <w:tr w14:paraId="7CEB8723">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44676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14</w:t>
                  </w:r>
                </w:p>
              </w:tc>
              <w:tc>
                <w:tcPr>
                  <w:tcW w:w="29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9996BF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便携式多参数测试仪</w:t>
                  </w:r>
                </w:p>
              </w:tc>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2B957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w:t>
                  </w:r>
                </w:p>
              </w:tc>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EC3C3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套</w:t>
                  </w:r>
                </w:p>
              </w:tc>
              <w:tc>
                <w:tcPr>
                  <w:tcW w:w="27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5DA40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7BCFDA25">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CD95F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15</w:t>
                  </w:r>
                </w:p>
              </w:tc>
              <w:tc>
                <w:tcPr>
                  <w:tcW w:w="29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17C1AC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便携式浊度仪</w:t>
                  </w:r>
                </w:p>
              </w:tc>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85EBB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w:t>
                  </w:r>
                </w:p>
              </w:tc>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E4CAC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CD54A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596B3519">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7CA6192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16</w:t>
                  </w:r>
                </w:p>
              </w:tc>
              <w:tc>
                <w:tcPr>
                  <w:tcW w:w="2916" w:type="dxa"/>
                  <w:tcBorders>
                    <w:top w:val="single" w:color="auto" w:sz="4" w:space="0"/>
                    <w:left w:val="nil"/>
                    <w:bottom w:val="single" w:color="000000" w:sz="8" w:space="0"/>
                    <w:right w:val="single" w:color="000000" w:sz="8" w:space="0"/>
                  </w:tcBorders>
                  <w:shd w:val="clear" w:color="auto" w:fill="auto"/>
                  <w:noWrap w:val="0"/>
                  <w:vAlign w:val="center"/>
                </w:tcPr>
                <w:p w14:paraId="08BB253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pH计</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0C6015A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2C677D8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single" w:color="auto" w:sz="4" w:space="0"/>
                    <w:left w:val="nil"/>
                    <w:bottom w:val="single" w:color="000000" w:sz="8" w:space="0"/>
                    <w:right w:val="single" w:color="000000" w:sz="8" w:space="0"/>
                  </w:tcBorders>
                  <w:shd w:val="clear" w:color="auto" w:fill="auto"/>
                  <w:noWrap/>
                  <w:vAlign w:val="center"/>
                </w:tcPr>
                <w:p w14:paraId="62CC6CE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1FE84F08">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auto" w:sz="4" w:space="0"/>
                    <w:right w:val="single" w:color="000000" w:sz="8" w:space="0"/>
                  </w:tcBorders>
                  <w:shd w:val="clear" w:color="auto" w:fill="auto"/>
                  <w:noWrap/>
                  <w:vAlign w:val="center"/>
                </w:tcPr>
                <w:p w14:paraId="0DC1E1A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17</w:t>
                  </w:r>
                </w:p>
              </w:tc>
              <w:tc>
                <w:tcPr>
                  <w:tcW w:w="2916" w:type="dxa"/>
                  <w:tcBorders>
                    <w:top w:val="nil"/>
                    <w:left w:val="nil"/>
                    <w:bottom w:val="single" w:color="auto" w:sz="4" w:space="0"/>
                    <w:right w:val="single" w:color="000000" w:sz="8" w:space="0"/>
                  </w:tcBorders>
                  <w:shd w:val="clear" w:color="auto" w:fill="auto"/>
                  <w:noWrap w:val="0"/>
                  <w:vAlign w:val="center"/>
                </w:tcPr>
                <w:p w14:paraId="556514D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电子天平(千分之一)</w:t>
                  </w:r>
                </w:p>
              </w:tc>
              <w:tc>
                <w:tcPr>
                  <w:tcW w:w="578" w:type="dxa"/>
                  <w:tcBorders>
                    <w:top w:val="nil"/>
                    <w:left w:val="nil"/>
                    <w:bottom w:val="single" w:color="auto" w:sz="4" w:space="0"/>
                    <w:right w:val="single" w:color="000000" w:sz="8" w:space="0"/>
                  </w:tcBorders>
                  <w:shd w:val="clear" w:color="auto" w:fill="auto"/>
                  <w:noWrap/>
                  <w:vAlign w:val="center"/>
                </w:tcPr>
                <w:p w14:paraId="45F95CA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nil"/>
                    <w:left w:val="nil"/>
                    <w:bottom w:val="single" w:color="auto" w:sz="4" w:space="0"/>
                    <w:right w:val="single" w:color="000000" w:sz="8" w:space="0"/>
                  </w:tcBorders>
                  <w:shd w:val="clear" w:color="auto" w:fill="auto"/>
                  <w:noWrap/>
                  <w:vAlign w:val="center"/>
                </w:tcPr>
                <w:p w14:paraId="5A0959A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auto" w:sz="4" w:space="0"/>
                    <w:right w:val="single" w:color="000000" w:sz="8" w:space="0"/>
                  </w:tcBorders>
                  <w:shd w:val="clear" w:color="auto" w:fill="auto"/>
                  <w:noWrap/>
                  <w:vAlign w:val="center"/>
                </w:tcPr>
                <w:p w14:paraId="073E86A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1AE2D3E9">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4CB62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18</w:t>
                  </w:r>
                </w:p>
              </w:tc>
              <w:tc>
                <w:tcPr>
                  <w:tcW w:w="29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513AA4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电子天平(万分之一)</w:t>
                  </w:r>
                </w:p>
              </w:tc>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63196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DE70E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31381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34C645CE">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7CE7005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19</w:t>
                  </w:r>
                </w:p>
              </w:tc>
              <w:tc>
                <w:tcPr>
                  <w:tcW w:w="2916" w:type="dxa"/>
                  <w:tcBorders>
                    <w:top w:val="single" w:color="auto" w:sz="4" w:space="0"/>
                    <w:left w:val="nil"/>
                    <w:bottom w:val="single" w:color="000000" w:sz="8" w:space="0"/>
                    <w:right w:val="single" w:color="000000" w:sz="8" w:space="0"/>
                  </w:tcBorders>
                  <w:shd w:val="clear" w:color="auto" w:fill="auto"/>
                  <w:noWrap w:val="0"/>
                  <w:vAlign w:val="center"/>
                </w:tcPr>
                <w:p w14:paraId="03FA1C2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电子天平(十万分之一)</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629F006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7B895F9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single" w:color="auto" w:sz="4" w:space="0"/>
                    <w:left w:val="nil"/>
                    <w:bottom w:val="single" w:color="000000" w:sz="8" w:space="0"/>
                    <w:right w:val="single" w:color="000000" w:sz="8" w:space="0"/>
                  </w:tcBorders>
                  <w:shd w:val="clear" w:color="auto" w:fill="auto"/>
                  <w:noWrap/>
                  <w:vAlign w:val="center"/>
                </w:tcPr>
                <w:p w14:paraId="39AF2AC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6AC7BDC3">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25B42CE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20</w:t>
                  </w:r>
                </w:p>
              </w:tc>
              <w:tc>
                <w:tcPr>
                  <w:tcW w:w="2916" w:type="dxa"/>
                  <w:tcBorders>
                    <w:top w:val="nil"/>
                    <w:left w:val="nil"/>
                    <w:bottom w:val="single" w:color="000000" w:sz="8" w:space="0"/>
                    <w:right w:val="single" w:color="000000" w:sz="8" w:space="0"/>
                  </w:tcBorders>
                  <w:shd w:val="clear" w:color="auto" w:fill="auto"/>
                  <w:noWrap w:val="0"/>
                  <w:vAlign w:val="center"/>
                </w:tcPr>
                <w:p w14:paraId="354D74F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砝码</w:t>
                  </w:r>
                </w:p>
              </w:tc>
              <w:tc>
                <w:tcPr>
                  <w:tcW w:w="578" w:type="dxa"/>
                  <w:tcBorders>
                    <w:top w:val="nil"/>
                    <w:left w:val="nil"/>
                    <w:bottom w:val="single" w:color="000000" w:sz="8" w:space="0"/>
                    <w:right w:val="single" w:color="000000" w:sz="8" w:space="0"/>
                  </w:tcBorders>
                  <w:shd w:val="clear" w:color="auto" w:fill="auto"/>
                  <w:noWrap/>
                  <w:vAlign w:val="center"/>
                </w:tcPr>
                <w:p w14:paraId="1A991D9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535381B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套</w:t>
                  </w:r>
                </w:p>
              </w:tc>
              <w:tc>
                <w:tcPr>
                  <w:tcW w:w="2766" w:type="dxa"/>
                  <w:tcBorders>
                    <w:top w:val="nil"/>
                    <w:left w:val="nil"/>
                    <w:bottom w:val="single" w:color="000000" w:sz="8" w:space="0"/>
                    <w:right w:val="single" w:color="000000" w:sz="8" w:space="0"/>
                  </w:tcBorders>
                  <w:shd w:val="clear" w:color="auto" w:fill="auto"/>
                  <w:noWrap/>
                  <w:vAlign w:val="center"/>
                </w:tcPr>
                <w:p w14:paraId="1FC0355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3FA6F11C">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3328A28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21</w:t>
                  </w:r>
                </w:p>
              </w:tc>
              <w:tc>
                <w:tcPr>
                  <w:tcW w:w="2916" w:type="dxa"/>
                  <w:tcBorders>
                    <w:top w:val="nil"/>
                    <w:left w:val="nil"/>
                    <w:bottom w:val="single" w:color="000000" w:sz="8" w:space="0"/>
                    <w:right w:val="single" w:color="000000" w:sz="8" w:space="0"/>
                  </w:tcBorders>
                  <w:shd w:val="clear" w:color="auto" w:fill="auto"/>
                  <w:noWrap w:val="0"/>
                  <w:vAlign w:val="center"/>
                </w:tcPr>
                <w:p w14:paraId="633B547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生化培养箱</w:t>
                  </w:r>
                </w:p>
              </w:tc>
              <w:tc>
                <w:tcPr>
                  <w:tcW w:w="578" w:type="dxa"/>
                  <w:tcBorders>
                    <w:top w:val="nil"/>
                    <w:left w:val="nil"/>
                    <w:bottom w:val="single" w:color="000000" w:sz="8" w:space="0"/>
                    <w:right w:val="single" w:color="000000" w:sz="8" w:space="0"/>
                  </w:tcBorders>
                  <w:shd w:val="clear" w:color="auto" w:fill="auto"/>
                  <w:noWrap/>
                  <w:vAlign w:val="center"/>
                </w:tcPr>
                <w:p w14:paraId="4F32620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w:t>
                  </w:r>
                </w:p>
              </w:tc>
              <w:tc>
                <w:tcPr>
                  <w:tcW w:w="578" w:type="dxa"/>
                  <w:tcBorders>
                    <w:top w:val="nil"/>
                    <w:left w:val="nil"/>
                    <w:bottom w:val="single" w:color="000000" w:sz="8" w:space="0"/>
                    <w:right w:val="single" w:color="000000" w:sz="8" w:space="0"/>
                  </w:tcBorders>
                  <w:shd w:val="clear" w:color="auto" w:fill="auto"/>
                  <w:noWrap/>
                  <w:vAlign w:val="center"/>
                </w:tcPr>
                <w:p w14:paraId="3374E8A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3A7F31F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410EE67C">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0564E38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22</w:t>
                  </w:r>
                </w:p>
              </w:tc>
              <w:tc>
                <w:tcPr>
                  <w:tcW w:w="2916" w:type="dxa"/>
                  <w:tcBorders>
                    <w:top w:val="nil"/>
                    <w:left w:val="nil"/>
                    <w:bottom w:val="single" w:color="000000" w:sz="8" w:space="0"/>
                    <w:right w:val="single" w:color="000000" w:sz="8" w:space="0"/>
                  </w:tcBorders>
                  <w:shd w:val="clear" w:color="auto" w:fill="auto"/>
                  <w:noWrap w:val="0"/>
                  <w:vAlign w:val="center"/>
                </w:tcPr>
                <w:p w14:paraId="570BF8D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电热恒温鼓风干燥箱</w:t>
                  </w:r>
                </w:p>
              </w:tc>
              <w:tc>
                <w:tcPr>
                  <w:tcW w:w="578" w:type="dxa"/>
                  <w:tcBorders>
                    <w:top w:val="nil"/>
                    <w:left w:val="nil"/>
                    <w:bottom w:val="single" w:color="000000" w:sz="8" w:space="0"/>
                    <w:right w:val="single" w:color="000000" w:sz="8" w:space="0"/>
                  </w:tcBorders>
                  <w:shd w:val="clear" w:color="auto" w:fill="auto"/>
                  <w:noWrap/>
                  <w:vAlign w:val="center"/>
                </w:tcPr>
                <w:p w14:paraId="3AA95E9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nil"/>
                    <w:left w:val="nil"/>
                    <w:bottom w:val="single" w:color="000000" w:sz="8" w:space="0"/>
                    <w:right w:val="single" w:color="000000" w:sz="8" w:space="0"/>
                  </w:tcBorders>
                  <w:shd w:val="clear" w:color="auto" w:fill="auto"/>
                  <w:noWrap/>
                  <w:vAlign w:val="center"/>
                </w:tcPr>
                <w:p w14:paraId="4D61AD7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1E667C7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100A4BDE">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auto" w:sz="4" w:space="0"/>
                    <w:right w:val="single" w:color="000000" w:sz="8" w:space="0"/>
                  </w:tcBorders>
                  <w:shd w:val="clear" w:color="auto" w:fill="auto"/>
                  <w:noWrap/>
                  <w:vAlign w:val="center"/>
                </w:tcPr>
                <w:p w14:paraId="1E42405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23</w:t>
                  </w:r>
                </w:p>
              </w:tc>
              <w:tc>
                <w:tcPr>
                  <w:tcW w:w="2916" w:type="dxa"/>
                  <w:tcBorders>
                    <w:top w:val="nil"/>
                    <w:left w:val="nil"/>
                    <w:bottom w:val="single" w:color="auto" w:sz="4" w:space="0"/>
                    <w:right w:val="single" w:color="000000" w:sz="8" w:space="0"/>
                  </w:tcBorders>
                  <w:shd w:val="clear" w:color="auto" w:fill="auto"/>
                  <w:noWrap w:val="0"/>
                  <w:vAlign w:val="center"/>
                </w:tcPr>
                <w:p w14:paraId="14D58B0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玻璃气流烘干器</w:t>
                  </w:r>
                </w:p>
              </w:tc>
              <w:tc>
                <w:tcPr>
                  <w:tcW w:w="578" w:type="dxa"/>
                  <w:tcBorders>
                    <w:top w:val="nil"/>
                    <w:left w:val="nil"/>
                    <w:bottom w:val="single" w:color="auto" w:sz="4" w:space="0"/>
                    <w:right w:val="single" w:color="000000" w:sz="8" w:space="0"/>
                  </w:tcBorders>
                  <w:shd w:val="clear" w:color="auto" w:fill="auto"/>
                  <w:noWrap/>
                  <w:vAlign w:val="center"/>
                </w:tcPr>
                <w:p w14:paraId="239587B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nil"/>
                    <w:left w:val="nil"/>
                    <w:bottom w:val="single" w:color="auto" w:sz="4" w:space="0"/>
                    <w:right w:val="single" w:color="000000" w:sz="8" w:space="0"/>
                  </w:tcBorders>
                  <w:shd w:val="clear" w:color="auto" w:fill="auto"/>
                  <w:noWrap/>
                  <w:vAlign w:val="center"/>
                </w:tcPr>
                <w:p w14:paraId="7C6B3AD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auto" w:sz="4" w:space="0"/>
                    <w:right w:val="single" w:color="000000" w:sz="8" w:space="0"/>
                  </w:tcBorders>
                  <w:shd w:val="clear" w:color="auto" w:fill="auto"/>
                  <w:noWrap/>
                  <w:vAlign w:val="center"/>
                </w:tcPr>
                <w:p w14:paraId="7763DD3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11344CAC">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6BAAF19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24</w:t>
                  </w:r>
                </w:p>
              </w:tc>
              <w:tc>
                <w:tcPr>
                  <w:tcW w:w="2916" w:type="dxa"/>
                  <w:tcBorders>
                    <w:top w:val="single" w:color="auto" w:sz="4" w:space="0"/>
                    <w:left w:val="nil"/>
                    <w:bottom w:val="single" w:color="000000" w:sz="8" w:space="0"/>
                    <w:right w:val="single" w:color="000000" w:sz="8" w:space="0"/>
                  </w:tcBorders>
                  <w:shd w:val="clear" w:color="auto" w:fill="auto"/>
                  <w:noWrap w:val="0"/>
                  <w:vAlign w:val="center"/>
                </w:tcPr>
                <w:p w14:paraId="428B991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可调式多联电炉</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63AE584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4A291F8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single" w:color="auto" w:sz="4" w:space="0"/>
                    <w:left w:val="nil"/>
                    <w:bottom w:val="single" w:color="000000" w:sz="8" w:space="0"/>
                    <w:right w:val="single" w:color="000000" w:sz="8" w:space="0"/>
                  </w:tcBorders>
                  <w:shd w:val="clear" w:color="auto" w:fill="auto"/>
                  <w:noWrap/>
                  <w:vAlign w:val="center"/>
                </w:tcPr>
                <w:p w14:paraId="2746517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09C84230">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6705F8A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25</w:t>
                  </w:r>
                </w:p>
              </w:tc>
              <w:tc>
                <w:tcPr>
                  <w:tcW w:w="2916" w:type="dxa"/>
                  <w:tcBorders>
                    <w:top w:val="nil"/>
                    <w:left w:val="nil"/>
                    <w:bottom w:val="single" w:color="000000" w:sz="8" w:space="0"/>
                    <w:right w:val="single" w:color="000000" w:sz="8" w:space="0"/>
                  </w:tcBorders>
                  <w:shd w:val="clear" w:color="auto" w:fill="auto"/>
                  <w:noWrap w:val="0"/>
                  <w:vAlign w:val="center"/>
                </w:tcPr>
                <w:p w14:paraId="0851874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光波炉</w:t>
                  </w:r>
                </w:p>
              </w:tc>
              <w:tc>
                <w:tcPr>
                  <w:tcW w:w="578" w:type="dxa"/>
                  <w:tcBorders>
                    <w:top w:val="nil"/>
                    <w:left w:val="nil"/>
                    <w:bottom w:val="single" w:color="000000" w:sz="8" w:space="0"/>
                    <w:right w:val="single" w:color="000000" w:sz="8" w:space="0"/>
                  </w:tcBorders>
                  <w:shd w:val="clear" w:color="auto" w:fill="auto"/>
                  <w:noWrap/>
                  <w:vAlign w:val="center"/>
                </w:tcPr>
                <w:p w14:paraId="2165F4D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nil"/>
                    <w:left w:val="nil"/>
                    <w:bottom w:val="single" w:color="000000" w:sz="8" w:space="0"/>
                    <w:right w:val="single" w:color="000000" w:sz="8" w:space="0"/>
                  </w:tcBorders>
                  <w:shd w:val="clear" w:color="auto" w:fill="auto"/>
                  <w:noWrap/>
                  <w:vAlign w:val="center"/>
                </w:tcPr>
                <w:p w14:paraId="7A6754D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323CAE9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0D7E997B">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0B72B8D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26</w:t>
                  </w:r>
                </w:p>
              </w:tc>
              <w:tc>
                <w:tcPr>
                  <w:tcW w:w="2916" w:type="dxa"/>
                  <w:tcBorders>
                    <w:top w:val="nil"/>
                    <w:left w:val="nil"/>
                    <w:bottom w:val="single" w:color="000000" w:sz="8" w:space="0"/>
                    <w:right w:val="single" w:color="000000" w:sz="8" w:space="0"/>
                  </w:tcBorders>
                  <w:shd w:val="clear" w:color="auto" w:fill="auto"/>
                  <w:noWrap w:val="0"/>
                  <w:vAlign w:val="center"/>
                </w:tcPr>
                <w:p w14:paraId="7EA2921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马弗炉</w:t>
                  </w:r>
                </w:p>
              </w:tc>
              <w:tc>
                <w:tcPr>
                  <w:tcW w:w="578" w:type="dxa"/>
                  <w:tcBorders>
                    <w:top w:val="nil"/>
                    <w:left w:val="nil"/>
                    <w:bottom w:val="single" w:color="000000" w:sz="8" w:space="0"/>
                    <w:right w:val="single" w:color="000000" w:sz="8" w:space="0"/>
                  </w:tcBorders>
                  <w:shd w:val="clear" w:color="auto" w:fill="auto"/>
                  <w:noWrap/>
                  <w:vAlign w:val="center"/>
                </w:tcPr>
                <w:p w14:paraId="54268F2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6791409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3FA8CC5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18847525">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540C9BB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27</w:t>
                  </w:r>
                </w:p>
              </w:tc>
              <w:tc>
                <w:tcPr>
                  <w:tcW w:w="2916" w:type="dxa"/>
                  <w:tcBorders>
                    <w:top w:val="nil"/>
                    <w:left w:val="nil"/>
                    <w:bottom w:val="single" w:color="000000" w:sz="8" w:space="0"/>
                    <w:right w:val="single" w:color="000000" w:sz="8" w:space="0"/>
                  </w:tcBorders>
                  <w:shd w:val="clear" w:color="auto" w:fill="auto"/>
                  <w:noWrap w:val="0"/>
                  <w:vAlign w:val="center"/>
                </w:tcPr>
                <w:p w14:paraId="303044C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加热型磁力搅拌器</w:t>
                  </w:r>
                </w:p>
              </w:tc>
              <w:tc>
                <w:tcPr>
                  <w:tcW w:w="578" w:type="dxa"/>
                  <w:tcBorders>
                    <w:top w:val="nil"/>
                    <w:left w:val="nil"/>
                    <w:bottom w:val="single" w:color="000000" w:sz="8" w:space="0"/>
                    <w:right w:val="single" w:color="000000" w:sz="8" w:space="0"/>
                  </w:tcBorders>
                  <w:shd w:val="clear" w:color="auto" w:fill="auto"/>
                  <w:noWrap/>
                  <w:vAlign w:val="center"/>
                </w:tcPr>
                <w:p w14:paraId="71C7696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nil"/>
                    <w:left w:val="nil"/>
                    <w:bottom w:val="single" w:color="000000" w:sz="8" w:space="0"/>
                    <w:right w:val="single" w:color="000000" w:sz="8" w:space="0"/>
                  </w:tcBorders>
                  <w:shd w:val="clear" w:color="auto" w:fill="auto"/>
                  <w:noWrap/>
                  <w:vAlign w:val="center"/>
                </w:tcPr>
                <w:p w14:paraId="03C3830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38C97A7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470A9C12">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4C848EB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28</w:t>
                  </w:r>
                </w:p>
              </w:tc>
              <w:tc>
                <w:tcPr>
                  <w:tcW w:w="2916" w:type="dxa"/>
                  <w:tcBorders>
                    <w:top w:val="nil"/>
                    <w:left w:val="nil"/>
                    <w:bottom w:val="single" w:color="000000" w:sz="8" w:space="0"/>
                    <w:right w:val="single" w:color="000000" w:sz="8" w:space="0"/>
                  </w:tcBorders>
                  <w:shd w:val="clear" w:color="auto" w:fill="auto"/>
                  <w:noWrap w:val="0"/>
                  <w:vAlign w:val="center"/>
                </w:tcPr>
                <w:p w14:paraId="5C0115C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磁力搅拌器</w:t>
                  </w:r>
                </w:p>
              </w:tc>
              <w:tc>
                <w:tcPr>
                  <w:tcW w:w="578" w:type="dxa"/>
                  <w:tcBorders>
                    <w:top w:val="nil"/>
                    <w:left w:val="nil"/>
                    <w:bottom w:val="single" w:color="000000" w:sz="8" w:space="0"/>
                    <w:right w:val="single" w:color="000000" w:sz="8" w:space="0"/>
                  </w:tcBorders>
                  <w:shd w:val="clear" w:color="auto" w:fill="auto"/>
                  <w:noWrap/>
                  <w:vAlign w:val="center"/>
                </w:tcPr>
                <w:p w14:paraId="469B9A7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nil"/>
                    <w:left w:val="nil"/>
                    <w:bottom w:val="single" w:color="000000" w:sz="8" w:space="0"/>
                    <w:right w:val="single" w:color="000000" w:sz="8" w:space="0"/>
                  </w:tcBorders>
                  <w:shd w:val="clear" w:color="auto" w:fill="auto"/>
                  <w:noWrap/>
                  <w:vAlign w:val="center"/>
                </w:tcPr>
                <w:p w14:paraId="1364767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1194EA5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7F35838E">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420B1C8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29</w:t>
                  </w:r>
                </w:p>
              </w:tc>
              <w:tc>
                <w:tcPr>
                  <w:tcW w:w="2916" w:type="dxa"/>
                  <w:tcBorders>
                    <w:top w:val="nil"/>
                    <w:left w:val="nil"/>
                    <w:bottom w:val="single" w:color="000000" w:sz="8" w:space="0"/>
                    <w:right w:val="single" w:color="000000" w:sz="8" w:space="0"/>
                  </w:tcBorders>
                  <w:shd w:val="clear" w:color="auto" w:fill="auto"/>
                  <w:noWrap w:val="0"/>
                  <w:vAlign w:val="center"/>
                </w:tcPr>
                <w:p w14:paraId="0EBAED7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高压灭菌锅</w:t>
                  </w:r>
                </w:p>
              </w:tc>
              <w:tc>
                <w:tcPr>
                  <w:tcW w:w="578" w:type="dxa"/>
                  <w:tcBorders>
                    <w:top w:val="nil"/>
                    <w:left w:val="nil"/>
                    <w:bottom w:val="single" w:color="000000" w:sz="8" w:space="0"/>
                    <w:right w:val="single" w:color="000000" w:sz="8" w:space="0"/>
                  </w:tcBorders>
                  <w:shd w:val="clear" w:color="auto" w:fill="auto"/>
                  <w:noWrap/>
                  <w:vAlign w:val="center"/>
                </w:tcPr>
                <w:p w14:paraId="4A0FC2B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nil"/>
                    <w:left w:val="nil"/>
                    <w:bottom w:val="single" w:color="000000" w:sz="8" w:space="0"/>
                    <w:right w:val="single" w:color="000000" w:sz="8" w:space="0"/>
                  </w:tcBorders>
                  <w:shd w:val="clear" w:color="auto" w:fill="auto"/>
                  <w:noWrap/>
                  <w:vAlign w:val="center"/>
                </w:tcPr>
                <w:p w14:paraId="09C724C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4D289CE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709430F1">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71DCC92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30</w:t>
                  </w:r>
                </w:p>
              </w:tc>
              <w:tc>
                <w:tcPr>
                  <w:tcW w:w="2916" w:type="dxa"/>
                  <w:tcBorders>
                    <w:top w:val="nil"/>
                    <w:left w:val="nil"/>
                    <w:bottom w:val="single" w:color="000000" w:sz="8" w:space="0"/>
                    <w:right w:val="single" w:color="000000" w:sz="8" w:space="0"/>
                  </w:tcBorders>
                  <w:shd w:val="clear" w:color="auto" w:fill="auto"/>
                  <w:noWrap w:val="0"/>
                  <w:vAlign w:val="center"/>
                </w:tcPr>
                <w:p w14:paraId="17CBAF3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旋转蒸发器</w:t>
                  </w:r>
                </w:p>
              </w:tc>
              <w:tc>
                <w:tcPr>
                  <w:tcW w:w="578" w:type="dxa"/>
                  <w:tcBorders>
                    <w:top w:val="nil"/>
                    <w:left w:val="nil"/>
                    <w:bottom w:val="single" w:color="000000" w:sz="8" w:space="0"/>
                    <w:right w:val="single" w:color="000000" w:sz="8" w:space="0"/>
                  </w:tcBorders>
                  <w:shd w:val="clear" w:color="auto" w:fill="auto"/>
                  <w:noWrap/>
                  <w:vAlign w:val="center"/>
                </w:tcPr>
                <w:p w14:paraId="3664BDC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7893AF2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416C560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43228E36">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50C0ECB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31</w:t>
                  </w:r>
                </w:p>
              </w:tc>
              <w:tc>
                <w:tcPr>
                  <w:tcW w:w="2916" w:type="dxa"/>
                  <w:tcBorders>
                    <w:top w:val="nil"/>
                    <w:left w:val="nil"/>
                    <w:bottom w:val="single" w:color="000000" w:sz="8" w:space="0"/>
                    <w:right w:val="single" w:color="000000" w:sz="8" w:space="0"/>
                  </w:tcBorders>
                  <w:shd w:val="clear" w:color="auto" w:fill="auto"/>
                  <w:noWrap w:val="0"/>
                  <w:vAlign w:val="center"/>
                </w:tcPr>
                <w:p w14:paraId="19B7A43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超纯水机</w:t>
                  </w:r>
                </w:p>
              </w:tc>
              <w:tc>
                <w:tcPr>
                  <w:tcW w:w="578" w:type="dxa"/>
                  <w:tcBorders>
                    <w:top w:val="nil"/>
                    <w:left w:val="nil"/>
                    <w:bottom w:val="single" w:color="000000" w:sz="8" w:space="0"/>
                    <w:right w:val="single" w:color="000000" w:sz="8" w:space="0"/>
                  </w:tcBorders>
                  <w:shd w:val="clear" w:color="auto" w:fill="auto"/>
                  <w:noWrap/>
                  <w:vAlign w:val="center"/>
                </w:tcPr>
                <w:p w14:paraId="5F99836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5A8C96A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6D982BB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66111FB2">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auto" w:sz="4" w:space="0"/>
                    <w:right w:val="single" w:color="000000" w:sz="8" w:space="0"/>
                  </w:tcBorders>
                  <w:shd w:val="clear" w:color="auto" w:fill="auto"/>
                  <w:noWrap/>
                  <w:vAlign w:val="center"/>
                </w:tcPr>
                <w:p w14:paraId="31AB8D5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32</w:t>
                  </w:r>
                </w:p>
              </w:tc>
              <w:tc>
                <w:tcPr>
                  <w:tcW w:w="2916" w:type="dxa"/>
                  <w:tcBorders>
                    <w:top w:val="nil"/>
                    <w:left w:val="nil"/>
                    <w:bottom w:val="single" w:color="auto" w:sz="4" w:space="0"/>
                    <w:right w:val="single" w:color="000000" w:sz="8" w:space="0"/>
                  </w:tcBorders>
                  <w:shd w:val="clear" w:color="auto" w:fill="auto"/>
                  <w:noWrap w:val="0"/>
                  <w:vAlign w:val="center"/>
                </w:tcPr>
                <w:p w14:paraId="5FB5796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抽滤装置</w:t>
                  </w:r>
                </w:p>
              </w:tc>
              <w:tc>
                <w:tcPr>
                  <w:tcW w:w="578" w:type="dxa"/>
                  <w:tcBorders>
                    <w:top w:val="nil"/>
                    <w:left w:val="nil"/>
                    <w:bottom w:val="single" w:color="auto" w:sz="4" w:space="0"/>
                    <w:right w:val="single" w:color="000000" w:sz="8" w:space="0"/>
                  </w:tcBorders>
                  <w:shd w:val="clear" w:color="auto" w:fill="auto"/>
                  <w:noWrap/>
                  <w:vAlign w:val="center"/>
                </w:tcPr>
                <w:p w14:paraId="3CCBFD3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nil"/>
                    <w:left w:val="nil"/>
                    <w:bottom w:val="single" w:color="auto" w:sz="4" w:space="0"/>
                    <w:right w:val="single" w:color="000000" w:sz="8" w:space="0"/>
                  </w:tcBorders>
                  <w:shd w:val="clear" w:color="auto" w:fill="auto"/>
                  <w:noWrap/>
                  <w:vAlign w:val="center"/>
                </w:tcPr>
                <w:p w14:paraId="3189B1D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auto" w:sz="4" w:space="0"/>
                    <w:right w:val="single" w:color="000000" w:sz="8" w:space="0"/>
                  </w:tcBorders>
                  <w:shd w:val="clear" w:color="auto" w:fill="auto"/>
                  <w:noWrap/>
                  <w:vAlign w:val="center"/>
                </w:tcPr>
                <w:p w14:paraId="7C24500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03FCF81D">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70DBF3F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33</w:t>
                  </w:r>
                </w:p>
              </w:tc>
              <w:tc>
                <w:tcPr>
                  <w:tcW w:w="2916" w:type="dxa"/>
                  <w:tcBorders>
                    <w:top w:val="single" w:color="auto" w:sz="4" w:space="0"/>
                    <w:left w:val="nil"/>
                    <w:bottom w:val="single" w:color="000000" w:sz="8" w:space="0"/>
                    <w:right w:val="single" w:color="000000" w:sz="8" w:space="0"/>
                  </w:tcBorders>
                  <w:shd w:val="clear" w:color="auto" w:fill="auto"/>
                  <w:noWrap w:val="0"/>
                  <w:vAlign w:val="center"/>
                </w:tcPr>
                <w:p w14:paraId="38C7B4A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温湿度计(数显)</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317F93A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13</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18D4244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single" w:color="auto" w:sz="4" w:space="0"/>
                    <w:left w:val="nil"/>
                    <w:bottom w:val="single" w:color="000000" w:sz="8" w:space="0"/>
                    <w:right w:val="single" w:color="000000" w:sz="8" w:space="0"/>
                  </w:tcBorders>
                  <w:shd w:val="clear" w:color="auto" w:fill="auto"/>
                  <w:noWrap/>
                  <w:vAlign w:val="center"/>
                </w:tcPr>
                <w:p w14:paraId="6908EFC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24E5C279">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364EEC0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34</w:t>
                  </w:r>
                </w:p>
              </w:tc>
              <w:tc>
                <w:tcPr>
                  <w:tcW w:w="2916" w:type="dxa"/>
                  <w:tcBorders>
                    <w:top w:val="nil"/>
                    <w:left w:val="nil"/>
                    <w:bottom w:val="single" w:color="000000" w:sz="8" w:space="0"/>
                    <w:right w:val="single" w:color="000000" w:sz="8" w:space="0"/>
                  </w:tcBorders>
                  <w:shd w:val="clear" w:color="auto" w:fill="auto"/>
                  <w:noWrap w:val="0"/>
                  <w:vAlign w:val="center"/>
                </w:tcPr>
                <w:p w14:paraId="1F9FE5D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药品保存箱</w:t>
                  </w:r>
                </w:p>
              </w:tc>
              <w:tc>
                <w:tcPr>
                  <w:tcW w:w="578" w:type="dxa"/>
                  <w:tcBorders>
                    <w:top w:val="nil"/>
                    <w:left w:val="nil"/>
                    <w:bottom w:val="single" w:color="000000" w:sz="8" w:space="0"/>
                    <w:right w:val="single" w:color="000000" w:sz="8" w:space="0"/>
                  </w:tcBorders>
                  <w:shd w:val="clear" w:color="auto" w:fill="auto"/>
                  <w:noWrap/>
                  <w:vAlign w:val="center"/>
                </w:tcPr>
                <w:p w14:paraId="711F1FD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nil"/>
                    <w:left w:val="nil"/>
                    <w:bottom w:val="single" w:color="000000" w:sz="8" w:space="0"/>
                    <w:right w:val="single" w:color="000000" w:sz="8" w:space="0"/>
                  </w:tcBorders>
                  <w:shd w:val="clear" w:color="auto" w:fill="auto"/>
                  <w:noWrap/>
                  <w:vAlign w:val="center"/>
                </w:tcPr>
                <w:p w14:paraId="69172A1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5B08C0D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1D690288">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auto" w:sz="4" w:space="0"/>
                    <w:right w:val="single" w:color="000000" w:sz="8" w:space="0"/>
                  </w:tcBorders>
                  <w:shd w:val="clear" w:color="auto" w:fill="auto"/>
                  <w:noWrap/>
                  <w:vAlign w:val="center"/>
                </w:tcPr>
                <w:p w14:paraId="0DA55F9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35</w:t>
                  </w:r>
                </w:p>
              </w:tc>
              <w:tc>
                <w:tcPr>
                  <w:tcW w:w="2916" w:type="dxa"/>
                  <w:tcBorders>
                    <w:top w:val="nil"/>
                    <w:left w:val="nil"/>
                    <w:bottom w:val="single" w:color="auto" w:sz="4" w:space="0"/>
                    <w:right w:val="single" w:color="000000" w:sz="8" w:space="0"/>
                  </w:tcBorders>
                  <w:shd w:val="clear" w:color="auto" w:fill="auto"/>
                  <w:noWrap w:val="0"/>
                  <w:vAlign w:val="center"/>
                </w:tcPr>
                <w:p w14:paraId="1D439E4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冰箱</w:t>
                  </w:r>
                </w:p>
              </w:tc>
              <w:tc>
                <w:tcPr>
                  <w:tcW w:w="578" w:type="dxa"/>
                  <w:tcBorders>
                    <w:top w:val="nil"/>
                    <w:left w:val="nil"/>
                    <w:bottom w:val="single" w:color="auto" w:sz="4" w:space="0"/>
                    <w:right w:val="single" w:color="000000" w:sz="8" w:space="0"/>
                  </w:tcBorders>
                  <w:shd w:val="clear" w:color="auto" w:fill="auto"/>
                  <w:noWrap/>
                  <w:vAlign w:val="center"/>
                </w:tcPr>
                <w:p w14:paraId="0F68B3C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val="en-US" w:eastAsia="zh-CN"/>
                    </w:rPr>
                    <w:t>1</w:t>
                  </w:r>
                </w:p>
              </w:tc>
              <w:tc>
                <w:tcPr>
                  <w:tcW w:w="578" w:type="dxa"/>
                  <w:tcBorders>
                    <w:top w:val="nil"/>
                    <w:left w:val="nil"/>
                    <w:bottom w:val="single" w:color="auto" w:sz="4" w:space="0"/>
                    <w:right w:val="single" w:color="000000" w:sz="8" w:space="0"/>
                  </w:tcBorders>
                  <w:shd w:val="clear" w:color="auto" w:fill="auto"/>
                  <w:noWrap/>
                  <w:vAlign w:val="center"/>
                </w:tcPr>
                <w:p w14:paraId="77B2D5C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auto" w:sz="4" w:space="0"/>
                    <w:right w:val="single" w:color="000000" w:sz="8" w:space="0"/>
                  </w:tcBorders>
                  <w:shd w:val="clear" w:color="auto" w:fill="auto"/>
                  <w:noWrap/>
                  <w:vAlign w:val="center"/>
                </w:tcPr>
                <w:p w14:paraId="763745F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33E74CDE">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2688E89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36</w:t>
                  </w:r>
                </w:p>
              </w:tc>
              <w:tc>
                <w:tcPr>
                  <w:tcW w:w="2916" w:type="dxa"/>
                  <w:tcBorders>
                    <w:top w:val="single" w:color="auto" w:sz="4" w:space="0"/>
                    <w:left w:val="nil"/>
                    <w:bottom w:val="single" w:color="000000" w:sz="8" w:space="0"/>
                    <w:right w:val="single" w:color="000000" w:sz="8" w:space="0"/>
                  </w:tcBorders>
                  <w:shd w:val="clear" w:color="auto" w:fill="auto"/>
                  <w:noWrap w:val="0"/>
                  <w:vAlign w:val="center"/>
                </w:tcPr>
                <w:p w14:paraId="6DAF109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除湿机</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26122D1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76A184F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single" w:color="auto" w:sz="4" w:space="0"/>
                    <w:left w:val="nil"/>
                    <w:bottom w:val="single" w:color="000000" w:sz="8" w:space="0"/>
                    <w:right w:val="single" w:color="000000" w:sz="8" w:space="0"/>
                  </w:tcBorders>
                  <w:shd w:val="clear" w:color="auto" w:fill="auto"/>
                  <w:noWrap/>
                  <w:vAlign w:val="center"/>
                </w:tcPr>
                <w:p w14:paraId="3135030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527A978F">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auto" w:sz="4" w:space="0"/>
                    <w:right w:val="single" w:color="000000" w:sz="8" w:space="0"/>
                  </w:tcBorders>
                  <w:shd w:val="clear" w:color="auto" w:fill="auto"/>
                  <w:noWrap/>
                  <w:vAlign w:val="center"/>
                </w:tcPr>
                <w:p w14:paraId="35AF41A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37</w:t>
                  </w:r>
                </w:p>
              </w:tc>
              <w:tc>
                <w:tcPr>
                  <w:tcW w:w="2916" w:type="dxa"/>
                  <w:tcBorders>
                    <w:top w:val="nil"/>
                    <w:left w:val="nil"/>
                    <w:bottom w:val="single" w:color="auto" w:sz="4" w:space="0"/>
                    <w:right w:val="single" w:color="000000" w:sz="8" w:space="0"/>
                  </w:tcBorders>
                  <w:shd w:val="clear" w:color="auto" w:fill="auto"/>
                  <w:noWrap w:val="0"/>
                  <w:vAlign w:val="center"/>
                </w:tcPr>
                <w:p w14:paraId="2108314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便携式采样器</w:t>
                  </w:r>
                </w:p>
              </w:tc>
              <w:tc>
                <w:tcPr>
                  <w:tcW w:w="578" w:type="dxa"/>
                  <w:tcBorders>
                    <w:top w:val="nil"/>
                    <w:left w:val="nil"/>
                    <w:bottom w:val="single" w:color="auto" w:sz="4" w:space="0"/>
                    <w:right w:val="single" w:color="000000" w:sz="8" w:space="0"/>
                  </w:tcBorders>
                  <w:shd w:val="clear" w:color="auto" w:fill="auto"/>
                  <w:noWrap/>
                  <w:vAlign w:val="center"/>
                </w:tcPr>
                <w:p w14:paraId="3D3932B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w:t>
                  </w:r>
                </w:p>
              </w:tc>
              <w:tc>
                <w:tcPr>
                  <w:tcW w:w="578" w:type="dxa"/>
                  <w:tcBorders>
                    <w:top w:val="nil"/>
                    <w:left w:val="nil"/>
                    <w:bottom w:val="single" w:color="auto" w:sz="4" w:space="0"/>
                    <w:right w:val="single" w:color="000000" w:sz="8" w:space="0"/>
                  </w:tcBorders>
                  <w:shd w:val="clear" w:color="auto" w:fill="auto"/>
                  <w:noWrap/>
                  <w:vAlign w:val="center"/>
                </w:tcPr>
                <w:p w14:paraId="51DC6F5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auto" w:sz="4" w:space="0"/>
                    <w:right w:val="single" w:color="000000" w:sz="8" w:space="0"/>
                  </w:tcBorders>
                  <w:shd w:val="clear" w:color="auto" w:fill="auto"/>
                  <w:noWrap/>
                  <w:vAlign w:val="center"/>
                </w:tcPr>
                <w:p w14:paraId="66FEEDA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4A46178D">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4A3743E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38</w:t>
                  </w:r>
                </w:p>
              </w:tc>
              <w:tc>
                <w:tcPr>
                  <w:tcW w:w="2916" w:type="dxa"/>
                  <w:tcBorders>
                    <w:top w:val="single" w:color="auto" w:sz="4" w:space="0"/>
                    <w:left w:val="nil"/>
                    <w:bottom w:val="single" w:color="auto" w:sz="4" w:space="0"/>
                    <w:right w:val="single" w:color="000000" w:sz="8" w:space="0"/>
                  </w:tcBorders>
                  <w:shd w:val="clear" w:color="auto" w:fill="auto"/>
                  <w:noWrap w:val="0"/>
                  <w:vAlign w:val="center"/>
                </w:tcPr>
                <w:p w14:paraId="2F1BA2B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两虫检测仪器</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0495234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5961014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single" w:color="auto" w:sz="4" w:space="0"/>
                    <w:left w:val="nil"/>
                    <w:bottom w:val="single" w:color="auto" w:sz="4" w:space="0"/>
                    <w:right w:val="single" w:color="000000" w:sz="8" w:space="0"/>
                  </w:tcBorders>
                  <w:shd w:val="clear" w:color="auto" w:fill="auto"/>
                  <w:noWrap/>
                  <w:vAlign w:val="center"/>
                </w:tcPr>
                <w:p w14:paraId="54151D1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电脑、打印机</w:t>
                  </w:r>
                </w:p>
              </w:tc>
            </w:tr>
            <w:tr w14:paraId="1D8F40E7">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36474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39</w:t>
                  </w:r>
                </w:p>
              </w:tc>
              <w:tc>
                <w:tcPr>
                  <w:tcW w:w="291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94BB08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玻璃器皿</w:t>
                  </w:r>
                </w:p>
              </w:tc>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6A4B8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59E59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批</w:t>
                  </w:r>
                </w:p>
              </w:tc>
              <w:tc>
                <w:tcPr>
                  <w:tcW w:w="2766"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53D06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57358ABB">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36EF98A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40</w:t>
                  </w:r>
                </w:p>
              </w:tc>
              <w:tc>
                <w:tcPr>
                  <w:tcW w:w="2916" w:type="dxa"/>
                  <w:tcBorders>
                    <w:top w:val="single" w:color="auto" w:sz="4" w:space="0"/>
                    <w:left w:val="nil"/>
                    <w:bottom w:val="single" w:color="auto" w:sz="4" w:space="0"/>
                    <w:right w:val="single" w:color="000000" w:sz="8" w:space="0"/>
                  </w:tcBorders>
                  <w:shd w:val="clear" w:color="auto" w:fill="auto"/>
                  <w:noWrap w:val="0"/>
                  <w:vAlign w:val="center"/>
                </w:tcPr>
                <w:p w14:paraId="08A73EE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便携式可见分光光度计</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518E787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342B4DC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套</w:t>
                  </w:r>
                </w:p>
              </w:tc>
              <w:tc>
                <w:tcPr>
                  <w:tcW w:w="2766" w:type="dxa"/>
                  <w:tcBorders>
                    <w:top w:val="single" w:color="auto" w:sz="4" w:space="0"/>
                    <w:left w:val="nil"/>
                    <w:bottom w:val="single" w:color="auto" w:sz="4" w:space="0"/>
                    <w:right w:val="single" w:color="000000" w:sz="8" w:space="0"/>
                  </w:tcBorders>
                  <w:shd w:val="clear" w:color="auto" w:fill="auto"/>
                  <w:noWrap/>
                  <w:vAlign w:val="center"/>
                </w:tcPr>
                <w:p w14:paraId="39EDD0A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4F0B95A0">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43F8283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41</w:t>
                  </w:r>
                </w:p>
              </w:tc>
              <w:tc>
                <w:tcPr>
                  <w:tcW w:w="2916" w:type="dxa"/>
                  <w:tcBorders>
                    <w:top w:val="single" w:color="auto" w:sz="4" w:space="0"/>
                    <w:left w:val="nil"/>
                    <w:bottom w:val="single" w:color="000000" w:sz="8" w:space="0"/>
                    <w:right w:val="single" w:color="000000" w:sz="8" w:space="0"/>
                  </w:tcBorders>
                  <w:shd w:val="clear" w:color="auto" w:fill="auto"/>
                  <w:noWrap w:val="0"/>
                  <w:vAlign w:val="center"/>
                </w:tcPr>
                <w:p w14:paraId="1779137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超声波清洗机</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39A5847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4C983DF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single" w:color="auto" w:sz="4" w:space="0"/>
                    <w:left w:val="nil"/>
                    <w:bottom w:val="single" w:color="000000" w:sz="8" w:space="0"/>
                    <w:right w:val="single" w:color="000000" w:sz="8" w:space="0"/>
                  </w:tcBorders>
                  <w:shd w:val="clear" w:color="auto" w:fill="auto"/>
                  <w:noWrap/>
                  <w:vAlign w:val="center"/>
                </w:tcPr>
                <w:p w14:paraId="5095076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6FB1323A">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7455EEE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42</w:t>
                  </w:r>
                </w:p>
              </w:tc>
              <w:tc>
                <w:tcPr>
                  <w:tcW w:w="2916" w:type="dxa"/>
                  <w:tcBorders>
                    <w:top w:val="nil"/>
                    <w:left w:val="nil"/>
                    <w:bottom w:val="single" w:color="000000" w:sz="8" w:space="0"/>
                    <w:right w:val="single" w:color="000000" w:sz="8" w:space="0"/>
                  </w:tcBorders>
                  <w:shd w:val="clear" w:color="auto" w:fill="auto"/>
                  <w:noWrap w:val="0"/>
                  <w:vAlign w:val="center"/>
                </w:tcPr>
                <w:p w14:paraId="431E5B3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比色计</w:t>
                  </w:r>
                </w:p>
              </w:tc>
              <w:tc>
                <w:tcPr>
                  <w:tcW w:w="578" w:type="dxa"/>
                  <w:tcBorders>
                    <w:top w:val="nil"/>
                    <w:left w:val="nil"/>
                    <w:bottom w:val="single" w:color="000000" w:sz="8" w:space="0"/>
                    <w:right w:val="single" w:color="000000" w:sz="8" w:space="0"/>
                  </w:tcBorders>
                  <w:shd w:val="clear" w:color="auto" w:fill="auto"/>
                  <w:noWrap/>
                  <w:vAlign w:val="center"/>
                </w:tcPr>
                <w:p w14:paraId="0856C3A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3E09F1B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142AC9C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67F943A2">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03398D9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43</w:t>
                  </w:r>
                </w:p>
              </w:tc>
              <w:tc>
                <w:tcPr>
                  <w:tcW w:w="2916" w:type="dxa"/>
                  <w:tcBorders>
                    <w:top w:val="nil"/>
                    <w:left w:val="nil"/>
                    <w:bottom w:val="single" w:color="000000" w:sz="8" w:space="0"/>
                    <w:right w:val="single" w:color="000000" w:sz="8" w:space="0"/>
                  </w:tcBorders>
                  <w:shd w:val="clear" w:color="auto" w:fill="auto"/>
                  <w:noWrap w:val="0"/>
                  <w:vAlign w:val="center"/>
                </w:tcPr>
                <w:p w14:paraId="5E9A1B3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电导率仪</w:t>
                  </w:r>
                </w:p>
              </w:tc>
              <w:tc>
                <w:tcPr>
                  <w:tcW w:w="578" w:type="dxa"/>
                  <w:tcBorders>
                    <w:top w:val="nil"/>
                    <w:left w:val="nil"/>
                    <w:bottom w:val="single" w:color="000000" w:sz="8" w:space="0"/>
                    <w:right w:val="single" w:color="000000" w:sz="8" w:space="0"/>
                  </w:tcBorders>
                  <w:shd w:val="clear" w:color="auto" w:fill="auto"/>
                  <w:noWrap/>
                  <w:vAlign w:val="center"/>
                </w:tcPr>
                <w:p w14:paraId="5166672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5C46AE3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1F0628B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1D677035">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57C8F43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44</w:t>
                  </w:r>
                </w:p>
              </w:tc>
              <w:tc>
                <w:tcPr>
                  <w:tcW w:w="2916" w:type="dxa"/>
                  <w:tcBorders>
                    <w:top w:val="nil"/>
                    <w:left w:val="nil"/>
                    <w:bottom w:val="single" w:color="000000" w:sz="8" w:space="0"/>
                    <w:right w:val="single" w:color="000000" w:sz="8" w:space="0"/>
                  </w:tcBorders>
                  <w:shd w:val="clear" w:color="auto" w:fill="auto"/>
                  <w:noWrap w:val="0"/>
                  <w:vAlign w:val="center"/>
                </w:tcPr>
                <w:p w14:paraId="3A0A878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电导率仪</w:t>
                  </w:r>
                </w:p>
              </w:tc>
              <w:tc>
                <w:tcPr>
                  <w:tcW w:w="578" w:type="dxa"/>
                  <w:tcBorders>
                    <w:top w:val="nil"/>
                    <w:left w:val="nil"/>
                    <w:bottom w:val="single" w:color="000000" w:sz="8" w:space="0"/>
                    <w:right w:val="single" w:color="000000" w:sz="8" w:space="0"/>
                  </w:tcBorders>
                  <w:shd w:val="clear" w:color="auto" w:fill="auto"/>
                  <w:noWrap/>
                  <w:vAlign w:val="center"/>
                </w:tcPr>
                <w:p w14:paraId="4B6CB3E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26CD164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5EEC7F3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1A2F42FA">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09D775A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45</w:t>
                  </w:r>
                </w:p>
              </w:tc>
              <w:tc>
                <w:tcPr>
                  <w:tcW w:w="2916" w:type="dxa"/>
                  <w:tcBorders>
                    <w:top w:val="nil"/>
                    <w:left w:val="nil"/>
                    <w:bottom w:val="single" w:color="000000" w:sz="8" w:space="0"/>
                    <w:right w:val="single" w:color="000000" w:sz="8" w:space="0"/>
                  </w:tcBorders>
                  <w:shd w:val="clear" w:color="auto" w:fill="auto"/>
                  <w:noWrap w:val="0"/>
                  <w:vAlign w:val="center"/>
                </w:tcPr>
                <w:p w14:paraId="06D34AF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移液器</w:t>
                  </w:r>
                </w:p>
              </w:tc>
              <w:tc>
                <w:tcPr>
                  <w:tcW w:w="578" w:type="dxa"/>
                  <w:tcBorders>
                    <w:top w:val="nil"/>
                    <w:left w:val="nil"/>
                    <w:bottom w:val="single" w:color="000000" w:sz="8" w:space="0"/>
                    <w:right w:val="single" w:color="000000" w:sz="8" w:space="0"/>
                  </w:tcBorders>
                  <w:shd w:val="clear" w:color="auto" w:fill="auto"/>
                  <w:noWrap/>
                  <w:vAlign w:val="center"/>
                </w:tcPr>
                <w:p w14:paraId="7846F49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14BF3D6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套</w:t>
                  </w:r>
                </w:p>
              </w:tc>
              <w:tc>
                <w:tcPr>
                  <w:tcW w:w="2766" w:type="dxa"/>
                  <w:tcBorders>
                    <w:top w:val="nil"/>
                    <w:left w:val="nil"/>
                    <w:bottom w:val="single" w:color="000000" w:sz="8" w:space="0"/>
                    <w:right w:val="single" w:color="000000" w:sz="8" w:space="0"/>
                  </w:tcBorders>
                  <w:shd w:val="clear" w:color="auto" w:fill="auto"/>
                  <w:noWrap/>
                  <w:vAlign w:val="center"/>
                </w:tcPr>
                <w:p w14:paraId="56586B2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5088F76B">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1474BA4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46</w:t>
                  </w:r>
                </w:p>
              </w:tc>
              <w:tc>
                <w:tcPr>
                  <w:tcW w:w="2916" w:type="dxa"/>
                  <w:tcBorders>
                    <w:top w:val="nil"/>
                    <w:left w:val="nil"/>
                    <w:bottom w:val="single" w:color="000000" w:sz="8" w:space="0"/>
                    <w:right w:val="single" w:color="000000" w:sz="8" w:space="0"/>
                  </w:tcBorders>
                  <w:shd w:val="clear" w:color="auto" w:fill="auto"/>
                  <w:noWrap w:val="0"/>
                  <w:vAlign w:val="center"/>
                </w:tcPr>
                <w:p w14:paraId="0F5F7DA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移液器</w:t>
                  </w:r>
                </w:p>
              </w:tc>
              <w:tc>
                <w:tcPr>
                  <w:tcW w:w="578" w:type="dxa"/>
                  <w:tcBorders>
                    <w:top w:val="nil"/>
                    <w:left w:val="nil"/>
                    <w:bottom w:val="single" w:color="000000" w:sz="8" w:space="0"/>
                    <w:right w:val="single" w:color="000000" w:sz="8" w:space="0"/>
                  </w:tcBorders>
                  <w:shd w:val="clear" w:color="auto" w:fill="auto"/>
                  <w:noWrap/>
                  <w:vAlign w:val="center"/>
                </w:tcPr>
                <w:p w14:paraId="70F22D3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6AB2C62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套</w:t>
                  </w:r>
                </w:p>
              </w:tc>
              <w:tc>
                <w:tcPr>
                  <w:tcW w:w="2766" w:type="dxa"/>
                  <w:tcBorders>
                    <w:top w:val="nil"/>
                    <w:left w:val="nil"/>
                    <w:bottom w:val="single" w:color="000000" w:sz="8" w:space="0"/>
                    <w:right w:val="single" w:color="000000" w:sz="8" w:space="0"/>
                  </w:tcBorders>
                  <w:shd w:val="clear" w:color="auto" w:fill="auto"/>
                  <w:noWrap/>
                  <w:vAlign w:val="center"/>
                </w:tcPr>
                <w:p w14:paraId="522F70C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13E819AA">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16C9B0C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47</w:t>
                  </w:r>
                </w:p>
              </w:tc>
              <w:tc>
                <w:tcPr>
                  <w:tcW w:w="2916" w:type="dxa"/>
                  <w:tcBorders>
                    <w:top w:val="nil"/>
                    <w:left w:val="nil"/>
                    <w:bottom w:val="single" w:color="000000" w:sz="8" w:space="0"/>
                    <w:right w:val="single" w:color="000000" w:sz="8" w:space="0"/>
                  </w:tcBorders>
                  <w:shd w:val="clear" w:color="auto" w:fill="auto"/>
                  <w:noWrap w:val="0"/>
                  <w:vAlign w:val="center"/>
                </w:tcPr>
                <w:p w14:paraId="38DF733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恒温水浴锅</w:t>
                  </w:r>
                </w:p>
              </w:tc>
              <w:tc>
                <w:tcPr>
                  <w:tcW w:w="578" w:type="dxa"/>
                  <w:tcBorders>
                    <w:top w:val="nil"/>
                    <w:left w:val="nil"/>
                    <w:bottom w:val="single" w:color="000000" w:sz="8" w:space="0"/>
                    <w:right w:val="single" w:color="000000" w:sz="8" w:space="0"/>
                  </w:tcBorders>
                  <w:shd w:val="clear" w:color="auto" w:fill="auto"/>
                  <w:noWrap/>
                  <w:vAlign w:val="center"/>
                </w:tcPr>
                <w:p w14:paraId="7638A5D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nil"/>
                    <w:left w:val="nil"/>
                    <w:bottom w:val="single" w:color="000000" w:sz="8" w:space="0"/>
                    <w:right w:val="single" w:color="000000" w:sz="8" w:space="0"/>
                  </w:tcBorders>
                  <w:shd w:val="clear" w:color="auto" w:fill="auto"/>
                  <w:noWrap/>
                  <w:vAlign w:val="center"/>
                </w:tcPr>
                <w:p w14:paraId="6A15102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1B99510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017B06A6">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3152BE1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48</w:t>
                  </w:r>
                </w:p>
              </w:tc>
              <w:tc>
                <w:tcPr>
                  <w:tcW w:w="2916" w:type="dxa"/>
                  <w:tcBorders>
                    <w:top w:val="nil"/>
                    <w:left w:val="nil"/>
                    <w:bottom w:val="single" w:color="000000" w:sz="8" w:space="0"/>
                    <w:right w:val="single" w:color="000000" w:sz="8" w:space="0"/>
                  </w:tcBorders>
                  <w:shd w:val="clear" w:color="auto" w:fill="auto"/>
                  <w:noWrap w:val="0"/>
                  <w:vAlign w:val="center"/>
                </w:tcPr>
                <w:p w14:paraId="2121AF4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瓶口分液器</w:t>
                  </w:r>
                </w:p>
              </w:tc>
              <w:tc>
                <w:tcPr>
                  <w:tcW w:w="578" w:type="dxa"/>
                  <w:tcBorders>
                    <w:top w:val="nil"/>
                    <w:left w:val="nil"/>
                    <w:bottom w:val="single" w:color="000000" w:sz="8" w:space="0"/>
                    <w:right w:val="single" w:color="000000" w:sz="8" w:space="0"/>
                  </w:tcBorders>
                  <w:shd w:val="clear" w:color="auto" w:fill="auto"/>
                  <w:noWrap/>
                  <w:vAlign w:val="center"/>
                </w:tcPr>
                <w:p w14:paraId="5F71A01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w:t>
                  </w:r>
                </w:p>
              </w:tc>
              <w:tc>
                <w:tcPr>
                  <w:tcW w:w="578" w:type="dxa"/>
                  <w:tcBorders>
                    <w:top w:val="nil"/>
                    <w:left w:val="nil"/>
                    <w:bottom w:val="single" w:color="000000" w:sz="8" w:space="0"/>
                    <w:right w:val="single" w:color="000000" w:sz="8" w:space="0"/>
                  </w:tcBorders>
                  <w:shd w:val="clear" w:color="auto" w:fill="auto"/>
                  <w:noWrap/>
                  <w:vAlign w:val="center"/>
                </w:tcPr>
                <w:p w14:paraId="737ABB4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7ACF33F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65347B24">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48DDCAB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49</w:t>
                  </w:r>
                </w:p>
              </w:tc>
              <w:tc>
                <w:tcPr>
                  <w:tcW w:w="2916" w:type="dxa"/>
                  <w:tcBorders>
                    <w:top w:val="nil"/>
                    <w:left w:val="nil"/>
                    <w:bottom w:val="single" w:color="000000" w:sz="8" w:space="0"/>
                    <w:right w:val="single" w:color="000000" w:sz="8" w:space="0"/>
                  </w:tcBorders>
                  <w:shd w:val="clear" w:color="auto" w:fill="auto"/>
                  <w:noWrap w:val="0"/>
                  <w:vAlign w:val="center"/>
                </w:tcPr>
                <w:p w14:paraId="32F9212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瓶口分液器</w:t>
                  </w:r>
                </w:p>
              </w:tc>
              <w:tc>
                <w:tcPr>
                  <w:tcW w:w="578" w:type="dxa"/>
                  <w:tcBorders>
                    <w:top w:val="nil"/>
                    <w:left w:val="nil"/>
                    <w:bottom w:val="single" w:color="000000" w:sz="8" w:space="0"/>
                    <w:right w:val="single" w:color="000000" w:sz="8" w:space="0"/>
                  </w:tcBorders>
                  <w:shd w:val="clear" w:color="auto" w:fill="auto"/>
                  <w:noWrap/>
                  <w:vAlign w:val="center"/>
                </w:tcPr>
                <w:p w14:paraId="2D804B0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578" w:type="dxa"/>
                  <w:tcBorders>
                    <w:top w:val="nil"/>
                    <w:left w:val="nil"/>
                    <w:bottom w:val="single" w:color="000000" w:sz="8" w:space="0"/>
                    <w:right w:val="single" w:color="000000" w:sz="8" w:space="0"/>
                  </w:tcBorders>
                  <w:shd w:val="clear" w:color="auto" w:fill="auto"/>
                  <w:noWrap/>
                  <w:vAlign w:val="center"/>
                </w:tcPr>
                <w:p w14:paraId="613C9B1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456A9A7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0580182C">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2663624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50</w:t>
                  </w:r>
                </w:p>
              </w:tc>
              <w:tc>
                <w:tcPr>
                  <w:tcW w:w="2916" w:type="dxa"/>
                  <w:tcBorders>
                    <w:top w:val="nil"/>
                    <w:left w:val="nil"/>
                    <w:bottom w:val="single" w:color="000000" w:sz="8" w:space="0"/>
                    <w:right w:val="single" w:color="000000" w:sz="8" w:space="0"/>
                  </w:tcBorders>
                  <w:shd w:val="clear" w:color="auto" w:fill="auto"/>
                  <w:noWrap w:val="0"/>
                  <w:vAlign w:val="center"/>
                </w:tcPr>
                <w:p w14:paraId="5044BAE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低本底α、β测量仪</w:t>
                  </w:r>
                </w:p>
              </w:tc>
              <w:tc>
                <w:tcPr>
                  <w:tcW w:w="578" w:type="dxa"/>
                  <w:tcBorders>
                    <w:top w:val="nil"/>
                    <w:left w:val="nil"/>
                    <w:bottom w:val="single" w:color="000000" w:sz="8" w:space="0"/>
                    <w:right w:val="single" w:color="000000" w:sz="8" w:space="0"/>
                  </w:tcBorders>
                  <w:shd w:val="clear" w:color="auto" w:fill="auto"/>
                  <w:noWrap/>
                  <w:vAlign w:val="center"/>
                </w:tcPr>
                <w:p w14:paraId="2F7416D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val="en-US" w:eastAsia="zh-CN"/>
                    </w:rPr>
                    <w:t>1</w:t>
                  </w:r>
                </w:p>
              </w:tc>
              <w:tc>
                <w:tcPr>
                  <w:tcW w:w="578" w:type="dxa"/>
                  <w:tcBorders>
                    <w:top w:val="nil"/>
                    <w:left w:val="nil"/>
                    <w:bottom w:val="single" w:color="000000" w:sz="8" w:space="0"/>
                    <w:right w:val="single" w:color="000000" w:sz="8" w:space="0"/>
                  </w:tcBorders>
                  <w:shd w:val="clear" w:color="auto" w:fill="auto"/>
                  <w:noWrap/>
                  <w:vAlign w:val="center"/>
                </w:tcPr>
                <w:p w14:paraId="69B63AF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518154E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电脑、打印机</w:t>
                  </w:r>
                </w:p>
              </w:tc>
            </w:tr>
            <w:tr w14:paraId="5D118701">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28DC25E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51</w:t>
                  </w:r>
                </w:p>
              </w:tc>
              <w:tc>
                <w:tcPr>
                  <w:tcW w:w="2916" w:type="dxa"/>
                  <w:tcBorders>
                    <w:top w:val="nil"/>
                    <w:left w:val="nil"/>
                    <w:bottom w:val="single" w:color="000000" w:sz="8" w:space="0"/>
                    <w:right w:val="single" w:color="000000" w:sz="8" w:space="0"/>
                  </w:tcBorders>
                  <w:shd w:val="clear" w:color="auto" w:fill="auto"/>
                  <w:noWrap w:val="0"/>
                  <w:vAlign w:val="center"/>
                </w:tcPr>
                <w:p w14:paraId="1FB5BE2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石墨消解仪</w:t>
                  </w:r>
                </w:p>
              </w:tc>
              <w:tc>
                <w:tcPr>
                  <w:tcW w:w="578" w:type="dxa"/>
                  <w:tcBorders>
                    <w:top w:val="nil"/>
                    <w:left w:val="nil"/>
                    <w:bottom w:val="single" w:color="000000" w:sz="8" w:space="0"/>
                    <w:right w:val="single" w:color="000000" w:sz="8" w:space="0"/>
                  </w:tcBorders>
                  <w:shd w:val="clear" w:color="auto" w:fill="auto"/>
                  <w:noWrap/>
                  <w:vAlign w:val="center"/>
                </w:tcPr>
                <w:p w14:paraId="405875E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6FB80BC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247BA01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3C2122E0">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auto" w:sz="4" w:space="0"/>
                    <w:right w:val="single" w:color="000000" w:sz="8" w:space="0"/>
                  </w:tcBorders>
                  <w:shd w:val="clear" w:color="auto" w:fill="auto"/>
                  <w:noWrap/>
                  <w:vAlign w:val="center"/>
                </w:tcPr>
                <w:p w14:paraId="66B009E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52</w:t>
                  </w:r>
                </w:p>
              </w:tc>
              <w:tc>
                <w:tcPr>
                  <w:tcW w:w="2916" w:type="dxa"/>
                  <w:tcBorders>
                    <w:top w:val="nil"/>
                    <w:left w:val="nil"/>
                    <w:bottom w:val="single" w:color="auto" w:sz="4" w:space="0"/>
                    <w:right w:val="single" w:color="000000" w:sz="8" w:space="0"/>
                  </w:tcBorders>
                  <w:shd w:val="clear" w:color="auto" w:fill="auto"/>
                  <w:noWrap w:val="0"/>
                  <w:vAlign w:val="center"/>
                </w:tcPr>
                <w:p w14:paraId="1675049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洗瓶机</w:t>
                  </w:r>
                </w:p>
              </w:tc>
              <w:tc>
                <w:tcPr>
                  <w:tcW w:w="578" w:type="dxa"/>
                  <w:tcBorders>
                    <w:top w:val="nil"/>
                    <w:left w:val="nil"/>
                    <w:bottom w:val="single" w:color="auto" w:sz="4" w:space="0"/>
                    <w:right w:val="single" w:color="000000" w:sz="8" w:space="0"/>
                  </w:tcBorders>
                  <w:shd w:val="clear" w:color="auto" w:fill="auto"/>
                  <w:noWrap/>
                  <w:vAlign w:val="center"/>
                </w:tcPr>
                <w:p w14:paraId="27AE59C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auto" w:sz="4" w:space="0"/>
                    <w:right w:val="single" w:color="000000" w:sz="8" w:space="0"/>
                  </w:tcBorders>
                  <w:shd w:val="clear" w:color="auto" w:fill="auto"/>
                  <w:noWrap/>
                  <w:vAlign w:val="center"/>
                </w:tcPr>
                <w:p w14:paraId="531E381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auto" w:sz="4" w:space="0"/>
                    <w:right w:val="single" w:color="000000" w:sz="8" w:space="0"/>
                  </w:tcBorders>
                  <w:shd w:val="clear" w:color="auto" w:fill="auto"/>
                  <w:noWrap/>
                  <w:vAlign w:val="center"/>
                </w:tcPr>
                <w:p w14:paraId="5F83F39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31F47998">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000000" w:sz="8" w:space="0"/>
                    <w:right w:val="single" w:color="000000" w:sz="8" w:space="0"/>
                  </w:tcBorders>
                  <w:shd w:val="clear" w:color="auto" w:fill="auto"/>
                  <w:noWrap/>
                  <w:vAlign w:val="center"/>
                </w:tcPr>
                <w:p w14:paraId="0FCCA05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53</w:t>
                  </w:r>
                </w:p>
              </w:tc>
              <w:tc>
                <w:tcPr>
                  <w:tcW w:w="2916" w:type="dxa"/>
                  <w:tcBorders>
                    <w:top w:val="single" w:color="auto" w:sz="4" w:space="0"/>
                    <w:left w:val="nil"/>
                    <w:bottom w:val="single" w:color="000000" w:sz="8" w:space="0"/>
                    <w:right w:val="single" w:color="000000" w:sz="8" w:space="0"/>
                  </w:tcBorders>
                  <w:shd w:val="clear" w:color="auto" w:fill="auto"/>
                  <w:noWrap w:val="0"/>
                  <w:vAlign w:val="center"/>
                </w:tcPr>
                <w:p w14:paraId="7AF2044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不锈钢多联过滤系统</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2BF462C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single" w:color="auto" w:sz="4" w:space="0"/>
                    <w:left w:val="nil"/>
                    <w:bottom w:val="single" w:color="000000" w:sz="8" w:space="0"/>
                    <w:right w:val="single" w:color="000000" w:sz="8" w:space="0"/>
                  </w:tcBorders>
                  <w:shd w:val="clear" w:color="auto" w:fill="auto"/>
                  <w:noWrap/>
                  <w:vAlign w:val="center"/>
                </w:tcPr>
                <w:p w14:paraId="7027393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套</w:t>
                  </w:r>
                </w:p>
              </w:tc>
              <w:tc>
                <w:tcPr>
                  <w:tcW w:w="2766" w:type="dxa"/>
                  <w:tcBorders>
                    <w:top w:val="single" w:color="auto" w:sz="4" w:space="0"/>
                    <w:left w:val="nil"/>
                    <w:bottom w:val="single" w:color="000000" w:sz="8" w:space="0"/>
                    <w:right w:val="single" w:color="000000" w:sz="8" w:space="0"/>
                  </w:tcBorders>
                  <w:shd w:val="clear" w:color="auto" w:fill="auto"/>
                  <w:noWrap/>
                  <w:vAlign w:val="center"/>
                </w:tcPr>
                <w:p w14:paraId="3ADF8AF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　</w:t>
                  </w:r>
                </w:p>
              </w:tc>
            </w:tr>
            <w:tr w14:paraId="0D514E72">
              <w:tblPrEx>
                <w:tblCellMar>
                  <w:top w:w="0" w:type="dxa"/>
                  <w:left w:w="108" w:type="dxa"/>
                  <w:bottom w:w="0" w:type="dxa"/>
                  <w:right w:w="108" w:type="dxa"/>
                </w:tblCellMar>
              </w:tblPrEx>
              <w:trPr>
                <w:trHeight w:val="363" w:hRule="atLeast"/>
                <w:jc w:val="center"/>
              </w:trPr>
              <w:tc>
                <w:tcPr>
                  <w:tcW w:w="578" w:type="dxa"/>
                  <w:tcBorders>
                    <w:top w:val="nil"/>
                    <w:left w:val="single" w:color="000000" w:sz="8" w:space="0"/>
                    <w:bottom w:val="single" w:color="000000" w:sz="8" w:space="0"/>
                    <w:right w:val="single" w:color="000000" w:sz="8" w:space="0"/>
                  </w:tcBorders>
                  <w:shd w:val="clear" w:color="auto" w:fill="auto"/>
                  <w:noWrap/>
                  <w:vAlign w:val="center"/>
                </w:tcPr>
                <w:p w14:paraId="5D223BD9">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54</w:t>
                  </w:r>
                </w:p>
              </w:tc>
              <w:tc>
                <w:tcPr>
                  <w:tcW w:w="2916" w:type="dxa"/>
                  <w:tcBorders>
                    <w:top w:val="nil"/>
                    <w:left w:val="nil"/>
                    <w:bottom w:val="single" w:color="000000" w:sz="8" w:space="0"/>
                    <w:right w:val="single" w:color="000000" w:sz="8" w:space="0"/>
                  </w:tcBorders>
                  <w:shd w:val="clear" w:color="auto" w:fill="auto"/>
                  <w:noWrap w:val="0"/>
                  <w:vAlign w:val="center"/>
                </w:tcPr>
                <w:p w14:paraId="693AC6B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六联式混凝试验搅拌器</w:t>
                  </w:r>
                </w:p>
              </w:tc>
              <w:tc>
                <w:tcPr>
                  <w:tcW w:w="578" w:type="dxa"/>
                  <w:tcBorders>
                    <w:top w:val="nil"/>
                    <w:left w:val="nil"/>
                    <w:bottom w:val="single" w:color="000000" w:sz="8" w:space="0"/>
                    <w:right w:val="single" w:color="000000" w:sz="8" w:space="0"/>
                  </w:tcBorders>
                  <w:shd w:val="clear" w:color="auto" w:fill="auto"/>
                  <w:noWrap/>
                  <w:vAlign w:val="center"/>
                </w:tcPr>
                <w:p w14:paraId="61C07CC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nil"/>
                    <w:left w:val="nil"/>
                    <w:bottom w:val="single" w:color="000000" w:sz="8" w:space="0"/>
                    <w:right w:val="single" w:color="000000" w:sz="8" w:space="0"/>
                  </w:tcBorders>
                  <w:shd w:val="clear" w:color="auto" w:fill="auto"/>
                  <w:noWrap/>
                  <w:vAlign w:val="center"/>
                </w:tcPr>
                <w:p w14:paraId="5DF61E0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nil"/>
                    <w:left w:val="nil"/>
                    <w:bottom w:val="single" w:color="000000" w:sz="8" w:space="0"/>
                    <w:right w:val="single" w:color="000000" w:sz="8" w:space="0"/>
                  </w:tcBorders>
                  <w:shd w:val="clear" w:color="auto" w:fill="auto"/>
                  <w:noWrap/>
                  <w:vAlign w:val="center"/>
                </w:tcPr>
                <w:p w14:paraId="7DAB430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p>
              </w:tc>
            </w:tr>
            <w:tr w14:paraId="5A735092">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3D88E51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55</w:t>
                  </w:r>
                </w:p>
              </w:tc>
              <w:tc>
                <w:tcPr>
                  <w:tcW w:w="2916" w:type="dxa"/>
                  <w:tcBorders>
                    <w:top w:val="single" w:color="auto" w:sz="4" w:space="0"/>
                    <w:left w:val="nil"/>
                    <w:bottom w:val="single" w:color="auto" w:sz="4" w:space="0"/>
                    <w:right w:val="single" w:color="000000" w:sz="8" w:space="0"/>
                  </w:tcBorders>
                  <w:shd w:val="clear" w:color="auto" w:fill="auto"/>
                  <w:noWrap w:val="0"/>
                  <w:vAlign w:val="center"/>
                </w:tcPr>
                <w:p w14:paraId="2D6EEA1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电感耦合等离子体质谱仪</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757AD75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1</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0B403DD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台</w:t>
                  </w:r>
                </w:p>
              </w:tc>
              <w:tc>
                <w:tcPr>
                  <w:tcW w:w="2766" w:type="dxa"/>
                  <w:tcBorders>
                    <w:top w:val="single" w:color="auto" w:sz="4" w:space="0"/>
                    <w:left w:val="nil"/>
                    <w:bottom w:val="single" w:color="auto" w:sz="4" w:space="0"/>
                    <w:right w:val="single" w:color="000000" w:sz="8" w:space="0"/>
                  </w:tcBorders>
                  <w:shd w:val="clear" w:color="auto" w:fill="auto"/>
                  <w:noWrap/>
                  <w:vAlign w:val="center"/>
                </w:tcPr>
                <w:p w14:paraId="249D5D8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lang w:val="en-US" w:eastAsia="zh-CN"/>
                    </w:rPr>
                    <w:t>Ups、</w:t>
                  </w:r>
                  <w:r>
                    <w:rPr>
                      <w:rFonts w:hint="default" w:ascii="Times New Roman" w:hAnsi="Times New Roman" w:eastAsia="宋体" w:cs="Times New Roman"/>
                      <w:color w:val="auto"/>
                      <w:kern w:val="0"/>
                      <w:sz w:val="18"/>
                      <w:szCs w:val="18"/>
                    </w:rPr>
                    <w:t>电脑、打印机</w:t>
                  </w:r>
                </w:p>
              </w:tc>
            </w:tr>
            <w:tr w14:paraId="0F52F9C0">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31433D1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56</w:t>
                  </w:r>
                </w:p>
              </w:tc>
              <w:tc>
                <w:tcPr>
                  <w:tcW w:w="2916" w:type="dxa"/>
                  <w:tcBorders>
                    <w:top w:val="single" w:color="auto" w:sz="4" w:space="0"/>
                    <w:left w:val="nil"/>
                    <w:bottom w:val="single" w:color="auto" w:sz="4" w:space="0"/>
                    <w:right w:val="single" w:color="000000" w:sz="8" w:space="0"/>
                  </w:tcBorders>
                  <w:shd w:val="clear" w:color="auto" w:fill="auto"/>
                  <w:noWrap w:val="0"/>
                  <w:vAlign w:val="center"/>
                </w:tcPr>
                <w:p w14:paraId="3145A92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离子色谱仪</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2BA6B3C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162887F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台</w:t>
                  </w:r>
                </w:p>
              </w:tc>
              <w:tc>
                <w:tcPr>
                  <w:tcW w:w="2766" w:type="dxa"/>
                  <w:tcBorders>
                    <w:top w:val="single" w:color="auto" w:sz="4" w:space="0"/>
                    <w:left w:val="nil"/>
                    <w:bottom w:val="single" w:color="auto" w:sz="4" w:space="0"/>
                    <w:right w:val="single" w:color="000000" w:sz="8" w:space="0"/>
                  </w:tcBorders>
                  <w:shd w:val="clear" w:color="auto" w:fill="auto"/>
                  <w:noWrap/>
                  <w:vAlign w:val="center"/>
                </w:tcPr>
                <w:p w14:paraId="58077D8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rPr>
                    <w:t>电脑、打印机</w:t>
                  </w:r>
                </w:p>
              </w:tc>
            </w:tr>
            <w:tr w14:paraId="211E6679">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0EE443F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57</w:t>
                  </w:r>
                </w:p>
              </w:tc>
              <w:tc>
                <w:tcPr>
                  <w:tcW w:w="2916" w:type="dxa"/>
                  <w:tcBorders>
                    <w:top w:val="single" w:color="auto" w:sz="4" w:space="0"/>
                    <w:left w:val="nil"/>
                    <w:bottom w:val="single" w:color="auto" w:sz="4" w:space="0"/>
                    <w:right w:val="single" w:color="000000" w:sz="8" w:space="0"/>
                  </w:tcBorders>
                  <w:shd w:val="clear" w:color="auto" w:fill="auto"/>
                  <w:noWrap w:val="0"/>
                  <w:vAlign w:val="center"/>
                </w:tcPr>
                <w:p w14:paraId="3F49F2D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低本底α、β测量仪</w:t>
                  </w:r>
                </w:p>
                <w:p w14:paraId="6C21765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color w:val="auto"/>
                      <w:kern w:val="0"/>
                      <w:sz w:val="18"/>
                      <w:szCs w:val="18"/>
                      <w:lang w:eastAsia="zh-CN"/>
                    </w:rPr>
                    <w:t>（</w:t>
                  </w:r>
                  <w:r>
                    <w:rPr>
                      <w:rFonts w:hint="default" w:ascii="Times New Roman" w:hAnsi="Times New Roman" w:eastAsia="宋体" w:cs="Times New Roman"/>
                      <w:color w:val="auto"/>
                      <w:kern w:val="0"/>
                      <w:sz w:val="18"/>
                      <w:szCs w:val="18"/>
                      <w:lang w:val="en-US" w:eastAsia="zh-CN"/>
                    </w:rPr>
                    <w:t>双通道</w:t>
                  </w:r>
                  <w:r>
                    <w:rPr>
                      <w:rFonts w:hint="default" w:ascii="Times New Roman" w:hAnsi="Times New Roman" w:eastAsia="宋体" w:cs="Times New Roman"/>
                      <w:color w:val="auto"/>
                      <w:kern w:val="0"/>
                      <w:sz w:val="18"/>
                      <w:szCs w:val="18"/>
                      <w:lang w:eastAsia="zh-CN"/>
                    </w:rPr>
                    <w:t>）</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185FA9E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51096F77">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台</w:t>
                  </w:r>
                </w:p>
              </w:tc>
              <w:tc>
                <w:tcPr>
                  <w:tcW w:w="2766" w:type="dxa"/>
                  <w:tcBorders>
                    <w:top w:val="single" w:color="auto" w:sz="4" w:space="0"/>
                    <w:left w:val="nil"/>
                    <w:bottom w:val="single" w:color="auto" w:sz="4" w:space="0"/>
                    <w:right w:val="single" w:color="000000" w:sz="8" w:space="0"/>
                  </w:tcBorders>
                  <w:shd w:val="clear" w:color="auto" w:fill="auto"/>
                  <w:noWrap/>
                  <w:vAlign w:val="center"/>
                </w:tcPr>
                <w:p w14:paraId="69D8659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rPr>
                    <w:t>电脑、打印机</w:t>
                  </w:r>
                </w:p>
              </w:tc>
            </w:tr>
            <w:tr w14:paraId="64E53DB5">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52496E3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58</w:t>
                  </w:r>
                </w:p>
              </w:tc>
              <w:tc>
                <w:tcPr>
                  <w:tcW w:w="2916" w:type="dxa"/>
                  <w:tcBorders>
                    <w:top w:val="single" w:color="auto" w:sz="4" w:space="0"/>
                    <w:left w:val="nil"/>
                    <w:bottom w:val="single" w:color="auto" w:sz="4" w:space="0"/>
                    <w:right w:val="single" w:color="000000" w:sz="8" w:space="0"/>
                  </w:tcBorders>
                  <w:shd w:val="clear" w:color="auto" w:fill="auto"/>
                  <w:noWrap w:val="0"/>
                  <w:vAlign w:val="center"/>
                </w:tcPr>
                <w:p w14:paraId="6B964BD2">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连续流动分析仪</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04384D11">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25A2E636">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台</w:t>
                  </w:r>
                </w:p>
              </w:tc>
              <w:tc>
                <w:tcPr>
                  <w:tcW w:w="2766" w:type="dxa"/>
                  <w:tcBorders>
                    <w:top w:val="single" w:color="auto" w:sz="4" w:space="0"/>
                    <w:left w:val="nil"/>
                    <w:bottom w:val="single" w:color="auto" w:sz="4" w:space="0"/>
                    <w:right w:val="single" w:color="000000" w:sz="8" w:space="0"/>
                  </w:tcBorders>
                  <w:shd w:val="clear" w:color="auto" w:fill="auto"/>
                  <w:noWrap/>
                  <w:vAlign w:val="center"/>
                </w:tcPr>
                <w:p w14:paraId="4B5032E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rPr>
                    <w:t>电脑、打印机</w:t>
                  </w:r>
                </w:p>
              </w:tc>
            </w:tr>
            <w:tr w14:paraId="11AAAE1A">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2AD01A65">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59</w:t>
                  </w:r>
                </w:p>
              </w:tc>
              <w:tc>
                <w:tcPr>
                  <w:tcW w:w="2916" w:type="dxa"/>
                  <w:tcBorders>
                    <w:top w:val="single" w:color="auto" w:sz="4" w:space="0"/>
                    <w:left w:val="nil"/>
                    <w:bottom w:val="single" w:color="auto" w:sz="4" w:space="0"/>
                    <w:right w:val="single" w:color="000000" w:sz="8" w:space="0"/>
                  </w:tcBorders>
                  <w:shd w:val="clear" w:color="auto" w:fill="auto"/>
                  <w:noWrap w:val="0"/>
                  <w:vAlign w:val="center"/>
                </w:tcPr>
                <w:p w14:paraId="385E9D1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数字式消解器</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3D1421B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42FA528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台</w:t>
                  </w:r>
                </w:p>
              </w:tc>
              <w:tc>
                <w:tcPr>
                  <w:tcW w:w="2766" w:type="dxa"/>
                  <w:tcBorders>
                    <w:top w:val="single" w:color="auto" w:sz="4" w:space="0"/>
                    <w:left w:val="nil"/>
                    <w:bottom w:val="single" w:color="auto" w:sz="4" w:space="0"/>
                    <w:right w:val="single" w:color="000000" w:sz="8" w:space="0"/>
                  </w:tcBorders>
                  <w:shd w:val="clear" w:color="auto" w:fill="auto"/>
                  <w:noWrap/>
                  <w:vAlign w:val="center"/>
                </w:tcPr>
                <w:p w14:paraId="442DFD1C">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p>
              </w:tc>
            </w:tr>
            <w:tr w14:paraId="3AA11724">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2AE9E9A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60</w:t>
                  </w:r>
                </w:p>
              </w:tc>
              <w:tc>
                <w:tcPr>
                  <w:tcW w:w="2916" w:type="dxa"/>
                  <w:tcBorders>
                    <w:top w:val="single" w:color="auto" w:sz="4" w:space="0"/>
                    <w:left w:val="nil"/>
                    <w:bottom w:val="single" w:color="auto" w:sz="4" w:space="0"/>
                    <w:right w:val="single" w:color="000000" w:sz="8" w:space="0"/>
                  </w:tcBorders>
                  <w:shd w:val="clear" w:color="auto" w:fill="auto"/>
                  <w:noWrap w:val="0"/>
                  <w:vAlign w:val="center"/>
                </w:tcPr>
                <w:p w14:paraId="583C063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超净工作台</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4EDFC96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77C66B0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台</w:t>
                  </w:r>
                </w:p>
              </w:tc>
              <w:tc>
                <w:tcPr>
                  <w:tcW w:w="2766" w:type="dxa"/>
                  <w:tcBorders>
                    <w:top w:val="single" w:color="auto" w:sz="4" w:space="0"/>
                    <w:left w:val="nil"/>
                    <w:bottom w:val="single" w:color="auto" w:sz="4" w:space="0"/>
                    <w:right w:val="single" w:color="000000" w:sz="8" w:space="0"/>
                  </w:tcBorders>
                  <w:shd w:val="clear" w:color="auto" w:fill="auto"/>
                  <w:noWrap/>
                  <w:vAlign w:val="center"/>
                </w:tcPr>
                <w:p w14:paraId="13B782FA">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p>
              </w:tc>
            </w:tr>
            <w:tr w14:paraId="7A91D5C5">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7422D4E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61</w:t>
                  </w:r>
                </w:p>
              </w:tc>
              <w:tc>
                <w:tcPr>
                  <w:tcW w:w="2916" w:type="dxa"/>
                  <w:tcBorders>
                    <w:top w:val="single" w:color="auto" w:sz="4" w:space="0"/>
                    <w:left w:val="nil"/>
                    <w:bottom w:val="single" w:color="auto" w:sz="4" w:space="0"/>
                    <w:right w:val="single" w:color="000000" w:sz="8" w:space="0"/>
                  </w:tcBorders>
                  <w:shd w:val="clear" w:color="auto" w:fill="auto"/>
                  <w:noWrap w:val="0"/>
                  <w:vAlign w:val="center"/>
                </w:tcPr>
                <w:p w14:paraId="462FB72F">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离心机</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48D5E494">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27D6FFE3">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台</w:t>
                  </w:r>
                </w:p>
              </w:tc>
              <w:tc>
                <w:tcPr>
                  <w:tcW w:w="2766" w:type="dxa"/>
                  <w:tcBorders>
                    <w:top w:val="single" w:color="auto" w:sz="4" w:space="0"/>
                    <w:left w:val="nil"/>
                    <w:bottom w:val="single" w:color="auto" w:sz="4" w:space="0"/>
                    <w:right w:val="single" w:color="000000" w:sz="8" w:space="0"/>
                  </w:tcBorders>
                  <w:shd w:val="clear" w:color="auto" w:fill="auto"/>
                  <w:noWrap/>
                  <w:vAlign w:val="center"/>
                </w:tcPr>
                <w:p w14:paraId="788B034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p>
              </w:tc>
            </w:tr>
            <w:tr w14:paraId="700CC58A">
              <w:tblPrEx>
                <w:tblCellMar>
                  <w:top w:w="0" w:type="dxa"/>
                  <w:left w:w="108" w:type="dxa"/>
                  <w:bottom w:w="0" w:type="dxa"/>
                  <w:right w:w="108" w:type="dxa"/>
                </w:tblCellMar>
              </w:tblPrEx>
              <w:trPr>
                <w:trHeight w:val="363" w:hRule="atLeast"/>
                <w:jc w:val="center"/>
              </w:trPr>
              <w:tc>
                <w:tcPr>
                  <w:tcW w:w="578" w:type="dxa"/>
                  <w:tcBorders>
                    <w:top w:val="single" w:color="auto" w:sz="4" w:space="0"/>
                    <w:left w:val="single" w:color="000000" w:sz="8" w:space="0"/>
                    <w:bottom w:val="single" w:color="auto" w:sz="4" w:space="0"/>
                    <w:right w:val="single" w:color="000000" w:sz="8" w:space="0"/>
                  </w:tcBorders>
                  <w:shd w:val="clear" w:color="auto" w:fill="auto"/>
                  <w:noWrap/>
                  <w:vAlign w:val="center"/>
                </w:tcPr>
                <w:p w14:paraId="034B83C0">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62</w:t>
                  </w:r>
                </w:p>
              </w:tc>
              <w:tc>
                <w:tcPr>
                  <w:tcW w:w="2916" w:type="dxa"/>
                  <w:tcBorders>
                    <w:top w:val="single" w:color="auto" w:sz="4" w:space="0"/>
                    <w:left w:val="nil"/>
                    <w:bottom w:val="single" w:color="auto" w:sz="4" w:space="0"/>
                    <w:right w:val="single" w:color="000000" w:sz="8" w:space="0"/>
                  </w:tcBorders>
                  <w:shd w:val="clear" w:color="auto" w:fill="auto"/>
                  <w:noWrap w:val="0"/>
                  <w:vAlign w:val="center"/>
                </w:tcPr>
                <w:p w14:paraId="63359F1D">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超声波清洗仪</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1D0268AB">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1</w:t>
                  </w:r>
                </w:p>
              </w:tc>
              <w:tc>
                <w:tcPr>
                  <w:tcW w:w="578" w:type="dxa"/>
                  <w:tcBorders>
                    <w:top w:val="single" w:color="auto" w:sz="4" w:space="0"/>
                    <w:left w:val="nil"/>
                    <w:bottom w:val="single" w:color="auto" w:sz="4" w:space="0"/>
                    <w:right w:val="single" w:color="000000" w:sz="8" w:space="0"/>
                  </w:tcBorders>
                  <w:shd w:val="clear" w:color="auto" w:fill="auto"/>
                  <w:noWrap/>
                  <w:vAlign w:val="center"/>
                </w:tcPr>
                <w:p w14:paraId="3933251E">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color w:val="auto"/>
                      <w:kern w:val="0"/>
                      <w:sz w:val="18"/>
                      <w:szCs w:val="18"/>
                      <w:lang w:val="en-US" w:eastAsia="zh-CN"/>
                    </w:rPr>
                    <w:t>台</w:t>
                  </w:r>
                </w:p>
              </w:tc>
              <w:tc>
                <w:tcPr>
                  <w:tcW w:w="2766" w:type="dxa"/>
                  <w:tcBorders>
                    <w:top w:val="single" w:color="auto" w:sz="4" w:space="0"/>
                    <w:left w:val="nil"/>
                    <w:bottom w:val="single" w:color="auto" w:sz="4" w:space="0"/>
                    <w:right w:val="single" w:color="000000" w:sz="8" w:space="0"/>
                  </w:tcBorders>
                  <w:shd w:val="clear" w:color="auto" w:fill="auto"/>
                  <w:noWrap/>
                  <w:vAlign w:val="center"/>
                </w:tcPr>
                <w:p w14:paraId="691CADC8">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kern w:val="0"/>
                      <w:sz w:val="18"/>
                      <w:szCs w:val="18"/>
                      <w:lang w:val="en-US" w:eastAsia="zh-CN"/>
                    </w:rPr>
                  </w:pPr>
                </w:p>
              </w:tc>
            </w:tr>
          </w:tbl>
          <w:p w14:paraId="226F05D7">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6、</w:t>
            </w:r>
            <w:r>
              <w:rPr>
                <w:rFonts w:hint="eastAsia" w:cs="Times New Roman"/>
                <w:b/>
                <w:bCs/>
                <w:color w:val="auto"/>
                <w:sz w:val="21"/>
                <w:szCs w:val="21"/>
                <w:highlight w:val="none"/>
                <w:lang w:val="en-US" w:eastAsia="zh-CN"/>
              </w:rPr>
              <w:t>项目实验室试剂及供给</w:t>
            </w:r>
          </w:p>
          <w:p w14:paraId="1CEC20D6">
            <w:pPr>
              <w:adjustRightInd w:val="0"/>
              <w:snapToGrid w:val="0"/>
              <w:spacing w:line="360" w:lineRule="auto"/>
              <w:ind w:firstLine="420" w:firstLineChars="200"/>
              <w:outlineLvl w:val="9"/>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本</w:t>
            </w:r>
            <w:r>
              <w:rPr>
                <w:rFonts w:hint="default" w:ascii="Times New Roman" w:hAnsi="Times New Roman" w:eastAsia="宋体" w:cs="Times New Roman"/>
                <w:bCs/>
                <w:color w:val="auto"/>
                <w:sz w:val="21"/>
                <w:szCs w:val="21"/>
              </w:rPr>
              <w:t>项目实验一般化学品试剂统一储存于试剂室内，一般危险化学品试剂</w:t>
            </w:r>
            <w:r>
              <w:rPr>
                <w:rFonts w:hint="default" w:ascii="Times New Roman" w:hAnsi="Times New Roman" w:eastAsia="宋体" w:cs="Times New Roman"/>
                <w:bCs/>
                <w:color w:val="auto"/>
                <w:sz w:val="21"/>
                <w:szCs w:val="21"/>
                <w:lang w:val="en-US" w:eastAsia="zh-CN"/>
              </w:rPr>
              <w:t>及危险化学品储存于</w:t>
            </w:r>
            <w:r>
              <w:rPr>
                <w:rFonts w:hint="default" w:ascii="Times New Roman" w:hAnsi="Times New Roman" w:eastAsia="宋体" w:cs="Times New Roman"/>
                <w:b w:val="0"/>
                <w:bCs w:val="0"/>
                <w:color w:val="auto"/>
                <w:sz w:val="21"/>
                <w:szCs w:val="21"/>
                <w:vertAlign w:val="baseline"/>
                <w:lang w:val="en-US" w:eastAsia="zh-CN"/>
              </w:rPr>
              <w:t>危化品室内，</w:t>
            </w:r>
            <w:r>
              <w:rPr>
                <w:rFonts w:hint="default" w:ascii="Times New Roman" w:hAnsi="Times New Roman" w:eastAsia="宋体" w:cs="Times New Roman"/>
                <w:bCs/>
                <w:color w:val="auto"/>
                <w:sz w:val="21"/>
                <w:szCs w:val="21"/>
              </w:rPr>
              <w:t>标准</w:t>
            </w:r>
            <w:r>
              <w:rPr>
                <w:rFonts w:hint="default" w:ascii="Times New Roman" w:hAnsi="Times New Roman" w:eastAsia="宋体" w:cs="Times New Roman"/>
                <w:bCs/>
                <w:color w:val="auto"/>
                <w:sz w:val="21"/>
                <w:szCs w:val="21"/>
                <w:lang w:val="en-US" w:eastAsia="zh-CN"/>
              </w:rPr>
              <w:t>试剂</w:t>
            </w:r>
            <w:r>
              <w:rPr>
                <w:rFonts w:hint="default" w:ascii="Times New Roman" w:hAnsi="Times New Roman" w:eastAsia="宋体" w:cs="Times New Roman"/>
                <w:bCs/>
                <w:color w:val="auto"/>
                <w:sz w:val="21"/>
                <w:szCs w:val="21"/>
              </w:rPr>
              <w:t>分别置于冰箱内。项目试剂管理配备有专职管理人员，对试剂贮存室的试剂进行分类存放，按实验需求定量领取试剂，同时对试剂领取进行登记等严格的管理制度。项目实验室使用的主要实验试剂及其用量和其理化性质具体见表2-4</w:t>
            </w:r>
            <w:r>
              <w:rPr>
                <w:rFonts w:hint="eastAsia" w:cs="Times New Roman"/>
                <w:bCs/>
                <w:color w:val="auto"/>
                <w:sz w:val="21"/>
                <w:szCs w:val="21"/>
                <w:lang w:val="en-US" w:eastAsia="zh-CN"/>
              </w:rPr>
              <w:t>~2-6</w:t>
            </w:r>
            <w:r>
              <w:rPr>
                <w:rFonts w:hint="default" w:ascii="Times New Roman" w:hAnsi="Times New Roman" w:eastAsia="宋体" w:cs="Times New Roman"/>
                <w:bCs/>
                <w:color w:val="auto"/>
                <w:sz w:val="21"/>
                <w:szCs w:val="21"/>
              </w:rPr>
              <w:t>；项目使用的标准物质及其用量具体见表2-</w:t>
            </w:r>
            <w:r>
              <w:rPr>
                <w:rFonts w:hint="eastAsia" w:cs="Times New Roman"/>
                <w:bCs/>
                <w:color w:val="auto"/>
                <w:sz w:val="21"/>
                <w:szCs w:val="21"/>
                <w:lang w:val="en-US" w:eastAsia="zh-CN"/>
              </w:rPr>
              <w:t>7；实验室使用气体见2-8</w:t>
            </w:r>
            <w:r>
              <w:rPr>
                <w:rFonts w:hint="default" w:ascii="Times New Roman" w:hAnsi="Times New Roman" w:eastAsia="宋体" w:cs="Times New Roman"/>
                <w:bCs/>
                <w:color w:val="auto"/>
                <w:sz w:val="21"/>
                <w:szCs w:val="21"/>
              </w:rPr>
              <w:t>。</w:t>
            </w:r>
          </w:p>
          <w:p w14:paraId="46486F19">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lang w:val="en-US" w:eastAsia="zh-CN"/>
              </w:rPr>
              <w:t>表2-4  项目实验室一般化学品试剂用量和理化性质一览表</w:t>
            </w:r>
          </w:p>
          <w:tbl>
            <w:tblPr>
              <w:tblStyle w:val="21"/>
              <w:tblW w:w="8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925"/>
              <w:gridCol w:w="821"/>
              <w:gridCol w:w="679"/>
              <w:gridCol w:w="774"/>
              <w:gridCol w:w="679"/>
              <w:gridCol w:w="3901"/>
            </w:tblGrid>
            <w:tr w14:paraId="48AE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D9FB773">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序号</w:t>
                  </w:r>
                </w:p>
              </w:tc>
              <w:tc>
                <w:tcPr>
                  <w:tcW w:w="925" w:type="dxa"/>
                  <w:vAlign w:val="center"/>
                </w:tcPr>
                <w:p w14:paraId="24A7556A">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名称</w:t>
                  </w:r>
                </w:p>
              </w:tc>
              <w:tc>
                <w:tcPr>
                  <w:tcW w:w="821" w:type="dxa"/>
                  <w:vAlign w:val="center"/>
                </w:tcPr>
                <w:p w14:paraId="7957C27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纯度</w:t>
                  </w:r>
                </w:p>
              </w:tc>
              <w:tc>
                <w:tcPr>
                  <w:tcW w:w="679" w:type="dxa"/>
                  <w:vAlign w:val="center"/>
                </w:tcPr>
                <w:p w14:paraId="014968B1">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规格</w:t>
                  </w:r>
                </w:p>
              </w:tc>
              <w:tc>
                <w:tcPr>
                  <w:tcW w:w="774" w:type="dxa"/>
                  <w:vAlign w:val="center"/>
                </w:tcPr>
                <w:p w14:paraId="5FD3A2EC">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最大储存量（瓶）</w:t>
                  </w:r>
                </w:p>
              </w:tc>
              <w:tc>
                <w:tcPr>
                  <w:tcW w:w="679" w:type="dxa"/>
                  <w:vAlign w:val="center"/>
                </w:tcPr>
                <w:p w14:paraId="7BFB8D4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年用量</w:t>
                  </w:r>
                  <w:r>
                    <w:rPr>
                      <w:rFonts w:hint="default" w:ascii="Times New Roman" w:hAnsi="Times New Roman" w:eastAsia="宋体"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lang w:val="en-US" w:eastAsia="zh-CN"/>
                    </w:rPr>
                    <w:t>瓶</w:t>
                  </w:r>
                  <w:r>
                    <w:rPr>
                      <w:rFonts w:hint="default" w:ascii="Times New Roman" w:hAnsi="Times New Roman" w:eastAsia="宋体" w:cs="Times New Roman"/>
                      <w:b/>
                      <w:bCs/>
                      <w:color w:val="auto"/>
                      <w:sz w:val="18"/>
                      <w:szCs w:val="18"/>
                      <w:highlight w:val="none"/>
                      <w:lang w:eastAsia="zh-CN"/>
                    </w:rPr>
                    <w:t>）</w:t>
                  </w:r>
                </w:p>
              </w:tc>
              <w:tc>
                <w:tcPr>
                  <w:tcW w:w="3901" w:type="dxa"/>
                  <w:vAlign w:val="center"/>
                </w:tcPr>
                <w:p w14:paraId="7E7162CC">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理化性质</w:t>
                  </w:r>
                </w:p>
              </w:tc>
            </w:tr>
            <w:tr w14:paraId="4B9C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6AD7B046">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925" w:type="dxa"/>
                  <w:vAlign w:val="center"/>
                </w:tcPr>
                <w:p w14:paraId="4B2F18C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氯化钠</w:t>
                  </w:r>
                </w:p>
              </w:tc>
              <w:tc>
                <w:tcPr>
                  <w:tcW w:w="821" w:type="dxa"/>
                  <w:vAlign w:val="center"/>
                </w:tcPr>
                <w:p w14:paraId="3B845B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77DB6E4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7429D2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591055A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3B712D41">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氯化钠 (Sodium chloride)，是一种无机离子化合物，化学式NaCl，无色立方结晶或细小结晶粉末，味咸。外观是白色晶体状，其来源主要是海水，是食盐的主要成分。易溶于水、甘油，微溶于乙醇（酒精）、液氨；不溶于浓盐酸。</w:t>
                  </w:r>
                </w:p>
              </w:tc>
            </w:tr>
            <w:tr w14:paraId="7185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8306B2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925" w:type="dxa"/>
                  <w:vAlign w:val="center"/>
                </w:tcPr>
                <w:p w14:paraId="5B62ACC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抗坏血酸</w:t>
                  </w:r>
                </w:p>
              </w:tc>
              <w:tc>
                <w:tcPr>
                  <w:tcW w:w="821" w:type="dxa"/>
                  <w:vAlign w:val="center"/>
                </w:tcPr>
                <w:p w14:paraId="5C41853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236C3C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63AB47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679" w:type="dxa"/>
                  <w:vAlign w:val="center"/>
                </w:tcPr>
                <w:p w14:paraId="0A955940">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w:t>
                  </w:r>
                </w:p>
              </w:tc>
              <w:tc>
                <w:tcPr>
                  <w:tcW w:w="3901" w:type="dxa"/>
                  <w:vAlign w:val="center"/>
                </w:tcPr>
                <w:p w14:paraId="752EA228">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抗坏血酸一般指</w:t>
                  </w:r>
                  <w:r>
                    <w:rPr>
                      <w:rFonts w:hint="default" w:ascii="Times New Roman" w:hAnsi="Times New Roman" w:eastAsia="宋体" w:cs="Times New Roman"/>
                      <w:color w:val="auto"/>
                      <w:sz w:val="18"/>
                      <w:szCs w:val="18"/>
                      <w:vertAlign w:val="baseline"/>
                      <w:lang w:val="en-US" w:eastAsia="zh-CN"/>
                    </w:rPr>
                    <w:t>维生素C，通常是片状，有时是针状的单斜晶体，无臭，味酸，易溶于水，具有很强的还原性。在实验室用作分析试剂，如作还原剂、掩蔽剂等。</w:t>
                  </w:r>
                </w:p>
              </w:tc>
            </w:tr>
            <w:tr w14:paraId="75C8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986F6F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925" w:type="dxa"/>
                  <w:vAlign w:val="center"/>
                </w:tcPr>
                <w:p w14:paraId="291F34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盐酸羟胺</w:t>
                  </w:r>
                </w:p>
              </w:tc>
              <w:tc>
                <w:tcPr>
                  <w:tcW w:w="821" w:type="dxa"/>
                  <w:vAlign w:val="center"/>
                </w:tcPr>
                <w:p w14:paraId="451A4A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49AB05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58FDB9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23BF608C">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0047EA33">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盐酸羟胺是一种无机物，是一种无色结晶，易潮解，白色的化学物质，主要用作还原剂和显像剂，有机合成中用于制备肟。</w:t>
                  </w:r>
                </w:p>
              </w:tc>
            </w:tr>
            <w:tr w14:paraId="1097E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010A2F49">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925" w:type="dxa"/>
                  <w:vAlign w:val="center"/>
                </w:tcPr>
                <w:p w14:paraId="2F343C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磷酸二氢钾</w:t>
                  </w:r>
                </w:p>
              </w:tc>
              <w:tc>
                <w:tcPr>
                  <w:tcW w:w="821" w:type="dxa"/>
                  <w:vAlign w:val="center"/>
                </w:tcPr>
                <w:p w14:paraId="27E4FF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331095A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76DF2F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4C6DA4C6">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7FE0BC89">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磷酸二氢钾，是一种无机化合物，化学式为KH</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PO</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，有潮解性，加热至400℃时熔化而成透明的液体，冷却后固化为不透明的玻璃状偏磷酸钾。空气中稳定，溶于水，不溶于乙醇。</w:t>
                  </w:r>
                </w:p>
              </w:tc>
            </w:tr>
            <w:tr w14:paraId="26780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210DB10">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925" w:type="dxa"/>
                  <w:vAlign w:val="center"/>
                </w:tcPr>
                <w:p w14:paraId="4A81E6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柠檬酸</w:t>
                  </w:r>
                </w:p>
              </w:tc>
              <w:tc>
                <w:tcPr>
                  <w:tcW w:w="821" w:type="dxa"/>
                  <w:vAlign w:val="center"/>
                </w:tcPr>
                <w:p w14:paraId="49288D7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67A912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37F63D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49F7224A">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49C5A588">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柠檬酸（CA），又名枸橼酸，分子式为C₆H₈O₇，是一种重要的有机弱酸，为无色晶体，无臭，易溶于水，溶液显酸性。在生物化学中，它是柠檬酸循环（三羧酸循环）的中间体，柠檬酸循环发生在所有需氧生物的新陈代谢中。柠檬酸被广泛用作酸度调节剂（GB2760—2014）、调味剂和螯合剂。</w:t>
                  </w:r>
                </w:p>
              </w:tc>
            </w:tr>
            <w:tr w14:paraId="35DC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0A23999C">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w:t>
                  </w:r>
                </w:p>
              </w:tc>
              <w:tc>
                <w:tcPr>
                  <w:tcW w:w="925" w:type="dxa"/>
                  <w:vAlign w:val="center"/>
                </w:tcPr>
                <w:p w14:paraId="5ED63E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氯化钾</w:t>
                  </w:r>
                </w:p>
              </w:tc>
              <w:tc>
                <w:tcPr>
                  <w:tcW w:w="821" w:type="dxa"/>
                  <w:vAlign w:val="center"/>
                </w:tcPr>
                <w:p w14:paraId="3D62DD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5823143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2528583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768D59CC">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7BABDA0E">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氯化钾是一种无机化合物，化学式为KCl，外观如同食盐，无臭、味咸。常用于低钠盐、矿物质水的添加剂。氯化钾是临床常用的电解质平衡调节药，临床疗效确切，广泛运用于临床各科。</w:t>
                  </w:r>
                </w:p>
              </w:tc>
            </w:tr>
            <w:tr w14:paraId="62036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AE3B54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7</w:t>
                  </w:r>
                </w:p>
              </w:tc>
              <w:tc>
                <w:tcPr>
                  <w:tcW w:w="925" w:type="dxa"/>
                  <w:vAlign w:val="center"/>
                </w:tcPr>
                <w:p w14:paraId="2ACE5E5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甘油</w:t>
                  </w:r>
                </w:p>
              </w:tc>
              <w:tc>
                <w:tcPr>
                  <w:tcW w:w="821" w:type="dxa"/>
                  <w:vAlign w:val="center"/>
                </w:tcPr>
                <w:p w14:paraId="728AAD1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7943C9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74" w:type="dxa"/>
                  <w:vAlign w:val="center"/>
                </w:tcPr>
                <w:p w14:paraId="297719F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05AAC15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1BEE3EDC">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是一种有机化合物，化学式为C</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8</w:t>
                  </w:r>
                  <w:r>
                    <w:rPr>
                      <w:rFonts w:hint="default" w:ascii="Times New Roman" w:hAnsi="Times New Roman" w:eastAsia="宋体" w:cs="Times New Roman"/>
                      <w:color w:val="auto"/>
                      <w:sz w:val="18"/>
                      <w:szCs w:val="18"/>
                      <w:vertAlign w:val="baseline"/>
                      <w:lang w:val="en-US" w:eastAsia="zh-CN"/>
                    </w:rPr>
                    <w:t>O</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是一种简单的多元醇化合物，无色、透明、无臭、粘稠液体，味甜，具有吸湿性。与水和醇类、胺类、酚类以任何比例混溶，水溶液为中性。溶于11倍的乙酸乙酯，约500倍的乙醚。不溶于苯、氯仿、四氯化碳、二硫化碳、石油醚、油类、长链脂肪醇。可燃，遇二氧化铬、氯酸钾等强氧化剂能引起燃烧和爆炸。也是许多无机盐类和气体的良好溶剂。对金属无腐蚀性，作溶剂使用时可被氧化成丙烯醛。</w:t>
                  </w:r>
                </w:p>
              </w:tc>
            </w:tr>
            <w:tr w14:paraId="4BEB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75BA907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8</w:t>
                  </w:r>
                </w:p>
              </w:tc>
              <w:tc>
                <w:tcPr>
                  <w:tcW w:w="925" w:type="dxa"/>
                  <w:vAlign w:val="center"/>
                </w:tcPr>
                <w:p w14:paraId="04DB9A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曲拉通X-100</w:t>
                  </w:r>
                </w:p>
              </w:tc>
              <w:tc>
                <w:tcPr>
                  <w:tcW w:w="821" w:type="dxa"/>
                  <w:vAlign w:val="center"/>
                </w:tcPr>
                <w:p w14:paraId="78E337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4A176FD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74" w:type="dxa"/>
                  <w:vAlign w:val="center"/>
                </w:tcPr>
                <w:p w14:paraId="375CD8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09AFCFF4">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7A9B7DEA">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无色或几乎无色透明黏稠液体。能溶于水、甲苯、二甲苯和乙醇，不溶于石油醚。折光率1.4894（25℃），粘度24×10-3 Pa·s。用作气相色谱固定液（最高使用温度190℃，溶剂为丙酮、氯仿、二氯甲烷、甲醇），分离分析烃类化合物、含氧化合物（醇、酯、酮）、碱性和中性含氮化合物（胺、吡啶、醌、异醌、吲哚）、硫醇、无机气体。非离子型表面活性剂，闪烁试剂，生化研究。</w:t>
                  </w:r>
                </w:p>
              </w:tc>
            </w:tr>
            <w:tr w14:paraId="6DE1F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9567802">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9</w:t>
                  </w:r>
                </w:p>
              </w:tc>
              <w:tc>
                <w:tcPr>
                  <w:tcW w:w="925" w:type="dxa"/>
                  <w:vAlign w:val="center"/>
                </w:tcPr>
                <w:p w14:paraId="7E45BA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磷酸氢二钠</w:t>
                  </w:r>
                </w:p>
              </w:tc>
              <w:tc>
                <w:tcPr>
                  <w:tcW w:w="821" w:type="dxa"/>
                  <w:vAlign w:val="center"/>
                </w:tcPr>
                <w:p w14:paraId="6E702D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796137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26502A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7A1EE541">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2FADEDDC">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磷酸氢二钠，又名磷酸一氢钠，化学式为Na</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HPO</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，是磷酸生成的钠盐酸式盐之一。它为易潮解的白色粉末，可溶于水，水溶液呈弱碱性。</w:t>
                  </w:r>
                </w:p>
              </w:tc>
            </w:tr>
            <w:tr w14:paraId="6745C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3A8008C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10</w:t>
                  </w:r>
                </w:p>
              </w:tc>
              <w:tc>
                <w:tcPr>
                  <w:tcW w:w="925" w:type="dxa"/>
                  <w:vAlign w:val="center"/>
                </w:tcPr>
                <w:p w14:paraId="4154C0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柠檬酸钠</w:t>
                  </w:r>
                </w:p>
              </w:tc>
              <w:tc>
                <w:tcPr>
                  <w:tcW w:w="821" w:type="dxa"/>
                  <w:vAlign w:val="center"/>
                </w:tcPr>
                <w:p w14:paraId="00A5AF2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5A7F88C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5AC5DA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67BEC99E">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34F5EE30">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又名柠檬酸三钠、枸橼酸钠、枸橼酸三钠，是一种有机酸钠盐。外观为白色到无色晶体，有凉咸味，在空气中稳定。化学式为C</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5</w:t>
                  </w:r>
                  <w:r>
                    <w:rPr>
                      <w:rFonts w:hint="default" w:ascii="Times New Roman" w:hAnsi="Times New Roman" w:eastAsia="宋体" w:cs="Times New Roman"/>
                      <w:color w:val="auto"/>
                      <w:sz w:val="18"/>
                      <w:szCs w:val="18"/>
                      <w:vertAlign w:val="baseline"/>
                      <w:lang w:val="en-US" w:eastAsia="zh-CN"/>
                    </w:rPr>
                    <w:t>Na</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O</w:t>
                  </w:r>
                  <w:r>
                    <w:rPr>
                      <w:rFonts w:hint="default" w:ascii="Times New Roman" w:hAnsi="Times New Roman" w:eastAsia="宋体" w:cs="Times New Roman"/>
                      <w:color w:val="auto"/>
                      <w:sz w:val="18"/>
                      <w:szCs w:val="18"/>
                      <w:vertAlign w:val="subscript"/>
                      <w:lang w:val="en-US" w:eastAsia="zh-CN"/>
                    </w:rPr>
                    <w:t>7</w:t>
                  </w:r>
                  <w:r>
                    <w:rPr>
                      <w:rFonts w:hint="default" w:ascii="Times New Roman" w:hAnsi="Times New Roman" w:eastAsia="宋体" w:cs="Times New Roman"/>
                      <w:color w:val="auto"/>
                      <w:sz w:val="18"/>
                      <w:szCs w:val="18"/>
                      <w:vertAlign w:val="baseline"/>
                      <w:lang w:val="en-US" w:eastAsia="zh-CN"/>
                    </w:rPr>
                    <w:t>，溶于水，难溶于乙醇，水溶液具有微碱性，常用作缓冲剂、络合剂、细菌培养基，在医药上用于利尿、祛痰、抗凝血剂，并用于食品、饮料、电镀、照相等方面。是生物试验的基本药剂之一。</w:t>
                  </w:r>
                </w:p>
              </w:tc>
            </w:tr>
            <w:tr w14:paraId="10699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0E3835A9">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11</w:t>
                  </w:r>
                </w:p>
              </w:tc>
              <w:tc>
                <w:tcPr>
                  <w:tcW w:w="925" w:type="dxa"/>
                  <w:vAlign w:val="center"/>
                </w:tcPr>
                <w:p w14:paraId="11A7A8D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三水合氯胺T</w:t>
                  </w:r>
                </w:p>
              </w:tc>
              <w:tc>
                <w:tcPr>
                  <w:tcW w:w="821" w:type="dxa"/>
                  <w:vAlign w:val="center"/>
                </w:tcPr>
                <w:p w14:paraId="3C2C497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5F4006B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100g</w:t>
                  </w:r>
                </w:p>
              </w:tc>
              <w:tc>
                <w:tcPr>
                  <w:tcW w:w="774" w:type="dxa"/>
                  <w:vAlign w:val="center"/>
                </w:tcPr>
                <w:p w14:paraId="43AFA3C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045D5B98">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31BC3CF0">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58EE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0E0FB4B">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925" w:type="dxa"/>
                  <w:vAlign w:val="center"/>
                </w:tcPr>
                <w:p w14:paraId="50EECA8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吡唑啉酮（依达拉奉）</w:t>
                  </w:r>
                </w:p>
              </w:tc>
              <w:tc>
                <w:tcPr>
                  <w:tcW w:w="821" w:type="dxa"/>
                  <w:vAlign w:val="center"/>
                </w:tcPr>
                <w:p w14:paraId="3727BEA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3B611A9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24D640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603375C0">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3E10700B">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白色结晶或粉末。熔点127℃，沸点287℃（35.3kPa）。溶于水、微溶于醇和苯，不溶于醚、石油醚及冷水。</w:t>
                  </w:r>
                </w:p>
              </w:tc>
            </w:tr>
            <w:tr w14:paraId="5FDD9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19366B0">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13</w:t>
                  </w:r>
                </w:p>
              </w:tc>
              <w:tc>
                <w:tcPr>
                  <w:tcW w:w="925" w:type="dxa"/>
                  <w:vAlign w:val="center"/>
                </w:tcPr>
                <w:p w14:paraId="3E2C72E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异烟酸</w:t>
                  </w:r>
                </w:p>
              </w:tc>
              <w:tc>
                <w:tcPr>
                  <w:tcW w:w="821" w:type="dxa"/>
                  <w:vAlign w:val="center"/>
                </w:tcPr>
                <w:p w14:paraId="6CA8B1E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424751E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41A310B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5CB64BF9">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02EDC1C4">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i w:val="0"/>
                      <w:iCs w:val="0"/>
                      <w:caps w:val="0"/>
                      <w:color w:val="auto"/>
                      <w:spacing w:val="0"/>
                      <w:sz w:val="18"/>
                      <w:szCs w:val="18"/>
                      <w:shd w:val="clear" w:fill="FFFFFF"/>
                      <w:lang w:eastAsia="zh-CN"/>
                    </w:rPr>
                  </w:pPr>
                  <w:r>
                    <w:rPr>
                      <w:rFonts w:hint="default" w:ascii="Times New Roman" w:hAnsi="Times New Roman" w:eastAsia="宋体" w:cs="Times New Roman"/>
                      <w:color w:val="auto"/>
                      <w:sz w:val="18"/>
                      <w:szCs w:val="18"/>
                      <w:vertAlign w:val="baseline"/>
                      <w:lang w:val="en-US" w:eastAsia="zh-CN"/>
                    </w:rPr>
                    <w:t>异烟酸一般指4-吡啶甲酸，</w:t>
                  </w:r>
                  <w:r>
                    <w:rPr>
                      <w:rFonts w:hint="default" w:ascii="Times New Roman" w:hAnsi="Times New Roman" w:eastAsia="宋体" w:cs="Times New Roman"/>
                      <w:i w:val="0"/>
                      <w:iCs w:val="0"/>
                      <w:caps w:val="0"/>
                      <w:color w:val="auto"/>
                      <w:spacing w:val="0"/>
                      <w:sz w:val="18"/>
                      <w:szCs w:val="18"/>
                      <w:shd w:val="clear" w:fill="FFFFFF"/>
                    </w:rPr>
                    <w:t>白色至类白色粉末</w:t>
                  </w:r>
                  <w:r>
                    <w:rPr>
                      <w:rFonts w:hint="default" w:ascii="Times New Roman" w:hAnsi="Times New Roman" w:eastAsia="宋体" w:cs="Times New Roman"/>
                      <w:i w:val="0"/>
                      <w:iCs w:val="0"/>
                      <w:caps w:val="0"/>
                      <w:color w:val="auto"/>
                      <w:spacing w:val="0"/>
                      <w:sz w:val="18"/>
                      <w:szCs w:val="18"/>
                      <w:shd w:val="clear" w:fill="FFFFFF"/>
                      <w:lang w:eastAsia="zh-CN"/>
                    </w:rPr>
                    <w:t>，熔点：310-315℃，沸点：396°C at 760 mmHg，闪点：193.3°C，蒸汽压：5.56E-07mmHg at 25°C。</w:t>
                  </w:r>
                </w:p>
                <w:p w14:paraId="336CA198">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aps w:val="0"/>
                      <w:color w:val="auto"/>
                      <w:spacing w:val="0"/>
                      <w:sz w:val="18"/>
                      <w:szCs w:val="18"/>
                      <w:shd w:val="clear" w:fill="FFFFFF"/>
                      <w:lang w:eastAsia="zh-CN"/>
                    </w:rPr>
                    <w:t>25℃，一个大气压下饱和水溶液pH值为3.6；20℃以下，在100ml水可溶解0.25g异烟酸，热水中溶解度增加。溶解性：几乎不溶于苯、乙醚和乙醇。</w:t>
                  </w:r>
                </w:p>
              </w:tc>
            </w:tr>
            <w:tr w14:paraId="46D5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11D668F">
                  <w:pPr>
                    <w:jc w:val="center"/>
                    <w:outlineLvl w:val="9"/>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14</w:t>
                  </w:r>
                </w:p>
              </w:tc>
              <w:tc>
                <w:tcPr>
                  <w:tcW w:w="925" w:type="dxa"/>
                  <w:vAlign w:val="center"/>
                </w:tcPr>
                <w:p w14:paraId="5F9E1C1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氯化铵</w:t>
                  </w:r>
                </w:p>
              </w:tc>
              <w:tc>
                <w:tcPr>
                  <w:tcW w:w="821" w:type="dxa"/>
                  <w:vAlign w:val="center"/>
                </w:tcPr>
                <w:p w14:paraId="0FDA13A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0164DB2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4020C6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232D488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29489A39">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氯化铵是联碱法生产纯碱的主要副产物，为白色结晶固体，易吸潮结块，受热易分解，氯化铵在水中会发生水解反应，受热时会分解为氨气和氯化氢气体。与碱性氧化物反应，也可与硫酸反应生成硫酸氢铵和氯化氢。</w:t>
                  </w:r>
                </w:p>
              </w:tc>
            </w:tr>
            <w:tr w14:paraId="1EEC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C7ADEBE">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15</w:t>
                  </w:r>
                </w:p>
              </w:tc>
              <w:tc>
                <w:tcPr>
                  <w:tcW w:w="925" w:type="dxa"/>
                  <w:vAlign w:val="center"/>
                </w:tcPr>
                <w:p w14:paraId="3D93E9E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无水硫酸钠</w:t>
                  </w:r>
                </w:p>
              </w:tc>
              <w:tc>
                <w:tcPr>
                  <w:tcW w:w="821" w:type="dxa"/>
                  <w:vAlign w:val="center"/>
                </w:tcPr>
                <w:p w14:paraId="7F11594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3265476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1kg</w:t>
                  </w:r>
                </w:p>
              </w:tc>
              <w:tc>
                <w:tcPr>
                  <w:tcW w:w="774" w:type="dxa"/>
                  <w:vAlign w:val="center"/>
                </w:tcPr>
                <w:p w14:paraId="52ED1E8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3479453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28C26E93">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化学式为Na</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SO</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硫酸钠溶于水，其溶液大多为中性，溶于甘油而不溶于乙醇。无机化合物，高纯度、颗粒细的无水物称为元明粉。元明粉，白色、无臭、有苦味的结晶或粉末，有吸湿性。外形为无色、透明、大的结晶或颗粒性小结晶。硫酸钠暴露于空气中易吸水，生成十水合硫酸钠，又名芒硝，偏碱性。主要用于制造水玻璃、玻璃、瓷釉、纸浆、致冷混合剂、洗涤剂、干燥剂、染料稀释剂、分析化学试剂、医药品、饲料等。 在241℃时硫酸钠会转变成六方形结晶。在有机合成实验室硫酸钠是一种最为常用的后处理干燥剂。上游原料包括硫酸，烧碱等。</w:t>
                  </w:r>
                </w:p>
              </w:tc>
            </w:tr>
            <w:tr w14:paraId="2788C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3EB396A3">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16</w:t>
                  </w:r>
                </w:p>
              </w:tc>
              <w:tc>
                <w:tcPr>
                  <w:tcW w:w="925" w:type="dxa"/>
                  <w:vAlign w:val="center"/>
                </w:tcPr>
                <w:p w14:paraId="351DE90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二水合乙二胺四乙酸二钠</w:t>
                  </w:r>
                </w:p>
              </w:tc>
              <w:tc>
                <w:tcPr>
                  <w:tcW w:w="821" w:type="dxa"/>
                  <w:vAlign w:val="center"/>
                </w:tcPr>
                <w:p w14:paraId="62C9856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5E6B7B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1AEBBC0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679" w:type="dxa"/>
                  <w:vAlign w:val="center"/>
                </w:tcPr>
                <w:p w14:paraId="5C18D17A">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1B7C051E">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常温常压下稳定，白色结晶状粉末。pH=5.3时可溶于水，具有弱酸的特性。</w:t>
                  </w:r>
                </w:p>
              </w:tc>
            </w:tr>
            <w:tr w14:paraId="7968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77C8C86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17</w:t>
                  </w:r>
                </w:p>
              </w:tc>
              <w:tc>
                <w:tcPr>
                  <w:tcW w:w="925" w:type="dxa"/>
                  <w:vAlign w:val="center"/>
                </w:tcPr>
                <w:p w14:paraId="095853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邻苯二醛</w:t>
                  </w:r>
                </w:p>
              </w:tc>
              <w:tc>
                <w:tcPr>
                  <w:tcW w:w="821" w:type="dxa"/>
                  <w:vAlign w:val="center"/>
                </w:tcPr>
                <w:p w14:paraId="5DAFCB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45CA0A2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25g</w:t>
                  </w:r>
                </w:p>
              </w:tc>
              <w:tc>
                <w:tcPr>
                  <w:tcW w:w="774" w:type="dxa"/>
                  <w:vAlign w:val="center"/>
                </w:tcPr>
                <w:p w14:paraId="1630EB0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4DDE490E">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7E7790F7">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淡黄色结晶，对光和空气敏感，能随水蒸气挥发。溶于水、乙醇、乙醚和有机溶剂，微溶于石油醚。有刺激性。主要用于化学领域分析试剂：作为胺类生物碱试剂，用于荧光法测定伯胺和肽键分解物。</w:t>
                  </w:r>
                </w:p>
              </w:tc>
            </w:tr>
            <w:tr w14:paraId="7CE6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7F311D57">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18</w:t>
                  </w:r>
                </w:p>
              </w:tc>
              <w:tc>
                <w:tcPr>
                  <w:tcW w:w="925" w:type="dxa"/>
                  <w:vAlign w:val="center"/>
                </w:tcPr>
                <w:p w14:paraId="26D680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甲基橙</w:t>
                  </w:r>
                </w:p>
              </w:tc>
              <w:tc>
                <w:tcPr>
                  <w:tcW w:w="821" w:type="dxa"/>
                  <w:vAlign w:val="center"/>
                </w:tcPr>
                <w:p w14:paraId="62713B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63A0F1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100g</w:t>
                  </w:r>
                </w:p>
              </w:tc>
              <w:tc>
                <w:tcPr>
                  <w:tcW w:w="774" w:type="dxa"/>
                  <w:vAlign w:val="center"/>
                </w:tcPr>
                <w:p w14:paraId="54345AB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19E197C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2E4FB8A4">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甲基橙是一种有机物，化学式是C</w:t>
                  </w:r>
                  <w:r>
                    <w:rPr>
                      <w:rFonts w:hint="default" w:ascii="Times New Roman" w:hAnsi="Times New Roman" w:eastAsia="宋体" w:cs="Times New Roman"/>
                      <w:color w:val="auto"/>
                      <w:sz w:val="18"/>
                      <w:szCs w:val="18"/>
                      <w:vertAlign w:val="subscript"/>
                      <w:lang w:val="en-US" w:eastAsia="zh-CN"/>
                    </w:rPr>
                    <w:t>14</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14</w:t>
                  </w:r>
                  <w:r>
                    <w:rPr>
                      <w:rFonts w:hint="default" w:ascii="Times New Roman" w:hAnsi="Times New Roman" w:eastAsia="宋体" w:cs="Times New Roman"/>
                      <w:color w:val="auto"/>
                      <w:sz w:val="18"/>
                      <w:szCs w:val="18"/>
                      <w:vertAlign w:val="baseline"/>
                      <w:lang w:val="en-US" w:eastAsia="zh-CN"/>
                    </w:rPr>
                    <w:t>N</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SO</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Na，常用作酸碱指示剂。</w:t>
                  </w:r>
                </w:p>
              </w:tc>
            </w:tr>
            <w:tr w14:paraId="1587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6A490A9">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19</w:t>
                  </w:r>
                </w:p>
              </w:tc>
              <w:tc>
                <w:tcPr>
                  <w:tcW w:w="925" w:type="dxa"/>
                  <w:vAlign w:val="center"/>
                </w:tcPr>
                <w:p w14:paraId="4B7063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五水合硫代硫酸钠</w:t>
                  </w:r>
                </w:p>
              </w:tc>
              <w:tc>
                <w:tcPr>
                  <w:tcW w:w="821" w:type="dxa"/>
                  <w:vAlign w:val="center"/>
                </w:tcPr>
                <w:p w14:paraId="47E60F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0A250E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17C32F4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679" w:type="dxa"/>
                  <w:vAlign w:val="center"/>
                </w:tcPr>
                <w:p w14:paraId="65154BA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13885CD9">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五水硫代硫酸钠是一种无机物，化学式为Na2S2O3·5H2O，无色单斜晶系结晶，无臭，有清凉带苦的味道。 比重1.729，加热至100℃，失去5个结晶水。易溶于水，不溶于醇，具有强烈的还原性。在33℃以上的干燥空气中易风化，在潮湿空气中有潮解性。五水硫代硫酸钠是硫代硫酸钠的水合物，水溶液显弱碱性。在中性、碱性溶液中较稳定，在酸性溶液中会迅速分解。</w:t>
                  </w:r>
                </w:p>
              </w:tc>
            </w:tr>
            <w:tr w14:paraId="60E9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73BC21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w:t>
                  </w:r>
                </w:p>
              </w:tc>
              <w:tc>
                <w:tcPr>
                  <w:tcW w:w="925" w:type="dxa"/>
                  <w:vAlign w:val="center"/>
                </w:tcPr>
                <w:p w14:paraId="45BB20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碳酸氢钠</w:t>
                  </w:r>
                </w:p>
              </w:tc>
              <w:tc>
                <w:tcPr>
                  <w:tcW w:w="821" w:type="dxa"/>
                  <w:vAlign w:val="center"/>
                </w:tcPr>
                <w:p w14:paraId="3D6AC95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4ECF68F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19F5117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630A1860">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031BCDC3">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碳酸氢钠（Sodium bicarbonate），分子式为NaHCO₃，是一种无机化合物，白色粉末或细微晶体，无臭，味咸，易溶于水，微溶于乙醇（一说不溶），水溶液呈微碱性。受热易分解，在潮湿空气中缓慢分解，产生二氧化碳，约50℃开始分解，加热至270℃完全分解。遇酸则强烈分解，产生二氧化碳。</w:t>
                  </w:r>
                </w:p>
              </w:tc>
            </w:tr>
            <w:tr w14:paraId="34FA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2D6883C">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21</w:t>
                  </w:r>
                </w:p>
              </w:tc>
              <w:tc>
                <w:tcPr>
                  <w:tcW w:w="925" w:type="dxa"/>
                  <w:vAlign w:val="center"/>
                </w:tcPr>
                <w:p w14:paraId="6D154EA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十水合碳酸钠</w:t>
                  </w:r>
                </w:p>
              </w:tc>
              <w:tc>
                <w:tcPr>
                  <w:tcW w:w="821" w:type="dxa"/>
                  <w:vAlign w:val="center"/>
                </w:tcPr>
                <w:p w14:paraId="3BB9C4E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4DD69CF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06230F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4C07E3DC">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14D5E75F">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白色透明结晶。易风化为粉末状一水合物。常温常压下稳定，在32.5-34.5℃溶于自身结晶水。于35.5℃开始脱水。易溶于水，水溶液呈碱性，不溶于乙醇。</w:t>
                  </w:r>
                </w:p>
              </w:tc>
            </w:tr>
            <w:tr w14:paraId="75539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3DA5CCA5">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22</w:t>
                  </w:r>
                </w:p>
              </w:tc>
              <w:tc>
                <w:tcPr>
                  <w:tcW w:w="925" w:type="dxa"/>
                  <w:vAlign w:val="center"/>
                </w:tcPr>
                <w:p w14:paraId="256B2EE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无水碳酸钠</w:t>
                  </w:r>
                </w:p>
              </w:tc>
              <w:tc>
                <w:tcPr>
                  <w:tcW w:w="821" w:type="dxa"/>
                  <w:vAlign w:val="center"/>
                </w:tcPr>
                <w:p w14:paraId="3DCE53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24D0E1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0F1F149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2545992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1D346C68">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化学式为Na</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CO</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，俗名苏打、纯碱、碱灰、碳酸二钠盐、苏打灰，通常情况下为白色粉末，为强电解质，密度为2.532g/cm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vertAlign w:val="baseline"/>
                      <w:lang w:val="en-US" w:eastAsia="zh-CN"/>
                    </w:rPr>
                    <w:t>，熔点为851°C，易溶于水和甘油，微溶于无水乙醇，难溶于丙醇，具有盐的通性，属于无机盐。潮湿的空气里会吸潮结块，部分变为碳酸氢钠。在环境方面，碳酸钠通常被视为对生态系统相对无害的物质。然而，大量排放仍可能影响水体的pH值和总碱度，因此在使用和处理时需要适当的管理和监管。</w:t>
                  </w:r>
                </w:p>
              </w:tc>
            </w:tr>
            <w:tr w14:paraId="16CB3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33E6D81">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23</w:t>
                  </w:r>
                </w:p>
              </w:tc>
              <w:tc>
                <w:tcPr>
                  <w:tcW w:w="925" w:type="dxa"/>
                  <w:vAlign w:val="center"/>
                </w:tcPr>
                <w:p w14:paraId="7B642BF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七水合硫酸镁</w:t>
                  </w:r>
                </w:p>
              </w:tc>
              <w:tc>
                <w:tcPr>
                  <w:tcW w:w="821" w:type="dxa"/>
                  <w:vAlign w:val="center"/>
                </w:tcPr>
                <w:p w14:paraId="0E5BA9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5F6345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3CC5014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728E32A4">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770806EA">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白色或无色的针状或斜柱状结晶体，无臭，凉并微苦。受热分解，逐渐脱去结晶水变为无水硫酸镁。熔点：1124℃（分解），易溶于水，微溶于乙醇和甘油。</w:t>
                  </w:r>
                </w:p>
              </w:tc>
            </w:tr>
            <w:tr w14:paraId="146E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7DF9B43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24</w:t>
                  </w:r>
                </w:p>
              </w:tc>
              <w:tc>
                <w:tcPr>
                  <w:tcW w:w="925" w:type="dxa"/>
                  <w:vAlign w:val="center"/>
                </w:tcPr>
                <w:p w14:paraId="00220A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铬黑T</w:t>
                  </w:r>
                </w:p>
              </w:tc>
              <w:tc>
                <w:tcPr>
                  <w:tcW w:w="821" w:type="dxa"/>
                  <w:vAlign w:val="center"/>
                </w:tcPr>
                <w:p w14:paraId="1A006FF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7268C8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793AF0D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68D5657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110E6C82">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铬黑T，是一种有机化合物，分子式为C</w:t>
                  </w:r>
                  <w:r>
                    <w:rPr>
                      <w:rFonts w:hint="default" w:ascii="Times New Roman" w:hAnsi="Times New Roman" w:eastAsia="宋体" w:cs="Times New Roman"/>
                      <w:color w:val="auto"/>
                      <w:sz w:val="18"/>
                      <w:szCs w:val="18"/>
                      <w:vertAlign w:val="subscript"/>
                      <w:lang w:val="en-US" w:eastAsia="zh-CN"/>
                    </w:rPr>
                    <w:t>20</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12</w:t>
                  </w:r>
                  <w:r>
                    <w:rPr>
                      <w:rFonts w:hint="default" w:ascii="Times New Roman" w:hAnsi="Times New Roman" w:eastAsia="宋体" w:cs="Times New Roman"/>
                      <w:color w:val="auto"/>
                      <w:sz w:val="18"/>
                      <w:szCs w:val="18"/>
                      <w:vertAlign w:val="baseline"/>
                      <w:lang w:val="en-US" w:eastAsia="zh-CN"/>
                    </w:rPr>
                    <w:t>N</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NaO</w:t>
                  </w:r>
                  <w:r>
                    <w:rPr>
                      <w:rFonts w:hint="default" w:ascii="Times New Roman" w:hAnsi="Times New Roman" w:eastAsia="宋体" w:cs="Times New Roman"/>
                      <w:color w:val="auto"/>
                      <w:sz w:val="18"/>
                      <w:szCs w:val="18"/>
                      <w:vertAlign w:val="subscript"/>
                      <w:lang w:val="en-US" w:eastAsia="zh-CN"/>
                    </w:rPr>
                    <w:t>7</w:t>
                  </w:r>
                  <w:r>
                    <w:rPr>
                      <w:rFonts w:hint="default" w:ascii="Times New Roman" w:hAnsi="Times New Roman" w:eastAsia="宋体" w:cs="Times New Roman"/>
                      <w:color w:val="auto"/>
                      <w:sz w:val="18"/>
                      <w:szCs w:val="18"/>
                      <w:vertAlign w:val="baseline"/>
                      <w:lang w:val="en-US" w:eastAsia="zh-CN"/>
                    </w:rPr>
                    <w:t>S，分子量为461.38，黑色粉末，溶于水，并呈枣红至桨红色；稍溶于醇，并呈棕光品红色；微溶于丙酮。在浓硫酸中呈暗蓝色，稀释后呈浅红棕色；在浓硝酸中呈枯桔黄色。其水溶液，加浓盐酸无大变化；加氢氧化钠浓溶液转棕光品红色。水中溶解度（90℃）为25g/L。染色时遇铜、铁，色光影响较大。纯品可作指示剂用。用作EDTA配合滴定法测定Ba</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vertAlign w:val="baseline"/>
                      <w:lang w:val="en-US" w:eastAsia="zh-CN"/>
                    </w:rPr>
                    <w:t>、Mg</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vertAlign w:val="baseline"/>
                      <w:lang w:val="en-US" w:eastAsia="zh-CN"/>
                    </w:rPr>
                    <w:t>、Mn</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vertAlign w:val="baseline"/>
                      <w:lang w:val="en-US" w:eastAsia="zh-CN"/>
                    </w:rPr>
                    <w:t>、Zn</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vertAlign w:val="baseline"/>
                      <w:lang w:val="en-US" w:eastAsia="zh-CN"/>
                    </w:rPr>
                    <w:t>和稀土等的金属指示剂。也用于光度法测定Co</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vertAlign w:val="baseline"/>
                      <w:lang w:val="en-US" w:eastAsia="zh-CN"/>
                    </w:rPr>
                    <w:t xml:space="preserve"> 、Mg</w:t>
                  </w:r>
                  <w:r>
                    <w:rPr>
                      <w:rFonts w:hint="default" w:ascii="Times New Roman" w:hAnsi="Times New Roman" w:eastAsia="宋体" w:cs="Times New Roman"/>
                      <w:color w:val="auto"/>
                      <w:sz w:val="18"/>
                      <w:szCs w:val="18"/>
                      <w:vertAlign w:val="superscript"/>
                      <w:lang w:val="en-US" w:eastAsia="zh-CN"/>
                    </w:rPr>
                    <w:t>2+</w:t>
                  </w:r>
                  <w:r>
                    <w:rPr>
                      <w:rFonts w:hint="default" w:ascii="Times New Roman" w:hAnsi="Times New Roman" w:eastAsia="宋体" w:cs="Times New Roman"/>
                      <w:color w:val="auto"/>
                      <w:sz w:val="18"/>
                      <w:szCs w:val="18"/>
                      <w:vertAlign w:val="baseline"/>
                      <w:lang w:val="en-US" w:eastAsia="zh-CN"/>
                    </w:rPr>
                    <w:t>、等金属离子的显色剂。</w:t>
                  </w:r>
                </w:p>
              </w:tc>
            </w:tr>
            <w:tr w14:paraId="7F25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0D8930A5">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25</w:t>
                  </w:r>
                </w:p>
              </w:tc>
              <w:tc>
                <w:tcPr>
                  <w:tcW w:w="925" w:type="dxa"/>
                  <w:vAlign w:val="center"/>
                </w:tcPr>
                <w:p w14:paraId="21A7945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九水合硫化钠</w:t>
                  </w:r>
                </w:p>
              </w:tc>
              <w:tc>
                <w:tcPr>
                  <w:tcW w:w="821" w:type="dxa"/>
                  <w:vAlign w:val="center"/>
                </w:tcPr>
                <w:p w14:paraId="6EC824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25E3B5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3A42CE9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6E0CF391">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7D58DC29">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九水合硫化钠是无机盐硫化钠的九水合物Na2S·9H2O的形式。无水物和九水物都是无色可溶的固体，在水溶液中水解呈强碱性。露置在空气中时，硫化钠会放出有臭鸡蛋气味的有毒硫化氢气体。</w:t>
                  </w:r>
                </w:p>
              </w:tc>
            </w:tr>
            <w:tr w14:paraId="1041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4A5057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26</w:t>
                  </w:r>
                </w:p>
              </w:tc>
              <w:tc>
                <w:tcPr>
                  <w:tcW w:w="925" w:type="dxa"/>
                  <w:vAlign w:val="center"/>
                </w:tcPr>
                <w:p w14:paraId="77B51F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草酸钠</w:t>
                  </w:r>
                </w:p>
              </w:tc>
              <w:tc>
                <w:tcPr>
                  <w:tcW w:w="821" w:type="dxa"/>
                  <w:vAlign w:val="center"/>
                </w:tcPr>
                <w:p w14:paraId="130E609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3010E2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42CB918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60777BB9">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7313FDC2">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草酸钠是一种有机物，化学式为Na</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C</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O</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，为草酸的钠盐，是一种还原剂，也常作为双齿配体。它是一种白色结晶性粉末，无气味，有吸湿性。溶于水，不溶于乙醇。灼烧则分解为碳酸钠和一氧化碳。</w:t>
                  </w:r>
                </w:p>
              </w:tc>
            </w:tr>
            <w:tr w14:paraId="65409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0136EF2D">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27</w:t>
                  </w:r>
                </w:p>
              </w:tc>
              <w:tc>
                <w:tcPr>
                  <w:tcW w:w="925" w:type="dxa"/>
                  <w:vAlign w:val="center"/>
                </w:tcPr>
                <w:p w14:paraId="0A41DA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七水合硫酸锌</w:t>
                  </w:r>
                </w:p>
              </w:tc>
              <w:tc>
                <w:tcPr>
                  <w:tcW w:w="821" w:type="dxa"/>
                  <w:vAlign w:val="center"/>
                </w:tcPr>
                <w:p w14:paraId="3104CB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5DFEFC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5EC823A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073E6A66">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52A51AF8">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七水硫酸锌（Zinc sulfate Heptahydrate）是一种无机化合物，分子式为ZnSO</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·7H</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O，俗称皓矾、锌矾。无色斜方晶系棱柱状结晶，白色结晶粉末，溶于水，微溶于乙醇。加热至200℃时失水，至770℃时分解。</w:t>
                  </w:r>
                </w:p>
                <w:p w14:paraId="615AB024">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七水硫酸锌吞食有害，对眼睛有严重伤害，对水生生物有极高毒性，可能对水体环境产生长期不良影响。七水硫酸锌可用作媒染剂、木材防腐剂、造纸工业漂白剂，还用于医药、人造纤维、电解、电镀、农药及生产锌盐等。</w:t>
                  </w:r>
                </w:p>
              </w:tc>
            </w:tr>
            <w:tr w14:paraId="122C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04D374B3">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28</w:t>
                  </w:r>
                </w:p>
              </w:tc>
              <w:tc>
                <w:tcPr>
                  <w:tcW w:w="925" w:type="dxa"/>
                  <w:vAlign w:val="center"/>
                </w:tcPr>
                <w:p w14:paraId="7A7341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四水合酒石酸钾钠</w:t>
                  </w:r>
                </w:p>
              </w:tc>
              <w:tc>
                <w:tcPr>
                  <w:tcW w:w="821" w:type="dxa"/>
                  <w:vAlign w:val="center"/>
                </w:tcPr>
                <w:p w14:paraId="7352970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13FCEB1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25C8A40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2FAF8F6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76871473">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酒石酸钾钠四水合物是一种化学物质，其分子式为KNaC4H12O10·4H2O</w:t>
                  </w:r>
                </w:p>
              </w:tc>
            </w:tr>
            <w:tr w14:paraId="18782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EDF3800">
                  <w:pPr>
                    <w:jc w:val="center"/>
                    <w:outlineLvl w:val="9"/>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29</w:t>
                  </w:r>
                </w:p>
              </w:tc>
              <w:tc>
                <w:tcPr>
                  <w:tcW w:w="925" w:type="dxa"/>
                  <w:vAlign w:val="center"/>
                </w:tcPr>
                <w:p w14:paraId="085FB64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铁氰化钾</w:t>
                  </w:r>
                </w:p>
              </w:tc>
              <w:tc>
                <w:tcPr>
                  <w:tcW w:w="821" w:type="dxa"/>
                  <w:vAlign w:val="center"/>
                </w:tcPr>
                <w:p w14:paraId="08CAA89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513704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1385866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4B52875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591879E6">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铁氰化钾是一种无机物，化学式K</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[Fe(CN)</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vertAlign w:val="baseline"/>
                      <w:lang w:val="en-US" w:eastAsia="zh-CN"/>
                    </w:rPr>
                    <w:t>]，俗称赤血盐、赤血盐钾，分子量为329.24，为红色晶体，能溶于水、丙酮，微溶于乙醇，不溶于醋酸甲酯与液氮。水溶液带有黄绿色荧光，含有铁氰根配离子[Fe(CN)</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vertAlign w:val="baseline"/>
                      <w:lang w:val="en-US" w:eastAsia="zh-CN"/>
                    </w:rPr>
                    <w:t>]</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vertAlign w:val="baseline"/>
                      <w:lang w:val="en-US" w:eastAsia="zh-CN"/>
                    </w:rPr>
                    <w:t>。</w:t>
                  </w:r>
                </w:p>
              </w:tc>
            </w:tr>
            <w:tr w14:paraId="4046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785E31E1">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30</w:t>
                  </w:r>
                </w:p>
              </w:tc>
              <w:tc>
                <w:tcPr>
                  <w:tcW w:w="925" w:type="dxa"/>
                  <w:vAlign w:val="center"/>
                </w:tcPr>
                <w:p w14:paraId="5BBC75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4-氨基安替比林</w:t>
                  </w:r>
                </w:p>
              </w:tc>
              <w:tc>
                <w:tcPr>
                  <w:tcW w:w="821" w:type="dxa"/>
                  <w:vAlign w:val="center"/>
                </w:tcPr>
                <w:p w14:paraId="467381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03239E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100g</w:t>
                  </w:r>
                </w:p>
              </w:tc>
              <w:tc>
                <w:tcPr>
                  <w:tcW w:w="774" w:type="dxa"/>
                  <w:vAlign w:val="center"/>
                </w:tcPr>
                <w:p w14:paraId="15867E0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043AC84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1A1615F8">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4-氨基安替比林是一种有机物，化学式为C</w:t>
                  </w:r>
                  <w:r>
                    <w:rPr>
                      <w:rFonts w:hint="default" w:ascii="Times New Roman" w:hAnsi="Times New Roman" w:eastAsia="宋体" w:cs="Times New Roman"/>
                      <w:color w:val="auto"/>
                      <w:sz w:val="18"/>
                      <w:szCs w:val="18"/>
                      <w:vertAlign w:val="subscript"/>
                      <w:lang w:val="en-US" w:eastAsia="zh-CN"/>
                    </w:rPr>
                    <w:t>11</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13</w:t>
                  </w:r>
                  <w:r>
                    <w:rPr>
                      <w:rFonts w:hint="default" w:ascii="Times New Roman" w:hAnsi="Times New Roman" w:eastAsia="宋体" w:cs="Times New Roman"/>
                      <w:color w:val="auto"/>
                      <w:sz w:val="18"/>
                      <w:szCs w:val="18"/>
                      <w:vertAlign w:val="baseline"/>
                      <w:lang w:val="en-US" w:eastAsia="zh-CN"/>
                    </w:rPr>
                    <w:t>N</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O，化学性质为淡黄色结晶。熔点109℃。溶于水、苯和乙醇，微溶于乙醚。</w:t>
                  </w:r>
                </w:p>
              </w:tc>
            </w:tr>
            <w:tr w14:paraId="2CE0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3897713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31</w:t>
                  </w:r>
                </w:p>
              </w:tc>
              <w:tc>
                <w:tcPr>
                  <w:tcW w:w="925" w:type="dxa"/>
                  <w:vAlign w:val="center"/>
                </w:tcPr>
                <w:p w14:paraId="704CC1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三水合亚甲基蓝</w:t>
                  </w:r>
                </w:p>
              </w:tc>
              <w:tc>
                <w:tcPr>
                  <w:tcW w:w="821" w:type="dxa"/>
                  <w:vAlign w:val="center"/>
                </w:tcPr>
                <w:p w14:paraId="34D0B7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501948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100g</w:t>
                  </w:r>
                </w:p>
              </w:tc>
              <w:tc>
                <w:tcPr>
                  <w:tcW w:w="774" w:type="dxa"/>
                  <w:vAlign w:val="center"/>
                </w:tcPr>
                <w:p w14:paraId="6A9C03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2E39B9BE">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6EB1E641">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三水合亚甲基蓝，化学名称为Methylene Blue trihydrate，也称为次甲基蓝、亚甲蓝等，其分子式为C16H18ClN3S·3H2O，分子量为373.89。作为一种发亮的深绿色结晶或褐色粉末，它具有青铜光泽，无气味。它在水中稳定，能溶于水和乙醇，形成蓝色溶液，还可溶于氯仿，不溶于乙醚和苯。</w:t>
                  </w:r>
                </w:p>
              </w:tc>
            </w:tr>
            <w:tr w14:paraId="6B669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F2B37B7">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32</w:t>
                  </w:r>
                </w:p>
              </w:tc>
              <w:tc>
                <w:tcPr>
                  <w:tcW w:w="925" w:type="dxa"/>
                  <w:vAlign w:val="center"/>
                </w:tcPr>
                <w:p w14:paraId="6E436F3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蛋白胨</w:t>
                  </w:r>
                </w:p>
              </w:tc>
              <w:tc>
                <w:tcPr>
                  <w:tcW w:w="821" w:type="dxa"/>
                  <w:vAlign w:val="center"/>
                </w:tcPr>
                <w:p w14:paraId="2F6AE7C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BR（生物试剂）</w:t>
                  </w:r>
                </w:p>
              </w:tc>
              <w:tc>
                <w:tcPr>
                  <w:tcW w:w="679" w:type="dxa"/>
                  <w:vAlign w:val="center"/>
                </w:tcPr>
                <w:p w14:paraId="2E0B23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1kg</w:t>
                  </w:r>
                </w:p>
              </w:tc>
              <w:tc>
                <w:tcPr>
                  <w:tcW w:w="774" w:type="dxa"/>
                  <w:vAlign w:val="center"/>
                </w:tcPr>
                <w:p w14:paraId="21A910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7A6829E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2A1523C9">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蛋白胨，英文名称：peptone，是有机化合物。蛋白胨是将肉、酪素或明胶用酸或蛋白酶水解后干燥而成的外观呈淡黄色的粉剂，具有肉香的特殊气息。蛋白质经酸、碱或蛋白酶分解后也可形成蛋白胨。易溶于水,不溶于乙醇、氯仿和乙醚。</w:t>
                  </w:r>
                </w:p>
              </w:tc>
            </w:tr>
            <w:tr w14:paraId="1BBB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EFADAE4">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33</w:t>
                  </w:r>
                </w:p>
              </w:tc>
              <w:tc>
                <w:tcPr>
                  <w:tcW w:w="925" w:type="dxa"/>
                  <w:vAlign w:val="center"/>
                </w:tcPr>
                <w:p w14:paraId="18C51C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牛肉膏</w:t>
                  </w:r>
                </w:p>
              </w:tc>
              <w:tc>
                <w:tcPr>
                  <w:tcW w:w="821" w:type="dxa"/>
                  <w:vAlign w:val="center"/>
                </w:tcPr>
                <w:p w14:paraId="1486C8D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BR（生物试剂）</w:t>
                  </w:r>
                </w:p>
              </w:tc>
              <w:tc>
                <w:tcPr>
                  <w:tcW w:w="679" w:type="dxa"/>
                  <w:vAlign w:val="center"/>
                </w:tcPr>
                <w:p w14:paraId="170B282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5041928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33E58DB6">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2886932F">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牛肉膏（Beef Extract）又称牛肉浸膏，是采用新鲜牛肉经过剔除脂肪、消化、过滤、浓缩而得到的一种棕黄色至棕褐色的膏状物。有牛肉自然香味，易溶于水，水溶液呈淡黄色。</w:t>
                  </w:r>
                </w:p>
              </w:tc>
            </w:tr>
            <w:tr w14:paraId="3DA74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0BB40576">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34</w:t>
                  </w:r>
                </w:p>
              </w:tc>
              <w:tc>
                <w:tcPr>
                  <w:tcW w:w="925" w:type="dxa"/>
                  <w:vAlign w:val="center"/>
                </w:tcPr>
                <w:p w14:paraId="77E59CE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琼脂</w:t>
                  </w:r>
                </w:p>
              </w:tc>
              <w:tc>
                <w:tcPr>
                  <w:tcW w:w="821" w:type="dxa"/>
                  <w:vAlign w:val="center"/>
                </w:tcPr>
                <w:p w14:paraId="480884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BR（生物试剂）</w:t>
                  </w:r>
                </w:p>
              </w:tc>
              <w:tc>
                <w:tcPr>
                  <w:tcW w:w="679" w:type="dxa"/>
                  <w:vAlign w:val="center"/>
                </w:tcPr>
                <w:p w14:paraId="0852C0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2D4A46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7DB213B6">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901" w:type="dxa"/>
                  <w:vAlign w:val="center"/>
                </w:tcPr>
                <w:p w14:paraId="5847A71C">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琼脂不溶于冷水，能吸收相当本身体积20倍的水。易溶于沸水，稀释液在42℃（108 ℉）仍保持液状，但在37℃凝成紧密的胶冻。琼脂为细胞壁的组成成分，含有复杂的碳水化合物、钙与硫酸盐。</w:t>
                  </w:r>
                </w:p>
              </w:tc>
            </w:tr>
            <w:tr w14:paraId="3A5E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016E2B6C">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925" w:type="dxa"/>
                  <w:vAlign w:val="center"/>
                </w:tcPr>
                <w:p w14:paraId="232E895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抗坏血酸</w:t>
                  </w:r>
                </w:p>
              </w:tc>
              <w:tc>
                <w:tcPr>
                  <w:tcW w:w="821" w:type="dxa"/>
                  <w:vAlign w:val="center"/>
                </w:tcPr>
                <w:p w14:paraId="6D2891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GR（优级纯）</w:t>
                  </w:r>
                </w:p>
              </w:tc>
              <w:tc>
                <w:tcPr>
                  <w:tcW w:w="679" w:type="dxa"/>
                  <w:vAlign w:val="center"/>
                </w:tcPr>
                <w:p w14:paraId="14A5461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250g</w:t>
                  </w:r>
                </w:p>
              </w:tc>
              <w:tc>
                <w:tcPr>
                  <w:tcW w:w="774" w:type="dxa"/>
                  <w:vAlign w:val="center"/>
                </w:tcPr>
                <w:p w14:paraId="43F9FD8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7F3BE41B">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0B4F97A4">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2E0F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049DC7E0">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36</w:t>
                  </w:r>
                </w:p>
              </w:tc>
              <w:tc>
                <w:tcPr>
                  <w:tcW w:w="925" w:type="dxa"/>
                  <w:vAlign w:val="center"/>
                </w:tcPr>
                <w:p w14:paraId="306FC01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氯化钠</w:t>
                  </w:r>
                </w:p>
              </w:tc>
              <w:tc>
                <w:tcPr>
                  <w:tcW w:w="821" w:type="dxa"/>
                  <w:vAlign w:val="center"/>
                </w:tcPr>
                <w:p w14:paraId="1806DF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GR（优级纯）</w:t>
                  </w:r>
                </w:p>
              </w:tc>
              <w:tc>
                <w:tcPr>
                  <w:tcW w:w="679" w:type="dxa"/>
                  <w:vAlign w:val="center"/>
                </w:tcPr>
                <w:p w14:paraId="295ACE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2DFFF8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1EE4693A">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73A6135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56FA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F08FD65">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37</w:t>
                  </w:r>
                </w:p>
              </w:tc>
              <w:tc>
                <w:tcPr>
                  <w:tcW w:w="925" w:type="dxa"/>
                  <w:vAlign w:val="center"/>
                </w:tcPr>
                <w:p w14:paraId="607C32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硫酸钙</w:t>
                  </w:r>
                </w:p>
              </w:tc>
              <w:tc>
                <w:tcPr>
                  <w:tcW w:w="821" w:type="dxa"/>
                  <w:vAlign w:val="center"/>
                </w:tcPr>
                <w:p w14:paraId="6933FA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GR（优级纯）</w:t>
                  </w:r>
                </w:p>
              </w:tc>
              <w:tc>
                <w:tcPr>
                  <w:tcW w:w="679" w:type="dxa"/>
                  <w:vAlign w:val="center"/>
                </w:tcPr>
                <w:p w14:paraId="7F84387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100g</w:t>
                  </w:r>
                </w:p>
              </w:tc>
              <w:tc>
                <w:tcPr>
                  <w:tcW w:w="774" w:type="dxa"/>
                  <w:vAlign w:val="center"/>
                </w:tcPr>
                <w:p w14:paraId="510F566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7794D88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629FEE9B">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硫酸钙（calcium sulfate）是一种无机化合物，化学式为CaSO</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，白色结晶性粉末，无臭，具涩味，密度2.960克/立方厘米，微溶于水、甘油，不溶于乙醇。</w:t>
                  </w:r>
                </w:p>
              </w:tc>
            </w:tr>
            <w:tr w14:paraId="5FD1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0FD6BA0B">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38</w:t>
                  </w:r>
                </w:p>
              </w:tc>
              <w:tc>
                <w:tcPr>
                  <w:tcW w:w="925" w:type="dxa"/>
                  <w:vAlign w:val="center"/>
                </w:tcPr>
                <w:p w14:paraId="318B98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乙酸铵</w:t>
                  </w:r>
                </w:p>
              </w:tc>
              <w:tc>
                <w:tcPr>
                  <w:tcW w:w="821" w:type="dxa"/>
                  <w:vAlign w:val="center"/>
                </w:tcPr>
                <w:p w14:paraId="652E96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HPLC(色谱纯）</w:t>
                  </w:r>
                </w:p>
              </w:tc>
              <w:tc>
                <w:tcPr>
                  <w:tcW w:w="679" w:type="dxa"/>
                  <w:vAlign w:val="center"/>
                </w:tcPr>
                <w:p w14:paraId="4DB35B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250g</w:t>
                  </w:r>
                </w:p>
              </w:tc>
              <w:tc>
                <w:tcPr>
                  <w:tcW w:w="774" w:type="dxa"/>
                  <w:vAlign w:val="center"/>
                </w:tcPr>
                <w:p w14:paraId="5CDE1F1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4419E978">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3FB6028D">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乙酸铵（ammonium acetate），又称醋酸铵，是一种有机化合物，结构简式为CH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COONH</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，分子量为77.082，是一种有乙酸气味的白色晶体，可作为分析试剂和肉类防腐剂。其具有吸水性，易潮解，因此乙酸铵需要干燥保存，取用时应在干燥的环境中进行。</w:t>
                  </w:r>
                </w:p>
              </w:tc>
            </w:tr>
            <w:tr w14:paraId="24AF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584D5D3">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39</w:t>
                  </w:r>
                </w:p>
              </w:tc>
              <w:tc>
                <w:tcPr>
                  <w:tcW w:w="925" w:type="dxa"/>
                  <w:vAlign w:val="center"/>
                </w:tcPr>
                <w:p w14:paraId="39A87D7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溴化钾</w:t>
                  </w:r>
                </w:p>
              </w:tc>
              <w:tc>
                <w:tcPr>
                  <w:tcW w:w="821" w:type="dxa"/>
                  <w:vAlign w:val="center"/>
                </w:tcPr>
                <w:p w14:paraId="151DD0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2169917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367FCEE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54590CCE">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338A6787">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溴化钾是一种无机物，化学式为KBr，相对分子质量为119.00。无色结晶或白色粉末，有强烈咸味，见光色变黄。稍有吸湿性。1g溶于1.5ml水，水溶液呈中性。相对密度为2.75(25℃)。熔点730℃。沸点1435℃。有刺激性。主要用于光谱分析，点滴分析测定铜及银，极谱分析铟、镉和砷，显影剂。</w:t>
                  </w:r>
                </w:p>
              </w:tc>
            </w:tr>
            <w:tr w14:paraId="3E221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6B5C5310">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40</w:t>
                  </w:r>
                </w:p>
              </w:tc>
              <w:tc>
                <w:tcPr>
                  <w:tcW w:w="925" w:type="dxa"/>
                  <w:vAlign w:val="center"/>
                </w:tcPr>
                <w:p w14:paraId="41A0484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纳氏试剂</w:t>
                  </w:r>
                </w:p>
              </w:tc>
              <w:tc>
                <w:tcPr>
                  <w:tcW w:w="821" w:type="dxa"/>
                  <w:vAlign w:val="center"/>
                </w:tcPr>
                <w:p w14:paraId="494BEB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1B88411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74" w:type="dxa"/>
                  <w:vAlign w:val="center"/>
                </w:tcPr>
                <w:p w14:paraId="00247BE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12173D94">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02B0FDEB">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纳氏试剂（Nessler）是指一种利用紫外－可见分光光度法原理用于测定空气中、水体中</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"https://baike.baidu.com/item/%E6%B0%A8%E6%B0%AE/0?fromModule=lemma_inlink"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氨氮</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含量的试剂。</w:t>
                  </w:r>
                </w:p>
              </w:tc>
            </w:tr>
            <w:tr w14:paraId="186B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C7E1050">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41</w:t>
                  </w:r>
                </w:p>
              </w:tc>
              <w:tc>
                <w:tcPr>
                  <w:tcW w:w="925" w:type="dxa"/>
                  <w:vAlign w:val="center"/>
                </w:tcPr>
                <w:p w14:paraId="29F7B7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变色硅胶</w:t>
                  </w:r>
                </w:p>
              </w:tc>
              <w:tc>
                <w:tcPr>
                  <w:tcW w:w="821" w:type="dxa"/>
                  <w:vAlign w:val="center"/>
                </w:tcPr>
                <w:p w14:paraId="488E6E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LR(试剂纯）</w:t>
                  </w:r>
                </w:p>
              </w:tc>
              <w:tc>
                <w:tcPr>
                  <w:tcW w:w="679" w:type="dxa"/>
                  <w:vAlign w:val="center"/>
                </w:tcPr>
                <w:p w14:paraId="68E81FE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2.5kg</w:t>
                  </w:r>
                </w:p>
              </w:tc>
              <w:tc>
                <w:tcPr>
                  <w:tcW w:w="774" w:type="dxa"/>
                  <w:vAlign w:val="center"/>
                </w:tcPr>
                <w:p w14:paraId="3F7DF37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55F2FC49">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686AC0D9">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变色硅胶是以具有高活性吸附材料细孔硅胶为基础原料经过深加工制成的具有高附加值和较高技术含量的指示型吸附剂，属于高档次的吸附干燥剂，现执行国家行业标准，《蓝胶指示剂、变色硅胶和无钴变色硅胶》HG/T 2765.4-2005。</w:t>
                  </w:r>
                </w:p>
              </w:tc>
            </w:tr>
            <w:tr w14:paraId="5005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A080D4C">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42</w:t>
                  </w:r>
                </w:p>
              </w:tc>
              <w:tc>
                <w:tcPr>
                  <w:tcW w:w="925" w:type="dxa"/>
                  <w:vAlign w:val="center"/>
                </w:tcPr>
                <w:p w14:paraId="486EEA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硫酸银</w:t>
                  </w:r>
                </w:p>
              </w:tc>
              <w:tc>
                <w:tcPr>
                  <w:tcW w:w="821" w:type="dxa"/>
                  <w:vAlign w:val="center"/>
                </w:tcPr>
                <w:p w14:paraId="10A112E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1F7A2E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10g</w:t>
                  </w:r>
                </w:p>
              </w:tc>
              <w:tc>
                <w:tcPr>
                  <w:tcW w:w="774" w:type="dxa"/>
                  <w:vAlign w:val="center"/>
                </w:tcPr>
                <w:p w14:paraId="200E4AA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7AEAFF8A">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01662285">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硫酸银是一种硫酸盐，化学式Ag</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SO</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，溶于硝酸、氨水和浓硫酸，不溶于乙醇，在水中为微溶，并且受溶液环境pH的减小而增大，当</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"https://baike.baidu.com/item/%E6%B0%A2%E7%A6%BB%E5%AD%90/0?fromModule=lemma_inlink"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氢离子</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浓度足够大时可以有明显的</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"https://baike.baidu.com/item/%E6%BA%B6%E8%A7%A3%E7%8E%B0%E8%B1%A1/8029312?fromModule=lemma_inlink"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溶解现象</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。用作</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"https://baike.baidu.com/item/%E5%88%86%E6%9E%90%E8%AF%95%E5%89%82/7773282?fromModule=lemma_inlink"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分析试剂</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，测定水中</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"https://baike.baidu.com/item/%E5%8C%96%E5%AD%A6%E8%80%97%E6%B0%A7%E9%87%8F/3855185?fromModule=lemma_inlink"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化学耗氧量</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时用作催化剂。</w:t>
                  </w:r>
                </w:p>
              </w:tc>
            </w:tr>
            <w:tr w14:paraId="4600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060A1272">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43</w:t>
                  </w:r>
                </w:p>
              </w:tc>
              <w:tc>
                <w:tcPr>
                  <w:tcW w:w="925" w:type="dxa"/>
                  <w:vAlign w:val="center"/>
                </w:tcPr>
                <w:p w14:paraId="3A0BBDB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六水合硫酸亚铁铵</w:t>
                  </w:r>
                </w:p>
              </w:tc>
              <w:tc>
                <w:tcPr>
                  <w:tcW w:w="821" w:type="dxa"/>
                  <w:vAlign w:val="center"/>
                </w:tcPr>
                <w:p w14:paraId="31237D6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43F6864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3CFCFC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4667421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73B58574">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六水合硫酸亚铁铵易溶于水，不溶于乙醇，比一般亚铁盐稳定，不易被氧化，在定量分析中用来配制亚铁离子的标准溶液。</w:t>
                  </w:r>
                </w:p>
              </w:tc>
            </w:tr>
            <w:tr w14:paraId="5B34E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B925C9A">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44</w:t>
                  </w:r>
                </w:p>
              </w:tc>
              <w:tc>
                <w:tcPr>
                  <w:tcW w:w="925" w:type="dxa"/>
                  <w:vAlign w:val="center"/>
                </w:tcPr>
                <w:p w14:paraId="1BA3592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邻苯二甲酸氢钾</w:t>
                  </w:r>
                </w:p>
              </w:tc>
              <w:tc>
                <w:tcPr>
                  <w:tcW w:w="821" w:type="dxa"/>
                  <w:vAlign w:val="center"/>
                </w:tcPr>
                <w:p w14:paraId="0433E7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40A31F6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378126D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7906ABEA">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0F070DDF">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邻苯二甲酸氢钾是一种有机化合物，分子式是C</w:t>
                  </w:r>
                  <w:r>
                    <w:rPr>
                      <w:rFonts w:hint="default" w:ascii="Times New Roman" w:hAnsi="Times New Roman" w:eastAsia="宋体" w:cs="Times New Roman"/>
                      <w:color w:val="auto"/>
                      <w:sz w:val="18"/>
                      <w:szCs w:val="18"/>
                      <w:vertAlign w:val="subscript"/>
                      <w:lang w:val="en-US" w:eastAsia="zh-CN"/>
                    </w:rPr>
                    <w:t>8</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5</w:t>
                  </w:r>
                  <w:r>
                    <w:rPr>
                      <w:rFonts w:hint="default" w:ascii="Times New Roman" w:hAnsi="Times New Roman" w:eastAsia="宋体" w:cs="Times New Roman"/>
                      <w:color w:val="auto"/>
                      <w:sz w:val="18"/>
                      <w:szCs w:val="18"/>
                      <w:vertAlign w:val="baseline"/>
                      <w:lang w:val="en-US" w:eastAsia="zh-CN"/>
                    </w:rPr>
                    <w:t>O</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K。呈白色结晶粉末，在空气中稳定，能溶于水，微溶于醇，用作pH测定的缓冲剂、分析基准物质。</w:t>
                  </w:r>
                </w:p>
              </w:tc>
            </w:tr>
            <w:tr w14:paraId="668E5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7AA3C6F6">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45</w:t>
                  </w:r>
                </w:p>
              </w:tc>
              <w:tc>
                <w:tcPr>
                  <w:tcW w:w="925" w:type="dxa"/>
                  <w:vAlign w:val="center"/>
                </w:tcPr>
                <w:p w14:paraId="12F4A79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七水合硫酸亚铁</w:t>
                  </w:r>
                </w:p>
              </w:tc>
              <w:tc>
                <w:tcPr>
                  <w:tcW w:w="821" w:type="dxa"/>
                  <w:vAlign w:val="center"/>
                </w:tcPr>
                <w:p w14:paraId="6E9CC7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563DCBA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74" w:type="dxa"/>
                  <w:vAlign w:val="center"/>
                </w:tcPr>
                <w:p w14:paraId="39BD411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679" w:type="dxa"/>
                  <w:vAlign w:val="center"/>
                </w:tcPr>
                <w:p w14:paraId="0FDEEFA5">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901" w:type="dxa"/>
                  <w:vAlign w:val="center"/>
                </w:tcPr>
                <w:p w14:paraId="36570CD0">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七水硫酸亚铁（ferrous sulfate,green vitriol），俗称绿矾，是一种无机化合物，化学式为FeSO</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·7H</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O。浅蓝绿色单斜晶体,溶于水、甘油，不溶于乙醇。</w:t>
                  </w:r>
                </w:p>
              </w:tc>
            </w:tr>
            <w:tr w14:paraId="5006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0C80B8D">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46</w:t>
                  </w:r>
                </w:p>
              </w:tc>
              <w:tc>
                <w:tcPr>
                  <w:tcW w:w="925" w:type="dxa"/>
                  <w:vAlign w:val="center"/>
                </w:tcPr>
                <w:p w14:paraId="200920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1,10-菲绕啉</w:t>
                  </w:r>
                </w:p>
              </w:tc>
              <w:tc>
                <w:tcPr>
                  <w:tcW w:w="821" w:type="dxa"/>
                  <w:vAlign w:val="center"/>
                </w:tcPr>
                <w:p w14:paraId="43E956F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79" w:type="dxa"/>
                  <w:vAlign w:val="center"/>
                </w:tcPr>
                <w:p w14:paraId="6F628C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25g</w:t>
                  </w:r>
                </w:p>
              </w:tc>
              <w:tc>
                <w:tcPr>
                  <w:tcW w:w="774" w:type="dxa"/>
                  <w:vAlign w:val="center"/>
                </w:tcPr>
                <w:p w14:paraId="6C3C14C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679" w:type="dxa"/>
                  <w:vAlign w:val="center"/>
                </w:tcPr>
                <w:p w14:paraId="03B3840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3901" w:type="dxa"/>
                  <w:vAlign w:val="center"/>
                </w:tcPr>
                <w:p w14:paraId="131E4B04">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熔点为114-117°C，沸点高于330°C，密度为1.31g/cm³。它在水中溶解度中等，溶于醇、丙酮和苯。具有双齿配体的特性，常用于过渡金属催化的交叉偶联反应及C−H键活化反应中。它还可以作为配体在过渡金属催化碳-氮、碳-氧、碳-硫键的构建中发挥作用‌。‌</w:t>
                  </w:r>
                </w:p>
              </w:tc>
            </w:tr>
          </w:tbl>
          <w:p w14:paraId="7A97EE0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表2-5  项目实验室一般危险化学品试剂用量和理化性质一览表</w:t>
            </w:r>
          </w:p>
          <w:tbl>
            <w:tblPr>
              <w:tblStyle w:val="21"/>
              <w:tblW w:w="8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988"/>
              <w:gridCol w:w="805"/>
              <w:gridCol w:w="695"/>
              <w:gridCol w:w="711"/>
              <w:gridCol w:w="721"/>
              <w:gridCol w:w="3859"/>
            </w:tblGrid>
            <w:tr w14:paraId="192CC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BB125DA">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序号</w:t>
                  </w:r>
                </w:p>
              </w:tc>
              <w:tc>
                <w:tcPr>
                  <w:tcW w:w="988" w:type="dxa"/>
                  <w:vAlign w:val="center"/>
                </w:tcPr>
                <w:p w14:paraId="13199769">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名称</w:t>
                  </w:r>
                </w:p>
              </w:tc>
              <w:tc>
                <w:tcPr>
                  <w:tcW w:w="805" w:type="dxa"/>
                  <w:vAlign w:val="center"/>
                </w:tcPr>
                <w:p w14:paraId="754B2CB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纯度</w:t>
                  </w:r>
                </w:p>
              </w:tc>
              <w:tc>
                <w:tcPr>
                  <w:tcW w:w="695" w:type="dxa"/>
                  <w:vAlign w:val="center"/>
                </w:tcPr>
                <w:p w14:paraId="157346D4">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规格</w:t>
                  </w:r>
                </w:p>
              </w:tc>
              <w:tc>
                <w:tcPr>
                  <w:tcW w:w="711" w:type="dxa"/>
                  <w:vAlign w:val="center"/>
                </w:tcPr>
                <w:p w14:paraId="67C35103">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最大储存量</w:t>
                  </w:r>
                  <w:r>
                    <w:rPr>
                      <w:rFonts w:hint="eastAsia" w:cs="Times New Roman"/>
                      <w:b/>
                      <w:bCs/>
                      <w:color w:val="auto"/>
                      <w:sz w:val="18"/>
                      <w:szCs w:val="18"/>
                      <w:highlight w:val="none"/>
                      <w:vertAlign w:val="baseline"/>
                      <w:lang w:val="en-US" w:eastAsia="zh-CN"/>
                    </w:rPr>
                    <w:t>（瓶）</w:t>
                  </w:r>
                </w:p>
              </w:tc>
              <w:tc>
                <w:tcPr>
                  <w:tcW w:w="721" w:type="dxa"/>
                  <w:vAlign w:val="center"/>
                </w:tcPr>
                <w:p w14:paraId="78A0537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年用量</w:t>
                  </w:r>
                  <w:r>
                    <w:rPr>
                      <w:rFonts w:hint="eastAsia" w:cs="Times New Roman"/>
                      <w:b/>
                      <w:bCs/>
                      <w:color w:val="auto"/>
                      <w:sz w:val="18"/>
                      <w:szCs w:val="18"/>
                      <w:highlight w:val="none"/>
                      <w:vertAlign w:val="baseline"/>
                      <w:lang w:val="en-US" w:eastAsia="zh-CN"/>
                    </w:rPr>
                    <w:t>（瓶）</w:t>
                  </w:r>
                </w:p>
              </w:tc>
              <w:tc>
                <w:tcPr>
                  <w:tcW w:w="3859" w:type="dxa"/>
                  <w:vAlign w:val="center"/>
                </w:tcPr>
                <w:p w14:paraId="505676D1">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理化性质</w:t>
                  </w:r>
                </w:p>
              </w:tc>
            </w:tr>
            <w:tr w14:paraId="4B169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32750FEA">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c>
                <w:tcPr>
                  <w:tcW w:w="988" w:type="dxa"/>
                  <w:vAlign w:val="center"/>
                </w:tcPr>
                <w:p w14:paraId="4B6ECED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2-巯基乙醇</w:t>
                  </w:r>
                </w:p>
              </w:tc>
              <w:tc>
                <w:tcPr>
                  <w:tcW w:w="805" w:type="dxa"/>
                  <w:vAlign w:val="center"/>
                </w:tcPr>
                <w:p w14:paraId="4E9728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0701395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11" w:type="dxa"/>
                  <w:vAlign w:val="center"/>
                </w:tcPr>
                <w:p w14:paraId="1BFD55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721" w:type="dxa"/>
                  <w:vAlign w:val="center"/>
                </w:tcPr>
                <w:p w14:paraId="518AA850">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3B673B7B">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2-巯基乙醇，又称为β-巯基乙醇，是一种有机化合物，分子式为C</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vertAlign w:val="baseline"/>
                      <w:lang w:val="en-US" w:eastAsia="zh-CN"/>
                    </w:rPr>
                    <w:t>OS，为无色挥发性液体，具有较强烈的刺激性气味。</w:t>
                  </w:r>
                </w:p>
              </w:tc>
            </w:tr>
            <w:tr w14:paraId="100B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37D043A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w:t>
                  </w:r>
                </w:p>
              </w:tc>
              <w:tc>
                <w:tcPr>
                  <w:tcW w:w="988" w:type="dxa"/>
                  <w:vAlign w:val="center"/>
                </w:tcPr>
                <w:p w14:paraId="0B41EE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N,N-二甲基甲酰胺</w:t>
                  </w:r>
                </w:p>
              </w:tc>
              <w:tc>
                <w:tcPr>
                  <w:tcW w:w="805" w:type="dxa"/>
                  <w:vAlign w:val="center"/>
                </w:tcPr>
                <w:p w14:paraId="38026D9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67C2B2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1L</w:t>
                  </w:r>
                </w:p>
              </w:tc>
              <w:tc>
                <w:tcPr>
                  <w:tcW w:w="711" w:type="dxa"/>
                  <w:vAlign w:val="center"/>
                </w:tcPr>
                <w:p w14:paraId="6DAF2EE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721" w:type="dxa"/>
                  <w:vAlign w:val="center"/>
                </w:tcPr>
                <w:p w14:paraId="0CC3516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3859" w:type="dxa"/>
                  <w:vAlign w:val="center"/>
                </w:tcPr>
                <w:p w14:paraId="5CBFA6BD">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N,N-二甲基甲酰胺，是一种有机化合物，化学式为C</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7</w:t>
                  </w:r>
                  <w:r>
                    <w:rPr>
                      <w:rFonts w:hint="default" w:ascii="Times New Roman" w:hAnsi="Times New Roman" w:eastAsia="宋体" w:cs="Times New Roman"/>
                      <w:color w:val="auto"/>
                      <w:sz w:val="18"/>
                      <w:szCs w:val="18"/>
                      <w:vertAlign w:val="baseline"/>
                      <w:lang w:val="en-US" w:eastAsia="zh-CN"/>
                    </w:rPr>
                    <w:t>NO，为无色透明液体。既是一种用途极广的化工原料，也是一种用途很广的优良的溶剂。能与水及多数有机溶剂任意混合，对多种有机化合物和无机化合物均有良好的溶解能力</w:t>
                  </w:r>
                </w:p>
              </w:tc>
            </w:tr>
            <w:tr w14:paraId="6A82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78E84E8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3</w:t>
                  </w:r>
                </w:p>
              </w:tc>
              <w:tc>
                <w:tcPr>
                  <w:tcW w:w="988" w:type="dxa"/>
                  <w:vAlign w:val="center"/>
                </w:tcPr>
                <w:p w14:paraId="01C3A0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氨水</w:t>
                  </w:r>
                </w:p>
              </w:tc>
              <w:tc>
                <w:tcPr>
                  <w:tcW w:w="805" w:type="dxa"/>
                  <w:vAlign w:val="center"/>
                </w:tcPr>
                <w:p w14:paraId="35429CD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4D109AA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11" w:type="dxa"/>
                  <w:vAlign w:val="center"/>
                </w:tcPr>
                <w:p w14:paraId="12F6A22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721" w:type="dxa"/>
                  <w:vAlign w:val="center"/>
                </w:tcPr>
                <w:p w14:paraId="2BB68EC4">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16</w:t>
                  </w:r>
                </w:p>
              </w:tc>
              <w:tc>
                <w:tcPr>
                  <w:tcW w:w="3859" w:type="dxa"/>
                  <w:vAlign w:val="center"/>
                </w:tcPr>
                <w:p w14:paraId="183951B6">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氨水为气体氨的水溶液，主要成分为NH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O，即一水合氨，无色透明且具有刺激性臭味。氨水密度小于水，不稳定，易挥发，见光受热易分解。氨水本身是不燃烧、无爆炸危险的液体，从水中分离的氨气具有强烈刺鼻气味，对人体的眼、鼻和皮肤都有一定的刺激性和腐蚀性，且具有燃烧和爆炸危险。浓氨水通常含氨28%—29%，氨水中的气分子发生微弱水解生成氢氧根离子(OH</w:t>
                  </w:r>
                  <w:r>
                    <w:rPr>
                      <w:rFonts w:hint="default" w:ascii="Times New Roman" w:hAnsi="Times New Roman" w:eastAsia="宋体" w:cs="Times New Roman"/>
                      <w:color w:val="auto"/>
                      <w:sz w:val="18"/>
                      <w:szCs w:val="18"/>
                      <w:vertAlign w:val="superscript"/>
                      <w:lang w:val="en-US" w:eastAsia="zh-CN"/>
                    </w:rPr>
                    <w:t>-</w:t>
                  </w:r>
                  <w:r>
                    <w:rPr>
                      <w:rFonts w:hint="default" w:ascii="Times New Roman" w:hAnsi="Times New Roman" w:eastAsia="宋体" w:cs="Times New Roman"/>
                      <w:color w:val="auto"/>
                      <w:sz w:val="18"/>
                      <w:szCs w:val="18"/>
                      <w:vertAlign w:val="baseline"/>
                      <w:lang w:val="en-US" w:eastAsia="zh-CN"/>
                    </w:rPr>
                    <w:t>)及铵根离子(NH</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superscript"/>
                      <w:lang w:val="en-US" w:eastAsia="zh-CN"/>
                    </w:rPr>
                    <w:t>+</w:t>
                  </w:r>
                  <w:r>
                    <w:rPr>
                      <w:rFonts w:hint="default" w:ascii="Times New Roman" w:hAnsi="Times New Roman" w:eastAsia="宋体" w:cs="Times New Roman"/>
                      <w:color w:val="auto"/>
                      <w:sz w:val="18"/>
                      <w:szCs w:val="18"/>
                      <w:vertAlign w:val="baseline"/>
                      <w:lang w:val="en-US" w:eastAsia="zh-CN"/>
                    </w:rPr>
                    <w:t>)，所以呈弱碱性，具有碱的通性，能与酸性物质及多种金属离子如铜、锌等发生反应，生成难溶性弱碱或两性氢氧化物。它是一种重要的化工原料，也是化学实验中氨的常用来源，被广泛应用于农业、工业和科学研究等领域。</w:t>
                  </w:r>
                </w:p>
              </w:tc>
            </w:tr>
            <w:tr w14:paraId="20A60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35B677B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4</w:t>
                  </w:r>
                </w:p>
              </w:tc>
              <w:tc>
                <w:tcPr>
                  <w:tcW w:w="988" w:type="dxa"/>
                  <w:vAlign w:val="center"/>
                </w:tcPr>
                <w:p w14:paraId="4C70D3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苯酚</w:t>
                  </w:r>
                </w:p>
              </w:tc>
              <w:tc>
                <w:tcPr>
                  <w:tcW w:w="805" w:type="dxa"/>
                  <w:vAlign w:val="center"/>
                </w:tcPr>
                <w:p w14:paraId="2E3EC4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341658E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11" w:type="dxa"/>
                  <w:vAlign w:val="center"/>
                </w:tcPr>
                <w:p w14:paraId="0E9C30B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721" w:type="dxa"/>
                  <w:vAlign w:val="center"/>
                </w:tcPr>
                <w:p w14:paraId="493A4F1E">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620EC06E">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苯酚是一种</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"https://baike.baidu.com/item/%E6%9C%89%E6%9C%BA%E5%8C%96%E5%90%88%E7%89%A9/2950156?fromModule=lemma_inlink"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有机化合物</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，化学式为C</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5</w:t>
                  </w:r>
                  <w:r>
                    <w:rPr>
                      <w:rFonts w:hint="default" w:ascii="Times New Roman" w:hAnsi="Times New Roman" w:eastAsia="宋体" w:cs="Times New Roman"/>
                      <w:color w:val="auto"/>
                      <w:sz w:val="18"/>
                      <w:szCs w:val="18"/>
                      <w:vertAlign w:val="baseline"/>
                      <w:lang w:val="en-US" w:eastAsia="zh-CN"/>
                    </w:rPr>
                    <w:t>OH，是具有特殊气味的无色针状晶体，有毒，是生产某些树脂、杀菌剂、防腐剂以及药物（如</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"https://baike.baidu.com/item/%E9%98%BF%E5%8F%B8%E5%8C%B9%E6%9E%97/15777?fromModule=lemma_inlink"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阿司匹林</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）的重要原料。也可用于消毒外科器械和排泄物的处理，皮肤杀菌、止痒及中耳炎。熔点43℃，常温下微溶于水，易溶于有机溶剂；当温度高于65℃时，能跟水以任意比例互溶。苯酚有</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"https://baike.baidu.com/item/%E8%85%90%E8%9A%80%E6%80%A7/770500?fromModule=lemma_inlink"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腐蚀性</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，接触后会使局部</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"https://baike.baidu.com/item/%E8%9B%8B%E7%99%BD%E8%B4%A8%E5%8F%98%E6%80%A7/1480401?fromModule=lemma_inlink"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蛋白质变性</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，其溶液沾到皮肤上可用酒精洗涤。小部分苯酚暴露在空气中被氧气氧化为</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"https://baike.baidu.com/item/%E9%86%8C/2064883?fromModule=lemma_inlink"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醌</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而呈粉红色。遇三价铁离子变紫，通常用此方法来检验苯酚。</w:t>
                  </w:r>
                </w:p>
              </w:tc>
            </w:tr>
            <w:tr w14:paraId="68E82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6FD516E6">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w:t>
                  </w:r>
                </w:p>
              </w:tc>
              <w:tc>
                <w:tcPr>
                  <w:tcW w:w="988" w:type="dxa"/>
                  <w:vAlign w:val="center"/>
                </w:tcPr>
                <w:p w14:paraId="61D412C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次氯酸钙</w:t>
                  </w:r>
                </w:p>
              </w:tc>
              <w:tc>
                <w:tcPr>
                  <w:tcW w:w="805" w:type="dxa"/>
                  <w:vAlign w:val="center"/>
                </w:tcPr>
                <w:p w14:paraId="4FE5B61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有效氯70.9%</w:t>
                  </w:r>
                </w:p>
              </w:tc>
              <w:tc>
                <w:tcPr>
                  <w:tcW w:w="695" w:type="dxa"/>
                  <w:vAlign w:val="center"/>
                </w:tcPr>
                <w:p w14:paraId="4F051C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11" w:type="dxa"/>
                  <w:vAlign w:val="center"/>
                </w:tcPr>
                <w:p w14:paraId="2E5C12F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721" w:type="dxa"/>
                  <w:vAlign w:val="center"/>
                </w:tcPr>
                <w:p w14:paraId="4BB7C076">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54E39196">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次氯酸钙，是一种</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"https://baike.baidu.com/item/%E6%97%A0%E6%9C%BA%E5%8C%96%E5%90%88%E7%89%A9/10716655?fromModule=lemma_inlink"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无机化合物</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，化学式为Ca(ClO)</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，溶于水，不溶于</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"https://baike.baidu.com/item/%E4%B9%99%E9%86%87/135334?fromModule=lemma_inlink"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乙醇</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w:t>
                  </w:r>
                  <w:r>
                    <w:rPr>
                      <w:rFonts w:hint="eastAsia" w:ascii="Times New Roman" w:hAnsi="Times New Roman" w:eastAsia="宋体" w:cs="Times New Roman"/>
                      <w:color w:val="auto"/>
                      <w:sz w:val="18"/>
                      <w:szCs w:val="18"/>
                      <w:vertAlign w:val="baseline"/>
                      <w:lang w:val="en-US" w:eastAsia="zh-CN"/>
                    </w:rPr>
                    <w:t>属于强氧化剂，水或潮湿空气会引起燃烧爆炸，与碱性物质混合能引起爆炸。接触有机物有引起燃烧的危险，受热、遇酸或日光照射会分解放出刺激性的氯气。</w:t>
                  </w:r>
                </w:p>
              </w:tc>
            </w:tr>
            <w:tr w14:paraId="25F98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663E6F95">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6</w:t>
                  </w:r>
                </w:p>
              </w:tc>
              <w:tc>
                <w:tcPr>
                  <w:tcW w:w="988" w:type="dxa"/>
                  <w:vAlign w:val="center"/>
                </w:tcPr>
                <w:p w14:paraId="25F4FA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氟苯</w:t>
                  </w:r>
                </w:p>
              </w:tc>
              <w:tc>
                <w:tcPr>
                  <w:tcW w:w="805" w:type="dxa"/>
                  <w:vAlign w:val="center"/>
                </w:tcPr>
                <w:p w14:paraId="317C73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GC(色谱纯）</w:t>
                  </w:r>
                </w:p>
              </w:tc>
              <w:tc>
                <w:tcPr>
                  <w:tcW w:w="695" w:type="dxa"/>
                  <w:vAlign w:val="center"/>
                </w:tcPr>
                <w:p w14:paraId="4E53B2A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5mL</w:t>
                  </w:r>
                </w:p>
              </w:tc>
              <w:tc>
                <w:tcPr>
                  <w:tcW w:w="711" w:type="dxa"/>
                  <w:vAlign w:val="center"/>
                </w:tcPr>
                <w:p w14:paraId="505EA3A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721" w:type="dxa"/>
                  <w:vAlign w:val="center"/>
                </w:tcPr>
                <w:p w14:paraId="2982198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704F3601">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氟苯，是一种有机化合物，化学式为C</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5</w:t>
                  </w:r>
                  <w:r>
                    <w:rPr>
                      <w:rFonts w:hint="default" w:ascii="Times New Roman" w:hAnsi="Times New Roman" w:eastAsia="宋体" w:cs="Times New Roman"/>
                      <w:color w:val="auto"/>
                      <w:sz w:val="18"/>
                      <w:szCs w:val="18"/>
                      <w:vertAlign w:val="baseline"/>
                      <w:lang w:val="en-US" w:eastAsia="zh-CN"/>
                    </w:rPr>
                    <w:t>F。无色透明液体</w:t>
                  </w:r>
                  <w:r>
                    <w:rPr>
                      <w:rFonts w:hint="eastAsia" w:ascii="Times New Roman" w:hAnsi="Times New Roman" w:eastAsia="宋体" w:cs="Times New Roman"/>
                      <w:color w:val="auto"/>
                      <w:sz w:val="18"/>
                      <w:szCs w:val="18"/>
                      <w:vertAlign w:val="baseline"/>
                      <w:lang w:val="en-US" w:eastAsia="zh-CN"/>
                    </w:rPr>
                    <w:t>，不溶于水，可混溶于乙醇、乙醚、丙酮、苯。</w:t>
                  </w:r>
                </w:p>
              </w:tc>
            </w:tr>
            <w:tr w14:paraId="24E7C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7BEF7A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7</w:t>
                  </w:r>
                </w:p>
              </w:tc>
              <w:tc>
                <w:tcPr>
                  <w:tcW w:w="988" w:type="dxa"/>
                  <w:vAlign w:val="center"/>
                </w:tcPr>
                <w:p w14:paraId="5ED1611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甲醇</w:t>
                  </w:r>
                </w:p>
              </w:tc>
              <w:tc>
                <w:tcPr>
                  <w:tcW w:w="805" w:type="dxa"/>
                  <w:vAlign w:val="center"/>
                </w:tcPr>
                <w:p w14:paraId="0215DE0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GR（优级纯）</w:t>
                  </w:r>
                </w:p>
              </w:tc>
              <w:tc>
                <w:tcPr>
                  <w:tcW w:w="695" w:type="dxa"/>
                  <w:vAlign w:val="center"/>
                </w:tcPr>
                <w:p w14:paraId="01B6E6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11" w:type="dxa"/>
                  <w:vAlign w:val="center"/>
                </w:tcPr>
                <w:p w14:paraId="51C1229A">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721" w:type="dxa"/>
                  <w:vAlign w:val="center"/>
                </w:tcPr>
                <w:p w14:paraId="7528793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859" w:type="dxa"/>
                  <w:vMerge w:val="restart"/>
                  <w:vAlign w:val="center"/>
                </w:tcPr>
                <w:p w14:paraId="0E07FA14">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一种有机化合物，是结构最为简单的饱和一元醇，其化学式为CH3OH/CH4O。分子量为32.04，沸点为64.7℃。甲醇很轻、挥发性强、无色、易燃，并有与乙醇（饮用酒）非常相似的气味。但不同于乙醇，甲醇毒性大，不可以饮用。溶于水，可混溶与醇类、乙醚等多数有机溶剂。</w:t>
                  </w:r>
                </w:p>
              </w:tc>
            </w:tr>
            <w:tr w14:paraId="1948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9B70EC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8</w:t>
                  </w:r>
                </w:p>
              </w:tc>
              <w:tc>
                <w:tcPr>
                  <w:tcW w:w="988" w:type="dxa"/>
                  <w:vAlign w:val="center"/>
                </w:tcPr>
                <w:p w14:paraId="114DB20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甲醇</w:t>
                  </w:r>
                </w:p>
              </w:tc>
              <w:tc>
                <w:tcPr>
                  <w:tcW w:w="805" w:type="dxa"/>
                  <w:vAlign w:val="center"/>
                </w:tcPr>
                <w:p w14:paraId="1BDE174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HPLC(色谱纯）</w:t>
                  </w:r>
                </w:p>
              </w:tc>
              <w:tc>
                <w:tcPr>
                  <w:tcW w:w="695" w:type="dxa"/>
                  <w:vAlign w:val="center"/>
                </w:tcPr>
                <w:p w14:paraId="705477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1L</w:t>
                  </w:r>
                </w:p>
              </w:tc>
              <w:tc>
                <w:tcPr>
                  <w:tcW w:w="711" w:type="dxa"/>
                  <w:vAlign w:val="center"/>
                </w:tcPr>
                <w:p w14:paraId="08C9A0D7">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721" w:type="dxa"/>
                  <w:vAlign w:val="center"/>
                </w:tcPr>
                <w:p w14:paraId="2E5ECE41">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Merge w:val="continue"/>
                  <w:vAlign w:val="center"/>
                </w:tcPr>
                <w:p w14:paraId="7D066263">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p>
              </w:tc>
            </w:tr>
            <w:tr w14:paraId="5476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656288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9</w:t>
                  </w:r>
                </w:p>
              </w:tc>
              <w:tc>
                <w:tcPr>
                  <w:tcW w:w="988" w:type="dxa"/>
                  <w:vAlign w:val="center"/>
                </w:tcPr>
                <w:p w14:paraId="4D5D6F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甲醇</w:t>
                  </w:r>
                </w:p>
              </w:tc>
              <w:tc>
                <w:tcPr>
                  <w:tcW w:w="805" w:type="dxa"/>
                  <w:vAlign w:val="center"/>
                </w:tcPr>
                <w:p w14:paraId="4704EA6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0136026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11" w:type="dxa"/>
                  <w:vAlign w:val="center"/>
                </w:tcPr>
                <w:p w14:paraId="161CCDDE">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721" w:type="dxa"/>
                  <w:vAlign w:val="center"/>
                </w:tcPr>
                <w:p w14:paraId="14AB0008">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859" w:type="dxa"/>
                  <w:vMerge w:val="continue"/>
                  <w:vAlign w:val="center"/>
                </w:tcPr>
                <w:p w14:paraId="144642BE">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p>
              </w:tc>
            </w:tr>
            <w:tr w14:paraId="246D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EA41C25">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10</w:t>
                  </w:r>
                </w:p>
              </w:tc>
              <w:tc>
                <w:tcPr>
                  <w:tcW w:w="988" w:type="dxa"/>
                  <w:vAlign w:val="center"/>
                </w:tcPr>
                <w:p w14:paraId="35BAB09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甲醛水溶液(35%~40)（福尔马林）</w:t>
                  </w:r>
                </w:p>
              </w:tc>
              <w:tc>
                <w:tcPr>
                  <w:tcW w:w="805" w:type="dxa"/>
                  <w:vAlign w:val="center"/>
                </w:tcPr>
                <w:p w14:paraId="5FB3663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27E3ED9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11" w:type="dxa"/>
                  <w:vAlign w:val="center"/>
                </w:tcPr>
                <w:p w14:paraId="6791AF3A">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721" w:type="dxa"/>
                  <w:vAlign w:val="center"/>
                </w:tcPr>
                <w:p w14:paraId="15E265F1">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3859" w:type="dxa"/>
                  <w:vAlign w:val="center"/>
                </w:tcPr>
                <w:p w14:paraId="48DCF643">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甲醛是一种无色，有强烈刺激型气味的气体。易溶于水、醇和醚。甲醛在常温下是气态，通常以水溶液形式出现。易溶于水和乙醇，35～40%的甲醛水溶液叫做福尔马林。</w:t>
                  </w:r>
                </w:p>
              </w:tc>
            </w:tr>
            <w:tr w14:paraId="3B8B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30B6D58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11</w:t>
                  </w:r>
                </w:p>
              </w:tc>
              <w:tc>
                <w:tcPr>
                  <w:tcW w:w="988" w:type="dxa"/>
                  <w:vAlign w:val="center"/>
                </w:tcPr>
                <w:p w14:paraId="1B8DA8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甲酸</w:t>
                  </w:r>
                </w:p>
              </w:tc>
              <w:tc>
                <w:tcPr>
                  <w:tcW w:w="805" w:type="dxa"/>
                  <w:vAlign w:val="center"/>
                </w:tcPr>
                <w:p w14:paraId="5CC400F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HPLC(色谱纯）</w:t>
                  </w:r>
                </w:p>
              </w:tc>
              <w:tc>
                <w:tcPr>
                  <w:tcW w:w="695" w:type="dxa"/>
                  <w:vAlign w:val="center"/>
                </w:tcPr>
                <w:p w14:paraId="2AC916C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100mL</w:t>
                  </w:r>
                </w:p>
              </w:tc>
              <w:tc>
                <w:tcPr>
                  <w:tcW w:w="711" w:type="dxa"/>
                  <w:vAlign w:val="center"/>
                </w:tcPr>
                <w:p w14:paraId="0B707528">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721" w:type="dxa"/>
                  <w:vAlign w:val="center"/>
                </w:tcPr>
                <w:p w14:paraId="519CFBF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556311B5">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甲酸为无色透明、有强烈刺激性气味的发烟液体，易溶于水、乙醇、乙醚等有机溶剂，在烃类物质中具有一定的溶解性，高浓度的甲酸溶液在冬天易结冰（熔点为8.2~8.4 ℃）</w:t>
                  </w:r>
                  <w:r>
                    <w:rPr>
                      <w:rFonts w:hint="eastAsia" w:ascii="Times New Roman" w:hAnsi="Times New Roman" w:eastAsia="宋体" w:cs="Times New Roman"/>
                      <w:color w:val="auto"/>
                      <w:sz w:val="18"/>
                      <w:szCs w:val="18"/>
                      <w:vertAlign w:val="baseline"/>
                      <w:lang w:val="en-US" w:eastAsia="zh-CN"/>
                    </w:rPr>
                    <w:t>。</w:t>
                  </w:r>
                </w:p>
              </w:tc>
            </w:tr>
            <w:tr w14:paraId="64F9F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FC0D759">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12</w:t>
                  </w:r>
                </w:p>
              </w:tc>
              <w:tc>
                <w:tcPr>
                  <w:tcW w:w="988" w:type="dxa"/>
                  <w:vAlign w:val="center"/>
                </w:tcPr>
                <w:p w14:paraId="292EF5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磷酸</w:t>
                  </w:r>
                </w:p>
              </w:tc>
              <w:tc>
                <w:tcPr>
                  <w:tcW w:w="805" w:type="dxa"/>
                  <w:vAlign w:val="center"/>
                </w:tcPr>
                <w:p w14:paraId="494413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360DF26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11" w:type="dxa"/>
                  <w:vAlign w:val="center"/>
                </w:tcPr>
                <w:p w14:paraId="11A283E8">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721" w:type="dxa"/>
                  <w:vAlign w:val="center"/>
                </w:tcPr>
                <w:p w14:paraId="2B672A28">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6F369817">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磷酸（H₃PO₄）在常温下为无色透明的固体晶体，熔点为42 °C。当温度超过熔点时，它会变为无色透明的黏稠液体。在工业和实验室中，磷酸常以85%的水溶液形式存在，这种溶液为无色、无味、非挥发性的黏稠液体，是一种重要的化学试剂。</w:t>
                  </w:r>
                </w:p>
              </w:tc>
            </w:tr>
            <w:tr w14:paraId="11C6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17A267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13</w:t>
                  </w:r>
                </w:p>
              </w:tc>
              <w:tc>
                <w:tcPr>
                  <w:tcW w:w="988" w:type="dxa"/>
                  <w:vAlign w:val="center"/>
                </w:tcPr>
                <w:p w14:paraId="708EF4A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硫脲</w:t>
                  </w:r>
                </w:p>
              </w:tc>
              <w:tc>
                <w:tcPr>
                  <w:tcW w:w="805" w:type="dxa"/>
                  <w:vAlign w:val="center"/>
                </w:tcPr>
                <w:p w14:paraId="77EE9BD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56AA5D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11" w:type="dxa"/>
                  <w:vAlign w:val="center"/>
                </w:tcPr>
                <w:p w14:paraId="2B3AD01C">
                  <w:pPr>
                    <w:keepNext w:val="0"/>
                    <w:keepLines w:val="0"/>
                    <w:pageBreakBefore w:val="0"/>
                    <w:kinsoku/>
                    <w:wordWrap/>
                    <w:overflowPunct/>
                    <w:topLinePunct w:val="0"/>
                    <w:autoSpaceDE/>
                    <w:autoSpaceDN/>
                    <w:bidi w:val="0"/>
                    <w:adjustRightInd/>
                    <w:snapToGrid/>
                    <w:spacing w:line="360" w:lineRule="exact"/>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721" w:type="dxa"/>
                  <w:vAlign w:val="center"/>
                </w:tcPr>
                <w:p w14:paraId="1F19EB2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16A9CABE">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硫脲，是一种有机含硫化合物，化学式为CH</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N</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S，白色而有光泽的晶体，味苦，密度1.41g/cm³，熔点176～178℃。用于制造药物、染料、树脂、压塑粉等的原料，也用作橡胶的硫化促进剂、金属矿物的浮选剂等。由硫化氢与石灰浆作用成硫氢化钙，再与氰氨化钙作用而成。也可将硫氰化铵熔融制取，或将氨基氰与硫化氢作用制得。</w:t>
                  </w:r>
                </w:p>
              </w:tc>
            </w:tr>
            <w:tr w14:paraId="07250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29894E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14</w:t>
                  </w:r>
                </w:p>
              </w:tc>
              <w:tc>
                <w:tcPr>
                  <w:tcW w:w="988" w:type="dxa"/>
                  <w:vAlign w:val="center"/>
                </w:tcPr>
                <w:p w14:paraId="20A2D0D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氢氧化钾</w:t>
                  </w:r>
                </w:p>
              </w:tc>
              <w:tc>
                <w:tcPr>
                  <w:tcW w:w="805" w:type="dxa"/>
                  <w:vAlign w:val="center"/>
                </w:tcPr>
                <w:p w14:paraId="21C874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GR（优级纯）</w:t>
                  </w:r>
                </w:p>
              </w:tc>
              <w:tc>
                <w:tcPr>
                  <w:tcW w:w="695" w:type="dxa"/>
                  <w:vAlign w:val="center"/>
                </w:tcPr>
                <w:p w14:paraId="7B7A8F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11" w:type="dxa"/>
                  <w:vAlign w:val="center"/>
                </w:tcPr>
                <w:p w14:paraId="714716F9">
                  <w:pPr>
                    <w:keepNext w:val="0"/>
                    <w:keepLines w:val="0"/>
                    <w:pageBreakBefore w:val="0"/>
                    <w:kinsoku/>
                    <w:wordWrap/>
                    <w:overflowPunct/>
                    <w:topLinePunct w:val="0"/>
                    <w:autoSpaceDE/>
                    <w:autoSpaceDN/>
                    <w:bidi w:val="0"/>
                    <w:adjustRightInd/>
                    <w:snapToGrid/>
                    <w:spacing w:line="360" w:lineRule="exact"/>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721" w:type="dxa"/>
                  <w:vAlign w:val="center"/>
                </w:tcPr>
                <w:p w14:paraId="5571D123">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0A01577D">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氢氧化钾又称“苛性钾”，化学式KOH。是一种常见的强碱性无机化合物，常为白色片状。很易溶于水、乙醇，溶解时强烈放热，极易吸收空气中的水分及二氧化碳。</w:t>
                  </w:r>
                </w:p>
              </w:tc>
            </w:tr>
            <w:tr w14:paraId="612A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78D3E2BC">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15</w:t>
                  </w:r>
                </w:p>
              </w:tc>
              <w:tc>
                <w:tcPr>
                  <w:tcW w:w="988" w:type="dxa"/>
                  <w:vAlign w:val="center"/>
                </w:tcPr>
                <w:p w14:paraId="51A8718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氢氧化钠</w:t>
                  </w:r>
                </w:p>
              </w:tc>
              <w:tc>
                <w:tcPr>
                  <w:tcW w:w="805" w:type="dxa"/>
                  <w:vAlign w:val="center"/>
                </w:tcPr>
                <w:p w14:paraId="5602022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7304B62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11" w:type="dxa"/>
                  <w:vAlign w:val="center"/>
                </w:tcPr>
                <w:p w14:paraId="196CD4FD">
                  <w:pPr>
                    <w:keepNext w:val="0"/>
                    <w:keepLines w:val="0"/>
                    <w:pageBreakBefore w:val="0"/>
                    <w:kinsoku/>
                    <w:wordWrap/>
                    <w:overflowPunct/>
                    <w:topLinePunct w:val="0"/>
                    <w:autoSpaceDE/>
                    <w:autoSpaceDN/>
                    <w:bidi w:val="0"/>
                    <w:adjustRightInd/>
                    <w:snapToGrid/>
                    <w:spacing w:line="360" w:lineRule="exact"/>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721" w:type="dxa"/>
                  <w:vAlign w:val="center"/>
                </w:tcPr>
                <w:p w14:paraId="57891A2E">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043F2555">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氢氧化钠（Sodium hydroxide），也称苛性钠、烧碱、火碱、片碱，是一种无机化合物，化学式NaOH，相对分子量为39.9970。氢氧化钠具有强碱性，腐蚀性极强，可作酸中和剂、配合掩蔽剂、沉淀剂、沉淀掩蔽剂、显色剂、皂化剂、去皮剂、洗涤剂等，用途非常广泛。</w:t>
                  </w:r>
                </w:p>
              </w:tc>
            </w:tr>
            <w:tr w14:paraId="55AA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6D090D86">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16</w:t>
                  </w:r>
                </w:p>
              </w:tc>
              <w:tc>
                <w:tcPr>
                  <w:tcW w:w="988" w:type="dxa"/>
                  <w:vAlign w:val="center"/>
                </w:tcPr>
                <w:p w14:paraId="145C678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三氟乙酸</w:t>
                  </w:r>
                </w:p>
              </w:tc>
              <w:tc>
                <w:tcPr>
                  <w:tcW w:w="805" w:type="dxa"/>
                  <w:vAlign w:val="center"/>
                </w:tcPr>
                <w:p w14:paraId="3BC09E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15205B25">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11" w:type="dxa"/>
                  <w:vAlign w:val="center"/>
                </w:tcPr>
                <w:p w14:paraId="4CF90B4B">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721" w:type="dxa"/>
                  <w:vAlign w:val="center"/>
                </w:tcPr>
                <w:p w14:paraId="2D23F04C">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3859" w:type="dxa"/>
                  <w:vAlign w:val="center"/>
                </w:tcPr>
                <w:p w14:paraId="51B7317E">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三氟乙酸，是一种有机化合物，化学式为C</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HF</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O</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，主要用作试验试剂、溶剂、催化剂及用于有机合成。</w:t>
                  </w:r>
                </w:p>
              </w:tc>
            </w:tr>
            <w:tr w14:paraId="66A0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5AFB53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17</w:t>
                  </w:r>
                </w:p>
              </w:tc>
              <w:tc>
                <w:tcPr>
                  <w:tcW w:w="988" w:type="dxa"/>
                  <w:vAlign w:val="center"/>
                </w:tcPr>
                <w:p w14:paraId="29F95F8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无水溴酸钾</w:t>
                  </w:r>
                </w:p>
              </w:tc>
              <w:tc>
                <w:tcPr>
                  <w:tcW w:w="805" w:type="dxa"/>
                  <w:vAlign w:val="center"/>
                </w:tcPr>
                <w:p w14:paraId="0563AC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3AFEA176">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11" w:type="dxa"/>
                  <w:vAlign w:val="center"/>
                </w:tcPr>
                <w:p w14:paraId="2A83CAF1">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721" w:type="dxa"/>
                  <w:vAlign w:val="center"/>
                </w:tcPr>
                <w:p w14:paraId="14EBFB41">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3859" w:type="dxa"/>
                  <w:vAlign w:val="center"/>
                </w:tcPr>
                <w:p w14:paraId="5E19695F">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一种无机化合物，化学式为KBrO</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，主要用作分析试剂、氧化剂、羊毛漂白处理剂。白色</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"https://baike.baidu.com/item/%E7%BB%93%E6%99%B6%E6%80%A7/6830050?fromModule=lemma_inlink" \t "https://baike.baidu.com/item/%E6%BA%B4%E9%85%B8%E9%92%BE/_blank"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结晶性</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粉末</w:t>
                  </w:r>
                  <w:r>
                    <w:rPr>
                      <w:rFonts w:hint="eastAsia" w:ascii="Times New Roman" w:hAnsi="Times New Roman" w:eastAsia="宋体" w:cs="Times New Roman"/>
                      <w:color w:val="auto"/>
                      <w:sz w:val="18"/>
                      <w:szCs w:val="18"/>
                      <w:vertAlign w:val="baseline"/>
                      <w:lang w:val="en-US" w:eastAsia="zh-CN"/>
                    </w:rPr>
                    <w:t>状，溶于水，不溶于丙酮，微溶于乙醇。</w:t>
                  </w:r>
                </w:p>
              </w:tc>
            </w:tr>
            <w:tr w14:paraId="31EE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6418724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18</w:t>
                  </w:r>
                </w:p>
              </w:tc>
              <w:tc>
                <w:tcPr>
                  <w:tcW w:w="988" w:type="dxa"/>
                  <w:vAlign w:val="center"/>
                </w:tcPr>
                <w:p w14:paraId="1DC8BDF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无水乙醇</w:t>
                  </w:r>
                </w:p>
              </w:tc>
              <w:tc>
                <w:tcPr>
                  <w:tcW w:w="805" w:type="dxa"/>
                  <w:vAlign w:val="center"/>
                </w:tcPr>
                <w:p w14:paraId="58F94EB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463BEE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11" w:type="dxa"/>
                  <w:vAlign w:val="center"/>
                </w:tcPr>
                <w:p w14:paraId="554DAFB7">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721" w:type="dxa"/>
                  <w:vAlign w:val="center"/>
                </w:tcPr>
                <w:p w14:paraId="6EAE7F30">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w:t>
                  </w:r>
                </w:p>
              </w:tc>
              <w:tc>
                <w:tcPr>
                  <w:tcW w:w="3859" w:type="dxa"/>
                  <w:vAlign w:val="center"/>
                </w:tcPr>
                <w:p w14:paraId="04B5D070">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指纯度较高的</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"https://baike.baidu.com/item/%E4%B9%99%E9%86%87/135334?fromModule=lemma_inlink"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乙醇</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水溶液，是乙醇和水的混合物。一般情况下称浓度99.5%的</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"https://baike.baidu.com/item/%E4%B9%99%E9%86%87%E6%BA%B6%E6%B6%B2/14579405?fromModule=lemma_inlink"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乙醇溶液</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为无水乙醇。</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"https://baike.baidu.com/item/%E6%97%A0%E8%89%B2%E6%B6%B2%E4%BD%93/22257940?fromModule=lemma_inlink"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无色液体</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，具有特殊香味。与水以任意比</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"https://baike.baidu.com/item/%E4%BA%92%E6%BA%B6/8508772?fromModule=lemma_inlink"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互溶</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，可混溶于醚、</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"https://baike.baidu.com/item/%E6%B0%AF%E4%BB%BF/521847?fromModule=lemma_inlink"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氯仿</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"https://baike.baidu.com/item/%E7%94%98%E6%B2%B9/99429?fromModule=lemma_inlink"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甘油</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等多数</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"https://baike.baidu.com/item/%E6%9C%89%E6%9C%BA%E6%BA%B6%E5%89%82/7921016?fromModule=lemma_inlink"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有机溶剂</w:t>
                  </w:r>
                  <w:r>
                    <w:rPr>
                      <w:rFonts w:hint="default" w:ascii="Times New Roman" w:hAnsi="Times New Roman" w:eastAsia="宋体" w:cs="Times New Roman"/>
                      <w:color w:val="auto"/>
                      <w:sz w:val="18"/>
                      <w:szCs w:val="18"/>
                      <w:vertAlign w:val="baseline"/>
                      <w:lang w:val="en-US" w:eastAsia="zh-CN"/>
                    </w:rPr>
                    <w:fldChar w:fldCharType="end"/>
                  </w:r>
                  <w:r>
                    <w:rPr>
                      <w:rFonts w:hint="eastAsia" w:ascii="Times New Roman" w:hAnsi="Times New Roman" w:eastAsia="宋体" w:cs="Times New Roman"/>
                      <w:color w:val="auto"/>
                      <w:sz w:val="18"/>
                      <w:szCs w:val="18"/>
                      <w:vertAlign w:val="baseline"/>
                      <w:lang w:val="en-US" w:eastAsia="zh-CN"/>
                    </w:rPr>
                    <w:t>。</w:t>
                  </w:r>
                </w:p>
              </w:tc>
            </w:tr>
            <w:tr w14:paraId="709F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B084A64">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19</w:t>
                  </w:r>
                </w:p>
              </w:tc>
              <w:tc>
                <w:tcPr>
                  <w:tcW w:w="988" w:type="dxa"/>
                  <w:vAlign w:val="center"/>
                </w:tcPr>
                <w:p w14:paraId="6AD7E85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乙腈</w:t>
                  </w:r>
                </w:p>
              </w:tc>
              <w:tc>
                <w:tcPr>
                  <w:tcW w:w="805" w:type="dxa"/>
                  <w:vAlign w:val="center"/>
                </w:tcPr>
                <w:p w14:paraId="2C4AD65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HPLC(色谱纯）</w:t>
                  </w:r>
                </w:p>
              </w:tc>
              <w:tc>
                <w:tcPr>
                  <w:tcW w:w="695" w:type="dxa"/>
                  <w:vAlign w:val="center"/>
                </w:tcPr>
                <w:p w14:paraId="54A91E7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1L</w:t>
                  </w:r>
                </w:p>
              </w:tc>
              <w:tc>
                <w:tcPr>
                  <w:tcW w:w="711" w:type="dxa"/>
                  <w:vAlign w:val="center"/>
                </w:tcPr>
                <w:p w14:paraId="64A23A7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721" w:type="dxa"/>
                  <w:vAlign w:val="center"/>
                </w:tcPr>
                <w:p w14:paraId="6B17CEB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3859" w:type="dxa"/>
                  <w:vAlign w:val="center"/>
                </w:tcPr>
                <w:p w14:paraId="36965298">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乙腈，是一种有机化合物，化学式为CH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CN或C</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N，为无色透明液体，有优良的溶剂性能，能溶解多种有机、无机和气体物质，与水和醇无限互溶。乙腈能发生典型的腈类反应，并被用于制备许多典型含氮化合物，是一个重要的有机中间体</w:t>
                  </w:r>
                  <w:r>
                    <w:rPr>
                      <w:rFonts w:hint="eastAsia" w:ascii="Times New Roman" w:hAnsi="Times New Roman" w:eastAsia="宋体" w:cs="Times New Roman"/>
                      <w:color w:val="auto"/>
                      <w:sz w:val="18"/>
                      <w:szCs w:val="18"/>
                      <w:vertAlign w:val="baseline"/>
                      <w:lang w:val="en-US" w:eastAsia="zh-CN"/>
                    </w:rPr>
                    <w:t>。</w:t>
                  </w:r>
                </w:p>
              </w:tc>
            </w:tr>
            <w:tr w14:paraId="1D88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AEAEDE0">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20</w:t>
                  </w:r>
                </w:p>
              </w:tc>
              <w:tc>
                <w:tcPr>
                  <w:tcW w:w="988" w:type="dxa"/>
                  <w:vAlign w:val="center"/>
                </w:tcPr>
                <w:p w14:paraId="51C6AD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乙酸乙酯</w:t>
                  </w:r>
                </w:p>
              </w:tc>
              <w:tc>
                <w:tcPr>
                  <w:tcW w:w="805" w:type="dxa"/>
                  <w:vAlign w:val="center"/>
                </w:tcPr>
                <w:p w14:paraId="07A616F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HPLC(色谱纯）</w:t>
                  </w:r>
                </w:p>
              </w:tc>
              <w:tc>
                <w:tcPr>
                  <w:tcW w:w="695" w:type="dxa"/>
                  <w:vAlign w:val="center"/>
                </w:tcPr>
                <w:p w14:paraId="0D37D1D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11" w:type="dxa"/>
                  <w:vAlign w:val="center"/>
                </w:tcPr>
                <w:p w14:paraId="6EBD3DFC">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721" w:type="dxa"/>
                  <w:vAlign w:val="center"/>
                </w:tcPr>
                <w:p w14:paraId="0BF7545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3859" w:type="dxa"/>
                  <w:vAlign w:val="center"/>
                </w:tcPr>
                <w:p w14:paraId="2E656E45">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又称醋酸乙酯，是一种有机化合物，化学式为C</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8</w:t>
                  </w:r>
                  <w:r>
                    <w:rPr>
                      <w:rFonts w:hint="default" w:ascii="Times New Roman" w:hAnsi="Times New Roman" w:eastAsia="宋体" w:cs="Times New Roman"/>
                      <w:color w:val="auto"/>
                      <w:sz w:val="18"/>
                      <w:szCs w:val="18"/>
                      <w:vertAlign w:val="baseline"/>
                      <w:lang w:val="en-US" w:eastAsia="zh-CN"/>
                    </w:rPr>
                    <w:t>O</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，无色液体</w:t>
                  </w:r>
                  <w:r>
                    <w:rPr>
                      <w:rFonts w:hint="eastAsia" w:ascii="Times New Roman" w:hAnsi="Times New Roman" w:eastAsia="宋体" w:cs="Times New Roman"/>
                      <w:color w:val="auto"/>
                      <w:sz w:val="18"/>
                      <w:szCs w:val="18"/>
                      <w:vertAlign w:val="baseline"/>
                      <w:lang w:val="en-US" w:eastAsia="zh-CN"/>
                    </w:rPr>
                    <w:t>，微溶于水，溶于乙醇、丙酮、乙醚、氯仿、苯等多数有机溶剂</w:t>
                  </w:r>
                  <w:r>
                    <w:rPr>
                      <w:rFonts w:hint="default" w:ascii="Times New Roman" w:hAnsi="Times New Roman" w:eastAsia="宋体" w:cs="Times New Roman"/>
                      <w:color w:val="auto"/>
                      <w:sz w:val="18"/>
                      <w:szCs w:val="18"/>
                      <w:vertAlign w:val="baseline"/>
                      <w:lang w:val="en-US" w:eastAsia="zh-CN"/>
                    </w:rPr>
                    <w:t>。</w:t>
                  </w:r>
                </w:p>
              </w:tc>
            </w:tr>
            <w:tr w14:paraId="177B1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8397104">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21</w:t>
                  </w:r>
                </w:p>
              </w:tc>
              <w:tc>
                <w:tcPr>
                  <w:tcW w:w="988" w:type="dxa"/>
                  <w:vAlign w:val="center"/>
                </w:tcPr>
                <w:p w14:paraId="0DCBC94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硼酸</w:t>
                  </w:r>
                </w:p>
              </w:tc>
              <w:tc>
                <w:tcPr>
                  <w:tcW w:w="805" w:type="dxa"/>
                  <w:vAlign w:val="center"/>
                </w:tcPr>
                <w:p w14:paraId="43A7F94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58C4C06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11" w:type="dxa"/>
                  <w:vAlign w:val="center"/>
                </w:tcPr>
                <w:p w14:paraId="4A0EFF1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721" w:type="dxa"/>
                  <w:vAlign w:val="center"/>
                </w:tcPr>
                <w:p w14:paraId="3E3367B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859" w:type="dxa"/>
                  <w:vAlign w:val="center"/>
                </w:tcPr>
                <w:p w14:paraId="332C6C86">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硼酸，是一种</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"https://baike.baidu.com/item/%E6%97%A0%E6%9C%BA%E5%8C%96%E5%90%88%E7%89%A9/10716655?fromModule=lemma_inlink"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无机化合物</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，化学式为H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BO</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，为白色</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"https://baike.baidu.com/item/%E7%BB%93%E6%99%B6/2686139?fromModule=lemma_inlink"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结晶</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性粉末，有滑腻手感，无气味</w:t>
                  </w:r>
                  <w:r>
                    <w:rPr>
                      <w:rFonts w:hint="eastAsia" w:ascii="Times New Roman" w:hAnsi="Times New Roman" w:eastAsia="宋体" w:cs="Times New Roman"/>
                      <w:color w:val="auto"/>
                      <w:sz w:val="18"/>
                      <w:szCs w:val="18"/>
                      <w:vertAlign w:val="baseline"/>
                      <w:lang w:val="en-US" w:eastAsia="zh-CN"/>
                    </w:rPr>
                    <w:t>。</w:t>
                  </w:r>
                  <w:r>
                    <w:rPr>
                      <w:rFonts w:hint="default" w:ascii="Times New Roman" w:hAnsi="Times New Roman" w:eastAsia="宋体" w:cs="Times New Roman"/>
                      <w:color w:val="auto"/>
                      <w:sz w:val="18"/>
                      <w:szCs w:val="18"/>
                      <w:vertAlign w:val="baseline"/>
                      <w:lang w:val="en-US" w:eastAsia="zh-CN"/>
                    </w:rPr>
                    <w:t>溶于水、酒精、甘油、醚类及香精油中，水溶液呈弱酸性。硼酸在水中的溶解度随温度升高而增大，并能随水蒸气挥发。</w:t>
                  </w:r>
                </w:p>
              </w:tc>
            </w:tr>
            <w:tr w14:paraId="28AF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C99F44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22</w:t>
                  </w:r>
                </w:p>
              </w:tc>
              <w:tc>
                <w:tcPr>
                  <w:tcW w:w="988" w:type="dxa"/>
                  <w:vAlign w:val="center"/>
                </w:tcPr>
                <w:p w14:paraId="7529E84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二氯甲烷</w:t>
                  </w:r>
                </w:p>
              </w:tc>
              <w:tc>
                <w:tcPr>
                  <w:tcW w:w="805" w:type="dxa"/>
                  <w:vAlign w:val="center"/>
                </w:tcPr>
                <w:p w14:paraId="05B7F2A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HPLC(色谱纯）</w:t>
                  </w:r>
                </w:p>
              </w:tc>
              <w:tc>
                <w:tcPr>
                  <w:tcW w:w="695" w:type="dxa"/>
                  <w:vAlign w:val="center"/>
                </w:tcPr>
                <w:p w14:paraId="1A09B5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1L</w:t>
                  </w:r>
                </w:p>
              </w:tc>
              <w:tc>
                <w:tcPr>
                  <w:tcW w:w="711" w:type="dxa"/>
                  <w:vAlign w:val="center"/>
                </w:tcPr>
                <w:p w14:paraId="02E3EED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721" w:type="dxa"/>
                  <w:vAlign w:val="center"/>
                </w:tcPr>
                <w:p w14:paraId="613EBBFC">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859" w:type="dxa"/>
                  <w:vAlign w:val="center"/>
                </w:tcPr>
                <w:p w14:paraId="78FAAAF4">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是一种无色、具有类似醚的刺激性气味的有机化合物，化学式为CH2Cl2。在常温常压下，二氯甲烷是无色透明的液体，具有类似醚的气味和甜味。微溶于水，溶于乙醇和乙醚，它的熔点为-97℃左右，沸点为39.75℃（760 mmHg）。较低的沸点使得二氯甲烷在常温下容易挥发，这一特性在许多应用场景中需要考虑，例如在萃取过程中需要注意其挥发损失。</w:t>
                  </w:r>
                </w:p>
              </w:tc>
            </w:tr>
            <w:tr w14:paraId="0D544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91E73E5">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23</w:t>
                  </w:r>
                </w:p>
              </w:tc>
              <w:tc>
                <w:tcPr>
                  <w:tcW w:w="988" w:type="dxa"/>
                  <w:vAlign w:val="center"/>
                </w:tcPr>
                <w:p w14:paraId="10731C5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石油醚（bp30~60℃）</w:t>
                  </w:r>
                </w:p>
              </w:tc>
              <w:tc>
                <w:tcPr>
                  <w:tcW w:w="805" w:type="dxa"/>
                  <w:vAlign w:val="center"/>
                </w:tcPr>
                <w:p w14:paraId="7DD75B7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47FB69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11" w:type="dxa"/>
                  <w:vAlign w:val="center"/>
                </w:tcPr>
                <w:p w14:paraId="2E820B3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721" w:type="dxa"/>
                  <w:vAlign w:val="center"/>
                </w:tcPr>
                <w:p w14:paraId="11218988">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859" w:type="dxa"/>
                  <w:vAlign w:val="center"/>
                </w:tcPr>
                <w:p w14:paraId="10ABC61E">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石油醚，又称石油精，是一种轻质石油产品，是低相对分子质量的烃（主要是戊烷及己烷）的混合物，为无色透明液体，有煤油气味。密度约为0.63至0.66g/mL，表现出弱极性，常与强极性有机溶剂混合使用，不溶于水，溶于乙醇、苯、氯仿、油类等多数有机溶剂。主要用作溶剂和油脂处理，但易挥发和着火，其沸点范围在30至150℃之间，实验室柱层析时，常用石油醚（PE）和乙酸乙酯（EA）做洗脱剂。石油醚不等于汽油，同时，尽管名为“醚”，它实际上并不含有氧，与真正的醚类化合物有所不同</w:t>
                  </w:r>
                  <w:r>
                    <w:rPr>
                      <w:rFonts w:hint="eastAsia" w:ascii="Times New Roman" w:hAnsi="Times New Roman" w:eastAsia="宋体" w:cs="Times New Roman"/>
                      <w:color w:val="auto"/>
                      <w:sz w:val="18"/>
                      <w:szCs w:val="18"/>
                      <w:vertAlign w:val="baseline"/>
                      <w:lang w:val="en-US" w:eastAsia="zh-CN"/>
                    </w:rPr>
                    <w:t>。</w:t>
                  </w:r>
                </w:p>
              </w:tc>
            </w:tr>
            <w:tr w14:paraId="3694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8EC012B">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24</w:t>
                  </w:r>
                </w:p>
              </w:tc>
              <w:tc>
                <w:tcPr>
                  <w:tcW w:w="988" w:type="dxa"/>
                  <w:vAlign w:val="center"/>
                </w:tcPr>
                <w:p w14:paraId="077C177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硫酸汞</w:t>
                  </w:r>
                </w:p>
              </w:tc>
              <w:tc>
                <w:tcPr>
                  <w:tcW w:w="805" w:type="dxa"/>
                  <w:vAlign w:val="center"/>
                </w:tcPr>
                <w:p w14:paraId="47FE72A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695" w:type="dxa"/>
                  <w:vAlign w:val="center"/>
                </w:tcPr>
                <w:p w14:paraId="57902B8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100g</w:t>
                  </w:r>
                </w:p>
              </w:tc>
              <w:tc>
                <w:tcPr>
                  <w:tcW w:w="711" w:type="dxa"/>
                  <w:vAlign w:val="center"/>
                </w:tcPr>
                <w:p w14:paraId="7441939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721" w:type="dxa"/>
                  <w:vAlign w:val="center"/>
                </w:tcPr>
                <w:p w14:paraId="4C105395">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4593D42B">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硫酸汞，是一种</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"https://baike.baidu.com/item/%E6%97%A0%E6%9C%BA%E5%8C%96%E5%90%88%E7%89%A9/10716655?fromModule=lemma_inlink"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无机化合物</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"https://baike.baidu.com/item/%E5%8C%96%E5%AD%A6%E5%BC%8F/2609855?fromModule=lemma_inlink"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化学式</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为HgSO4，为白色</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"https://baike.baidu.com/item/%E7%BB%93%E6%99%B6%E6%80%A7/6830050?fromModule=lemma_inlink"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结晶性</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粉末，主要用于制备</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"https://baike.baidu.com/item/%E7%94%98%E6%B1%9E/11021558?fromModule=lemma_inlink"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甘汞</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"https://baike.baidu.com/item/%E5%8D%87%E6%B1%9E/1922334?fromModule=lemma_inlink"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升汞</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w:t>
                  </w:r>
                  <w:r>
                    <w:rPr>
                      <w:rFonts w:hint="default" w:ascii="Times New Roman" w:hAnsi="Times New Roman" w:eastAsia="宋体" w:cs="Times New Roman"/>
                      <w:color w:val="auto"/>
                      <w:sz w:val="18"/>
                      <w:szCs w:val="18"/>
                      <w:vertAlign w:val="baseline"/>
                      <w:lang w:val="en-US" w:eastAsia="zh-CN"/>
                    </w:rPr>
                    <w:fldChar w:fldCharType="begin"/>
                  </w:r>
                  <w:r>
                    <w:rPr>
                      <w:rFonts w:hint="default" w:ascii="Times New Roman" w:hAnsi="Times New Roman" w:eastAsia="宋体" w:cs="Times New Roman"/>
                      <w:color w:val="auto"/>
                      <w:sz w:val="18"/>
                      <w:szCs w:val="18"/>
                      <w:vertAlign w:val="baseline"/>
                      <w:lang w:val="en-US" w:eastAsia="zh-CN"/>
                    </w:rPr>
                    <w:instrText xml:space="preserve"> HYPERLINK "https://baike.baidu.com/item/%E8%93%84%E7%94%B5%E6%B1%A0%E7%BB%84/8216816?fromModule=lemma_inlink" \t "https://baike.baidu.com/item/_blank" </w:instrText>
                  </w:r>
                  <w:r>
                    <w:rPr>
                      <w:rFonts w:hint="default" w:ascii="Times New Roman" w:hAnsi="Times New Roman" w:eastAsia="宋体" w:cs="Times New Roman"/>
                      <w:color w:val="auto"/>
                      <w:sz w:val="18"/>
                      <w:szCs w:val="18"/>
                      <w:vertAlign w:val="baseline"/>
                      <w:lang w:val="en-US" w:eastAsia="zh-CN"/>
                    </w:rPr>
                    <w:fldChar w:fldCharType="separate"/>
                  </w:r>
                  <w:r>
                    <w:rPr>
                      <w:rFonts w:hint="default" w:ascii="Times New Roman" w:hAnsi="Times New Roman" w:eastAsia="宋体" w:cs="Times New Roman"/>
                      <w:color w:val="auto"/>
                      <w:sz w:val="18"/>
                      <w:szCs w:val="18"/>
                      <w:vertAlign w:val="baseline"/>
                      <w:lang w:val="en-US" w:eastAsia="zh-CN"/>
                    </w:rPr>
                    <w:t>蓄电池组</w:t>
                  </w:r>
                  <w:r>
                    <w:rPr>
                      <w:rFonts w:hint="default" w:ascii="Times New Roman" w:hAnsi="Times New Roman" w:eastAsia="宋体" w:cs="Times New Roman"/>
                      <w:color w:val="auto"/>
                      <w:sz w:val="18"/>
                      <w:szCs w:val="18"/>
                      <w:vertAlign w:val="baseline"/>
                      <w:lang w:val="en-US" w:eastAsia="zh-CN"/>
                    </w:rPr>
                    <w:fldChar w:fldCharType="end"/>
                  </w:r>
                  <w:r>
                    <w:rPr>
                      <w:rFonts w:hint="default" w:ascii="Times New Roman" w:hAnsi="Times New Roman" w:eastAsia="宋体" w:cs="Times New Roman"/>
                      <w:color w:val="auto"/>
                      <w:sz w:val="18"/>
                      <w:szCs w:val="18"/>
                      <w:vertAlign w:val="baseline"/>
                      <w:lang w:val="en-US" w:eastAsia="zh-CN"/>
                    </w:rPr>
                    <w:t>，也可用作有机合成的催化剂。</w:t>
                  </w:r>
                </w:p>
              </w:tc>
            </w:tr>
          </w:tbl>
          <w:p w14:paraId="441FC123">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表2-6  项目实验室危险化学品试剂用量和理化性质一览表</w:t>
            </w:r>
          </w:p>
          <w:tbl>
            <w:tblPr>
              <w:tblStyle w:val="21"/>
              <w:tblW w:w="8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0"/>
              <w:gridCol w:w="909"/>
              <w:gridCol w:w="805"/>
              <w:gridCol w:w="758"/>
              <w:gridCol w:w="742"/>
              <w:gridCol w:w="706"/>
              <w:gridCol w:w="3859"/>
            </w:tblGrid>
            <w:tr w14:paraId="2BF5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04FB7C9">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序号</w:t>
                  </w:r>
                </w:p>
              </w:tc>
              <w:tc>
                <w:tcPr>
                  <w:tcW w:w="909" w:type="dxa"/>
                  <w:vAlign w:val="center"/>
                </w:tcPr>
                <w:p w14:paraId="39BE7424">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名称</w:t>
                  </w:r>
                </w:p>
              </w:tc>
              <w:tc>
                <w:tcPr>
                  <w:tcW w:w="805" w:type="dxa"/>
                  <w:vAlign w:val="center"/>
                </w:tcPr>
                <w:p w14:paraId="34BA4D65">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纯度</w:t>
                  </w:r>
                </w:p>
              </w:tc>
              <w:tc>
                <w:tcPr>
                  <w:tcW w:w="758" w:type="dxa"/>
                  <w:vAlign w:val="center"/>
                </w:tcPr>
                <w:p w14:paraId="57D97D5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规格</w:t>
                  </w:r>
                </w:p>
              </w:tc>
              <w:tc>
                <w:tcPr>
                  <w:tcW w:w="742" w:type="dxa"/>
                  <w:vAlign w:val="center"/>
                </w:tcPr>
                <w:p w14:paraId="3B9066D8">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最大储存量</w:t>
                  </w:r>
                  <w:r>
                    <w:rPr>
                      <w:rFonts w:hint="eastAsia" w:cs="Times New Roman"/>
                      <w:b/>
                      <w:bCs/>
                      <w:color w:val="auto"/>
                      <w:sz w:val="18"/>
                      <w:szCs w:val="18"/>
                      <w:highlight w:val="none"/>
                      <w:vertAlign w:val="baseline"/>
                      <w:lang w:val="en-US" w:eastAsia="zh-CN"/>
                    </w:rPr>
                    <w:t>（瓶）</w:t>
                  </w:r>
                </w:p>
              </w:tc>
              <w:tc>
                <w:tcPr>
                  <w:tcW w:w="706" w:type="dxa"/>
                  <w:vAlign w:val="center"/>
                </w:tcPr>
                <w:p w14:paraId="2EAB3EFE">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年用量</w:t>
                  </w:r>
                  <w:r>
                    <w:rPr>
                      <w:rFonts w:hint="eastAsia" w:cs="Times New Roman"/>
                      <w:b/>
                      <w:bCs/>
                      <w:color w:val="auto"/>
                      <w:sz w:val="18"/>
                      <w:szCs w:val="18"/>
                      <w:highlight w:val="none"/>
                      <w:vertAlign w:val="baseline"/>
                      <w:lang w:val="en-US" w:eastAsia="zh-CN"/>
                    </w:rPr>
                    <w:t>（瓶）</w:t>
                  </w:r>
                </w:p>
              </w:tc>
              <w:tc>
                <w:tcPr>
                  <w:tcW w:w="3859" w:type="dxa"/>
                  <w:vAlign w:val="center"/>
                </w:tcPr>
                <w:p w14:paraId="436947F5">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理化性质</w:t>
                  </w:r>
                </w:p>
              </w:tc>
            </w:tr>
            <w:tr w14:paraId="2AFA0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2C5816A">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w:t>
                  </w:r>
                </w:p>
              </w:tc>
              <w:tc>
                <w:tcPr>
                  <w:tcW w:w="909" w:type="dxa"/>
                  <w:vAlign w:val="center"/>
                </w:tcPr>
                <w:p w14:paraId="65CE49E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丙酮</w:t>
                  </w:r>
                </w:p>
              </w:tc>
              <w:tc>
                <w:tcPr>
                  <w:tcW w:w="805" w:type="dxa"/>
                  <w:vAlign w:val="center"/>
                </w:tcPr>
                <w:p w14:paraId="2F302C4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758" w:type="dxa"/>
                  <w:vAlign w:val="center"/>
                </w:tcPr>
                <w:p w14:paraId="16C4D7F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42" w:type="dxa"/>
                  <w:vAlign w:val="center"/>
                </w:tcPr>
                <w:p w14:paraId="0EF42F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706" w:type="dxa"/>
                  <w:vAlign w:val="center"/>
                </w:tcPr>
                <w:p w14:paraId="36124934">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859" w:type="dxa"/>
                  <w:vMerge w:val="restart"/>
                  <w:vAlign w:val="center"/>
                </w:tcPr>
                <w:p w14:paraId="08E771FD">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丙酮（acetone），又名二甲基酮，是一种有机物，分子式为C</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6</w:t>
                  </w:r>
                  <w:r>
                    <w:rPr>
                      <w:rFonts w:hint="default" w:ascii="Times New Roman" w:hAnsi="Times New Roman" w:eastAsia="宋体" w:cs="Times New Roman"/>
                      <w:color w:val="auto"/>
                      <w:sz w:val="18"/>
                      <w:szCs w:val="18"/>
                      <w:vertAlign w:val="baseline"/>
                      <w:lang w:val="en-US" w:eastAsia="zh-CN"/>
                    </w:rPr>
                    <w:t>O，为最简单的饱和酮。常温常压下为一种有薄荷气味的无色可燃液体。易溶于水和甲醇、乙醇、乙醚、氯仿、吡啶等有机溶剂。易燃、化学性质较活泼，是一种重要的挥发性有机溶剂。</w:t>
                  </w:r>
                </w:p>
              </w:tc>
            </w:tr>
            <w:tr w14:paraId="0A75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32AE4C79">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w:t>
                  </w:r>
                </w:p>
              </w:tc>
              <w:tc>
                <w:tcPr>
                  <w:tcW w:w="909" w:type="dxa"/>
                  <w:vAlign w:val="center"/>
                </w:tcPr>
                <w:p w14:paraId="647ED5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丙酮</w:t>
                  </w:r>
                </w:p>
              </w:tc>
              <w:tc>
                <w:tcPr>
                  <w:tcW w:w="805" w:type="dxa"/>
                  <w:vAlign w:val="center"/>
                </w:tcPr>
                <w:p w14:paraId="5468A5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HPLC(色谱纯）</w:t>
                  </w:r>
                </w:p>
              </w:tc>
              <w:tc>
                <w:tcPr>
                  <w:tcW w:w="758" w:type="dxa"/>
                  <w:vAlign w:val="center"/>
                </w:tcPr>
                <w:p w14:paraId="3F0287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42" w:type="dxa"/>
                  <w:vAlign w:val="center"/>
                </w:tcPr>
                <w:p w14:paraId="5993DC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706" w:type="dxa"/>
                  <w:vAlign w:val="center"/>
                </w:tcPr>
                <w:p w14:paraId="342A513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3859" w:type="dxa"/>
                  <w:vMerge w:val="continue"/>
                  <w:vAlign w:val="center"/>
                </w:tcPr>
                <w:p w14:paraId="7BF417C2">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p>
              </w:tc>
            </w:tr>
            <w:tr w14:paraId="14854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1153F536">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3</w:t>
                  </w:r>
                </w:p>
              </w:tc>
              <w:tc>
                <w:tcPr>
                  <w:tcW w:w="909" w:type="dxa"/>
                  <w:vAlign w:val="center"/>
                </w:tcPr>
                <w:p w14:paraId="5C1781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高锰酸钾</w:t>
                  </w:r>
                </w:p>
              </w:tc>
              <w:tc>
                <w:tcPr>
                  <w:tcW w:w="805" w:type="dxa"/>
                  <w:vAlign w:val="center"/>
                </w:tcPr>
                <w:p w14:paraId="5658300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758" w:type="dxa"/>
                  <w:vAlign w:val="center"/>
                </w:tcPr>
                <w:p w14:paraId="74941B6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42" w:type="dxa"/>
                  <w:vAlign w:val="center"/>
                </w:tcPr>
                <w:p w14:paraId="35356B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706" w:type="dxa"/>
                  <w:vAlign w:val="center"/>
                </w:tcPr>
                <w:p w14:paraId="24E02AF1">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0EFC15A9">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高锰酸钾（Potassium permanganate）是一种强氧化剂，化学式为KMnO4，为黑紫色结晶，带蓝色的金属光泽，无臭，与某些有机物或易氧化物接触，易发生爆炸，溶于水、碱液，微溶于甲醇、丙酮、硫酸。在化学品生产中，广泛用作氧化剂。</w:t>
                  </w:r>
                </w:p>
              </w:tc>
            </w:tr>
            <w:tr w14:paraId="037D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43FBE5CB">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909" w:type="dxa"/>
                  <w:vAlign w:val="center"/>
                </w:tcPr>
                <w:p w14:paraId="53939CA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甲胺</w:t>
                  </w:r>
                </w:p>
              </w:tc>
              <w:tc>
                <w:tcPr>
                  <w:tcW w:w="805" w:type="dxa"/>
                  <w:vAlign w:val="center"/>
                </w:tcPr>
                <w:p w14:paraId="5E59B1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758" w:type="dxa"/>
                  <w:vAlign w:val="center"/>
                </w:tcPr>
                <w:p w14:paraId="596A54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42" w:type="dxa"/>
                  <w:vAlign w:val="center"/>
                </w:tcPr>
                <w:p w14:paraId="50F78FD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2</w:t>
                  </w:r>
                </w:p>
              </w:tc>
              <w:tc>
                <w:tcPr>
                  <w:tcW w:w="706" w:type="dxa"/>
                  <w:vAlign w:val="center"/>
                </w:tcPr>
                <w:p w14:paraId="35B23190">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6970B4B2">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是一种有机化合物，化学式为CH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NH</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，常温常压下为无色气体，比重为空气的1.07倍，易燃易爆、有强烈刺激性氨样臭味。</w:t>
                  </w:r>
                </w:p>
              </w:tc>
            </w:tr>
            <w:tr w14:paraId="1EAE8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7EB06465">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w:t>
                  </w:r>
                </w:p>
              </w:tc>
              <w:tc>
                <w:tcPr>
                  <w:tcW w:w="909" w:type="dxa"/>
                  <w:vAlign w:val="center"/>
                </w:tcPr>
                <w:p w14:paraId="69A6CE0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硫酸</w:t>
                  </w:r>
                </w:p>
              </w:tc>
              <w:tc>
                <w:tcPr>
                  <w:tcW w:w="805" w:type="dxa"/>
                  <w:vAlign w:val="center"/>
                </w:tcPr>
                <w:p w14:paraId="50E981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758" w:type="dxa"/>
                  <w:vAlign w:val="center"/>
                </w:tcPr>
                <w:p w14:paraId="310CBA4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42" w:type="dxa"/>
                  <w:vAlign w:val="center"/>
                </w:tcPr>
                <w:p w14:paraId="25B17B17">
                  <w:pPr>
                    <w:keepNext w:val="0"/>
                    <w:keepLines w:val="0"/>
                    <w:pageBreakBefore w:val="0"/>
                    <w:kinsoku/>
                    <w:wordWrap/>
                    <w:overflowPunct/>
                    <w:topLinePunct w:val="0"/>
                    <w:autoSpaceDE/>
                    <w:autoSpaceDN/>
                    <w:bidi w:val="0"/>
                    <w:adjustRightInd/>
                    <w:snapToGrid/>
                    <w:spacing w:line="360" w:lineRule="exact"/>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706" w:type="dxa"/>
                  <w:vAlign w:val="center"/>
                </w:tcPr>
                <w:p w14:paraId="6F4FD268">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38</w:t>
                  </w:r>
                </w:p>
              </w:tc>
              <w:tc>
                <w:tcPr>
                  <w:tcW w:w="3859" w:type="dxa"/>
                  <w:vAlign w:val="center"/>
                </w:tcPr>
                <w:p w14:paraId="62BBAE41">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硫酸是一种无机化合物，化学式是H2SO4，是硫的最重要的含氧酸。纯净的硫酸为无色油状液体，10.36℃时结晶。通常使用的是它的各种不同浓度的水溶液，沸点338℃，相对密度1.84 [1]。硫酸是一种无机强酸，能和绝大多数金属发生反应。高浓度的硫酸有强烈吸水性，可用作脱水剂，与水混合时，亦会放出大量热能。其具有强烈的腐蚀性和氧化性，故需谨慎使用。常用作化学试剂，在有机合成中可用作脱水剂和磺化剂。</w:t>
                  </w:r>
                </w:p>
              </w:tc>
            </w:tr>
            <w:tr w14:paraId="018A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3A9406D0">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6</w:t>
                  </w:r>
                </w:p>
              </w:tc>
              <w:tc>
                <w:tcPr>
                  <w:tcW w:w="909" w:type="dxa"/>
                  <w:vAlign w:val="center"/>
                </w:tcPr>
                <w:p w14:paraId="5207F95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硼氢化钠</w:t>
                  </w:r>
                </w:p>
              </w:tc>
              <w:tc>
                <w:tcPr>
                  <w:tcW w:w="805" w:type="dxa"/>
                  <w:vAlign w:val="center"/>
                </w:tcPr>
                <w:p w14:paraId="41D34E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758" w:type="dxa"/>
                  <w:vAlign w:val="center"/>
                </w:tcPr>
                <w:p w14:paraId="568939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250g</w:t>
                  </w:r>
                </w:p>
              </w:tc>
              <w:tc>
                <w:tcPr>
                  <w:tcW w:w="742" w:type="dxa"/>
                  <w:vAlign w:val="center"/>
                </w:tcPr>
                <w:p w14:paraId="45BAA572">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706" w:type="dxa"/>
                  <w:vAlign w:val="center"/>
                </w:tcPr>
                <w:p w14:paraId="35C54BC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7D7E1F54">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硼氢化钠（Sodium borohydride），是一种无机化合物，化学式为NaBH</w:t>
                  </w:r>
                  <w:r>
                    <w:rPr>
                      <w:rFonts w:hint="default" w:ascii="Times New Roman" w:hAnsi="Times New Roman" w:eastAsia="宋体" w:cs="Times New Roman"/>
                      <w:color w:val="auto"/>
                      <w:sz w:val="18"/>
                      <w:szCs w:val="18"/>
                      <w:vertAlign w:val="subscript"/>
                      <w:lang w:val="en-US" w:eastAsia="zh-CN"/>
                    </w:rPr>
                    <w:t>4</w:t>
                  </w:r>
                  <w:r>
                    <w:rPr>
                      <w:rFonts w:hint="default" w:ascii="Times New Roman" w:hAnsi="Times New Roman" w:eastAsia="宋体" w:cs="Times New Roman"/>
                      <w:color w:val="auto"/>
                      <w:sz w:val="18"/>
                      <w:szCs w:val="18"/>
                      <w:vertAlign w:val="baseline"/>
                      <w:lang w:val="en-US" w:eastAsia="zh-CN"/>
                    </w:rPr>
                    <w:t>，白色至灰白色结晶性粉末，吸湿性强，其碱性溶液呈棕黄色，是最常用的还原剂之一。溶于水、液氨、胺类，易溶于甲醇，微溶于乙醇、四氢呋喃，不溶于乙醚、苯、烃。在干空气中稳定，在湿空气中分解，500℃加热下也分解。通常情况下，硼氢化钠无法还原酯，酰胺，羧酸及腈类化合物，但当酯的羰基α位有杂原子存在时例外，可以将酯还原。通常用作醛类、酮类、酰氯类的还原剂，塑料工业的发泡剂，造纸漂白剂，以及医药工业制造双氢链霉素的氢化剂。</w:t>
                  </w:r>
                </w:p>
              </w:tc>
            </w:tr>
            <w:tr w14:paraId="6984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E6C0658">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7</w:t>
                  </w:r>
                </w:p>
              </w:tc>
              <w:tc>
                <w:tcPr>
                  <w:tcW w:w="909" w:type="dxa"/>
                  <w:vAlign w:val="center"/>
                </w:tcPr>
                <w:p w14:paraId="1D83814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三氯甲烷（氯仿）</w:t>
                  </w:r>
                </w:p>
              </w:tc>
              <w:tc>
                <w:tcPr>
                  <w:tcW w:w="805" w:type="dxa"/>
                  <w:vAlign w:val="center"/>
                </w:tcPr>
                <w:p w14:paraId="35BB676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HPLC(色谱纯）</w:t>
                  </w:r>
                </w:p>
              </w:tc>
              <w:tc>
                <w:tcPr>
                  <w:tcW w:w="758" w:type="dxa"/>
                  <w:vAlign w:val="center"/>
                </w:tcPr>
                <w:p w14:paraId="7DA324E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42" w:type="dxa"/>
                  <w:vAlign w:val="center"/>
                </w:tcPr>
                <w:p w14:paraId="51B4E323">
                  <w:pPr>
                    <w:keepNext w:val="0"/>
                    <w:keepLines w:val="0"/>
                    <w:pageBreakBefore w:val="0"/>
                    <w:kinsoku/>
                    <w:wordWrap/>
                    <w:overflowPunct/>
                    <w:topLinePunct w:val="0"/>
                    <w:autoSpaceDE/>
                    <w:autoSpaceDN/>
                    <w:bidi w:val="0"/>
                    <w:adjustRightInd/>
                    <w:snapToGrid/>
                    <w:spacing w:line="360" w:lineRule="exact"/>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706" w:type="dxa"/>
                  <w:vAlign w:val="center"/>
                </w:tcPr>
                <w:p w14:paraId="40A903F1">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16</w:t>
                  </w:r>
                </w:p>
              </w:tc>
              <w:tc>
                <w:tcPr>
                  <w:tcW w:w="3859" w:type="dxa"/>
                  <w:vAlign w:val="center"/>
                </w:tcPr>
                <w:p w14:paraId="730B4A70">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三氯甲烷（Trichloromethane），化学式为CHCl₃，是一种有机化合物，也被称为氯仿，为无色透明液体，有特殊气味，味甜，折射率高，不可燃烧，密度大于水，易挥发。它是甲烷分子中的三个氢原子被氯原子取代的产物。对光敏感，遇光照会与空气中的氧作用，逐渐分解而生成剧毒的光气（碳酰氯）和氯化氢。储存时可加入1%～2%的乙醇作稳定剂 [1]。能与乙醇、苯、乙醚、石油醚、四氯化碳、二硫化碳和油类等混溶。该化合物因为具有独特的物理化学性质，广泛应用于工业、医学等不同领域。</w:t>
                  </w:r>
                </w:p>
              </w:tc>
            </w:tr>
            <w:tr w14:paraId="3E0B4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6EAE21B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8</w:t>
                  </w:r>
                </w:p>
              </w:tc>
              <w:tc>
                <w:tcPr>
                  <w:tcW w:w="909" w:type="dxa"/>
                  <w:vAlign w:val="center"/>
                </w:tcPr>
                <w:p w14:paraId="5E674A6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硝酸</w:t>
                  </w:r>
                </w:p>
              </w:tc>
              <w:tc>
                <w:tcPr>
                  <w:tcW w:w="805" w:type="dxa"/>
                  <w:vAlign w:val="center"/>
                </w:tcPr>
                <w:p w14:paraId="36D65D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758" w:type="dxa"/>
                  <w:vAlign w:val="center"/>
                </w:tcPr>
                <w:p w14:paraId="3E3574D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1L</w:t>
                  </w:r>
                </w:p>
              </w:tc>
              <w:tc>
                <w:tcPr>
                  <w:tcW w:w="742" w:type="dxa"/>
                  <w:vAlign w:val="center"/>
                </w:tcPr>
                <w:p w14:paraId="1F10673E">
                  <w:pPr>
                    <w:keepNext w:val="0"/>
                    <w:keepLines w:val="0"/>
                    <w:pageBreakBefore w:val="0"/>
                    <w:kinsoku/>
                    <w:wordWrap/>
                    <w:overflowPunct/>
                    <w:topLinePunct w:val="0"/>
                    <w:autoSpaceDE/>
                    <w:autoSpaceDN/>
                    <w:bidi w:val="0"/>
                    <w:adjustRightInd/>
                    <w:snapToGrid/>
                    <w:spacing w:line="360" w:lineRule="exact"/>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706" w:type="dxa"/>
                  <w:vAlign w:val="center"/>
                </w:tcPr>
                <w:p w14:paraId="246599B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p>
              </w:tc>
              <w:tc>
                <w:tcPr>
                  <w:tcW w:w="3859" w:type="dxa"/>
                  <w:vMerge w:val="restart"/>
                  <w:vAlign w:val="center"/>
                </w:tcPr>
                <w:p w14:paraId="08823CA7">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硝酸，是一种具有强氧化性、腐蚀性的一元无机强酸。是六大无机强酸之一，也是一种重要的化工原料，化学式为HNO</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分子量为63.01，其水溶液俗称硝镪水或氨氮水，纯品为无色透明发烟液体，有酸味。在工业上可用于制化肥、农药、炸药、染料等；在有机化学中，浓硝酸与浓硫酸的混合液是重要的硝化试剂。硝酸的酸酐是五氧化二氮（N</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O</w:t>
                  </w:r>
                  <w:r>
                    <w:rPr>
                      <w:rFonts w:hint="default" w:ascii="Times New Roman" w:hAnsi="Times New Roman" w:eastAsia="宋体" w:cs="Times New Roman"/>
                      <w:color w:val="auto"/>
                      <w:sz w:val="18"/>
                      <w:szCs w:val="18"/>
                      <w:vertAlign w:val="subscript"/>
                      <w:lang w:val="en-US" w:eastAsia="zh-CN"/>
                    </w:rPr>
                    <w:t>5</w:t>
                  </w:r>
                  <w:r>
                    <w:rPr>
                      <w:rFonts w:hint="default" w:ascii="Times New Roman" w:hAnsi="Times New Roman" w:eastAsia="宋体" w:cs="Times New Roman"/>
                      <w:color w:val="auto"/>
                      <w:sz w:val="18"/>
                      <w:szCs w:val="18"/>
                      <w:vertAlign w:val="baseline"/>
                      <w:lang w:val="en-US" w:eastAsia="zh-CN"/>
                    </w:rPr>
                    <w:t>）。</w:t>
                  </w:r>
                </w:p>
              </w:tc>
            </w:tr>
            <w:tr w14:paraId="367A2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FA21475">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9</w:t>
                  </w:r>
                </w:p>
              </w:tc>
              <w:tc>
                <w:tcPr>
                  <w:tcW w:w="909" w:type="dxa"/>
                  <w:vAlign w:val="center"/>
                </w:tcPr>
                <w:p w14:paraId="506383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硝酸</w:t>
                  </w:r>
                </w:p>
              </w:tc>
              <w:tc>
                <w:tcPr>
                  <w:tcW w:w="805" w:type="dxa"/>
                  <w:vAlign w:val="center"/>
                </w:tcPr>
                <w:p w14:paraId="75F5E7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GR（优级纯）</w:t>
                  </w:r>
                </w:p>
              </w:tc>
              <w:tc>
                <w:tcPr>
                  <w:tcW w:w="758" w:type="dxa"/>
                  <w:vAlign w:val="center"/>
                </w:tcPr>
                <w:p w14:paraId="7A08E8D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1L</w:t>
                  </w:r>
                </w:p>
              </w:tc>
              <w:tc>
                <w:tcPr>
                  <w:tcW w:w="742" w:type="dxa"/>
                  <w:vAlign w:val="center"/>
                </w:tcPr>
                <w:p w14:paraId="1D370D5A">
                  <w:pPr>
                    <w:keepNext w:val="0"/>
                    <w:keepLines w:val="0"/>
                    <w:pageBreakBefore w:val="0"/>
                    <w:kinsoku/>
                    <w:wordWrap/>
                    <w:overflowPunct/>
                    <w:topLinePunct w:val="0"/>
                    <w:autoSpaceDE/>
                    <w:autoSpaceDN/>
                    <w:bidi w:val="0"/>
                    <w:adjustRightInd/>
                    <w:snapToGrid/>
                    <w:spacing w:line="360" w:lineRule="exact"/>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706" w:type="dxa"/>
                  <w:vAlign w:val="center"/>
                </w:tcPr>
                <w:p w14:paraId="6918606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Merge w:val="continue"/>
                  <w:vAlign w:val="center"/>
                </w:tcPr>
                <w:p w14:paraId="43701A3B">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p>
              </w:tc>
            </w:tr>
            <w:tr w14:paraId="3918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63E17164">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10</w:t>
                  </w:r>
                </w:p>
              </w:tc>
              <w:tc>
                <w:tcPr>
                  <w:tcW w:w="909" w:type="dxa"/>
                  <w:vAlign w:val="center"/>
                </w:tcPr>
                <w:p w14:paraId="40AF164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盐酸</w:t>
                  </w:r>
                </w:p>
              </w:tc>
              <w:tc>
                <w:tcPr>
                  <w:tcW w:w="805" w:type="dxa"/>
                  <w:vAlign w:val="center"/>
                </w:tcPr>
                <w:p w14:paraId="477886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GR（优级纯）</w:t>
                  </w:r>
                </w:p>
              </w:tc>
              <w:tc>
                <w:tcPr>
                  <w:tcW w:w="758" w:type="dxa"/>
                  <w:vAlign w:val="center"/>
                </w:tcPr>
                <w:p w14:paraId="5960D6E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42" w:type="dxa"/>
                  <w:vAlign w:val="center"/>
                </w:tcPr>
                <w:p w14:paraId="08E48DAE">
                  <w:pPr>
                    <w:keepNext w:val="0"/>
                    <w:keepLines w:val="0"/>
                    <w:pageBreakBefore w:val="0"/>
                    <w:kinsoku/>
                    <w:wordWrap/>
                    <w:overflowPunct/>
                    <w:topLinePunct w:val="0"/>
                    <w:autoSpaceDE/>
                    <w:autoSpaceDN/>
                    <w:bidi w:val="0"/>
                    <w:adjustRightInd/>
                    <w:snapToGrid/>
                    <w:spacing w:line="360" w:lineRule="exact"/>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706" w:type="dxa"/>
                  <w:vAlign w:val="center"/>
                </w:tcPr>
                <w:p w14:paraId="540137E1">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w:t>
                  </w:r>
                </w:p>
              </w:tc>
              <w:tc>
                <w:tcPr>
                  <w:tcW w:w="3859" w:type="dxa"/>
                  <w:vMerge w:val="restart"/>
                  <w:vAlign w:val="center"/>
                </w:tcPr>
                <w:p w14:paraId="2D96A6E8">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盐酸（hydrochloric acid）是氯化氢（HCl）的水溶液 ，工业用途广泛。盐酸为无色透明的液体，有强烈的刺鼻气味，具有较高的腐蚀性。浓盐酸（质量分数约为37%）具有极强的挥发性，因此盛有浓盐酸的容器打开后氯化氢气体会挥发，与空气中的水蒸气结合产生盐酸小液滴，使瓶口上方出现酸雾。盐酸可用于酸洗钢材 ，也是大规模制备许多无机、有机化合物所需的化学试剂。</w:t>
                  </w:r>
                </w:p>
              </w:tc>
            </w:tr>
            <w:tr w14:paraId="5E55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8D49F3C">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11</w:t>
                  </w:r>
                </w:p>
              </w:tc>
              <w:tc>
                <w:tcPr>
                  <w:tcW w:w="909" w:type="dxa"/>
                  <w:vAlign w:val="center"/>
                </w:tcPr>
                <w:p w14:paraId="36EFD70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盐酸</w:t>
                  </w:r>
                </w:p>
              </w:tc>
              <w:tc>
                <w:tcPr>
                  <w:tcW w:w="805" w:type="dxa"/>
                  <w:vAlign w:val="center"/>
                </w:tcPr>
                <w:p w14:paraId="431AF80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758" w:type="dxa"/>
                  <w:vAlign w:val="center"/>
                </w:tcPr>
                <w:p w14:paraId="1E3D51E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500mL</w:t>
                  </w:r>
                </w:p>
              </w:tc>
              <w:tc>
                <w:tcPr>
                  <w:tcW w:w="742" w:type="dxa"/>
                  <w:vAlign w:val="center"/>
                </w:tcPr>
                <w:p w14:paraId="5672A1A6">
                  <w:pPr>
                    <w:keepNext w:val="0"/>
                    <w:keepLines w:val="0"/>
                    <w:pageBreakBefore w:val="0"/>
                    <w:kinsoku/>
                    <w:wordWrap/>
                    <w:overflowPunct/>
                    <w:topLinePunct w:val="0"/>
                    <w:autoSpaceDE/>
                    <w:autoSpaceDN/>
                    <w:bidi w:val="0"/>
                    <w:adjustRightInd/>
                    <w:snapToGrid/>
                    <w:spacing w:line="360" w:lineRule="exact"/>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706" w:type="dxa"/>
                  <w:vAlign w:val="center"/>
                </w:tcPr>
                <w:p w14:paraId="34A9177D">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w:t>
                  </w:r>
                </w:p>
              </w:tc>
              <w:tc>
                <w:tcPr>
                  <w:tcW w:w="3859" w:type="dxa"/>
                  <w:vMerge w:val="continue"/>
                  <w:vAlign w:val="center"/>
                </w:tcPr>
                <w:p w14:paraId="0D729844">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p>
              </w:tc>
            </w:tr>
            <w:tr w14:paraId="7B42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A288815">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12</w:t>
                  </w:r>
                </w:p>
              </w:tc>
              <w:tc>
                <w:tcPr>
                  <w:tcW w:w="909" w:type="dxa"/>
                  <w:vAlign w:val="center"/>
                </w:tcPr>
                <w:p w14:paraId="5956516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乙二胺</w:t>
                  </w:r>
                </w:p>
              </w:tc>
              <w:tc>
                <w:tcPr>
                  <w:tcW w:w="805" w:type="dxa"/>
                  <w:vAlign w:val="center"/>
                </w:tcPr>
                <w:p w14:paraId="66CDC0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758" w:type="dxa"/>
                  <w:vAlign w:val="center"/>
                </w:tcPr>
                <w:p w14:paraId="48CDA5D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42" w:type="dxa"/>
                  <w:vAlign w:val="center"/>
                </w:tcPr>
                <w:p w14:paraId="0BC135A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i w:val="0"/>
                      <w:iCs w:val="0"/>
                      <w:color w:val="auto"/>
                      <w:kern w:val="0"/>
                      <w:sz w:val="18"/>
                      <w:szCs w:val="18"/>
                      <w:u w:val="none"/>
                      <w:lang w:val="en-US" w:eastAsia="zh-CN" w:bidi="ar"/>
                    </w:rPr>
                    <w:t>2</w:t>
                  </w:r>
                </w:p>
              </w:tc>
              <w:tc>
                <w:tcPr>
                  <w:tcW w:w="706" w:type="dxa"/>
                  <w:vAlign w:val="center"/>
                </w:tcPr>
                <w:p w14:paraId="390690DB">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2EF4218C">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乙二胺（Ethylenediamine），简称EDA，化学式为C</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H</w:t>
                  </w:r>
                  <w:r>
                    <w:rPr>
                      <w:rFonts w:hint="default" w:ascii="Times New Roman" w:hAnsi="Times New Roman" w:eastAsia="宋体" w:cs="Times New Roman"/>
                      <w:color w:val="auto"/>
                      <w:sz w:val="18"/>
                      <w:szCs w:val="18"/>
                      <w:vertAlign w:val="subscript"/>
                      <w:lang w:val="en-US" w:eastAsia="zh-CN"/>
                    </w:rPr>
                    <w:t>8</w:t>
                  </w:r>
                  <w:r>
                    <w:rPr>
                      <w:rFonts w:hint="default" w:ascii="Times New Roman" w:hAnsi="Times New Roman" w:eastAsia="宋体" w:cs="Times New Roman"/>
                      <w:color w:val="auto"/>
                      <w:sz w:val="18"/>
                      <w:szCs w:val="18"/>
                      <w:vertAlign w:val="baseline"/>
                      <w:lang w:val="en-US" w:eastAsia="zh-CN"/>
                    </w:rPr>
                    <w:t>N</w:t>
                  </w:r>
                  <w:r>
                    <w:rPr>
                      <w:rFonts w:hint="default" w:ascii="Times New Roman" w:hAnsi="Times New Roman" w:eastAsia="宋体" w:cs="Times New Roman"/>
                      <w:color w:val="auto"/>
                      <w:sz w:val="18"/>
                      <w:szCs w:val="18"/>
                      <w:vertAlign w:val="subscript"/>
                      <w:lang w:val="en-US" w:eastAsia="zh-CN"/>
                    </w:rPr>
                    <w:t>2</w:t>
                  </w:r>
                  <w:r>
                    <w:rPr>
                      <w:rFonts w:hint="default" w:ascii="Times New Roman" w:hAnsi="Times New Roman" w:eastAsia="宋体" w:cs="Times New Roman"/>
                      <w:color w:val="auto"/>
                      <w:sz w:val="18"/>
                      <w:szCs w:val="18"/>
                      <w:vertAlign w:val="baseline"/>
                      <w:lang w:val="en-US" w:eastAsia="zh-CN"/>
                    </w:rPr>
                    <w:t>，是一种典型的脂肪二胺，为无色或微黄色油状或水样透明液体，在空气中产生烟雾，有类似氨的气味，有吸湿性。分子量60.10，熔点8.5℃，自燃点385℃。属于碱性物质，易溶于水、乙醇，微溶于乙醚 ，除非绝对干燥，否则不溶于苯，可与水、正丁醇、甲苯形成共沸混合物。遇热、明火、氧化剂易燃，燃烧危险性中等。可高压或过滤灭菌。</w:t>
                  </w:r>
                </w:p>
              </w:tc>
            </w:tr>
            <w:tr w14:paraId="7E95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5E9302BA">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13</w:t>
                  </w:r>
                </w:p>
              </w:tc>
              <w:tc>
                <w:tcPr>
                  <w:tcW w:w="909" w:type="dxa"/>
                  <w:vAlign w:val="center"/>
                </w:tcPr>
                <w:p w14:paraId="62428C7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重铬酸钾</w:t>
                  </w:r>
                </w:p>
              </w:tc>
              <w:tc>
                <w:tcPr>
                  <w:tcW w:w="805" w:type="dxa"/>
                  <w:vAlign w:val="center"/>
                </w:tcPr>
                <w:p w14:paraId="3CDD6EA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AR（分析纯），易制爆化学品</w:t>
                  </w:r>
                </w:p>
              </w:tc>
              <w:tc>
                <w:tcPr>
                  <w:tcW w:w="758" w:type="dxa"/>
                  <w:vAlign w:val="center"/>
                </w:tcPr>
                <w:p w14:paraId="249DB40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42" w:type="dxa"/>
                  <w:vAlign w:val="center"/>
                </w:tcPr>
                <w:p w14:paraId="3557B0A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706" w:type="dxa"/>
                  <w:vAlign w:val="center"/>
                </w:tcPr>
                <w:p w14:paraId="198C28B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w:t>
                  </w:r>
                </w:p>
              </w:tc>
              <w:tc>
                <w:tcPr>
                  <w:tcW w:w="3859" w:type="dxa"/>
                  <w:vAlign w:val="center"/>
                </w:tcPr>
                <w:p w14:paraId="0BD8BE6E">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重铬酸钾，是一种无机化合物，化学式为K2Cr2O7，橙红色三斜晶系板状结晶体。有苦味及金属性味。密度2.676g/cm3。熔点398℃。稍溶于冷水，水溶液呈酸性，易溶于热水，不溶于乙醇。有剧毒。是强氧化剂，在实验室和工业中都有很广泛的应用。</w:t>
                  </w:r>
                </w:p>
              </w:tc>
            </w:tr>
            <w:tr w14:paraId="74AC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 w:type="dxa"/>
                  <w:vAlign w:val="center"/>
                </w:tcPr>
                <w:p w14:paraId="2DD3FDF6">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14</w:t>
                  </w:r>
                </w:p>
              </w:tc>
              <w:tc>
                <w:tcPr>
                  <w:tcW w:w="909" w:type="dxa"/>
                  <w:vAlign w:val="center"/>
                </w:tcPr>
                <w:p w14:paraId="57B7BAD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氰化钾</w:t>
                  </w:r>
                </w:p>
              </w:tc>
              <w:tc>
                <w:tcPr>
                  <w:tcW w:w="805" w:type="dxa"/>
                  <w:vAlign w:val="center"/>
                </w:tcPr>
                <w:p w14:paraId="42596A3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AR（分析纯）</w:t>
                  </w:r>
                </w:p>
              </w:tc>
              <w:tc>
                <w:tcPr>
                  <w:tcW w:w="758" w:type="dxa"/>
                  <w:vAlign w:val="center"/>
                </w:tcPr>
                <w:p w14:paraId="3B3D553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500g</w:t>
                  </w:r>
                </w:p>
              </w:tc>
              <w:tc>
                <w:tcPr>
                  <w:tcW w:w="742" w:type="dxa"/>
                  <w:vAlign w:val="center"/>
                </w:tcPr>
                <w:p w14:paraId="4FD4DF9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i w:val="0"/>
                      <w:iCs w:val="0"/>
                      <w:color w:val="auto"/>
                      <w:kern w:val="0"/>
                      <w:sz w:val="18"/>
                      <w:szCs w:val="18"/>
                      <w:u w:val="none"/>
                      <w:lang w:val="en-US" w:eastAsia="zh-CN" w:bidi="ar"/>
                    </w:rPr>
                    <w:t>2</w:t>
                  </w:r>
                </w:p>
              </w:tc>
              <w:tc>
                <w:tcPr>
                  <w:tcW w:w="706" w:type="dxa"/>
                  <w:vAlign w:val="center"/>
                </w:tcPr>
                <w:p w14:paraId="2DFEA96C">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3859" w:type="dxa"/>
                  <w:vAlign w:val="center"/>
                </w:tcPr>
                <w:p w14:paraId="0ED28A1F">
                  <w:pPr>
                    <w:pStyle w:val="8"/>
                    <w:keepNext w:val="0"/>
                    <w:keepLines w:val="0"/>
                    <w:pageBreakBefore w:val="0"/>
                    <w:widowControl w:val="0"/>
                    <w:kinsoku/>
                    <w:wordWrap/>
                    <w:overflowPunct/>
                    <w:topLinePunct w:val="0"/>
                    <w:autoSpaceDE/>
                    <w:autoSpaceDN/>
                    <w:bidi w:val="0"/>
                    <w:adjustRightInd/>
                    <w:snapToGrid/>
                    <w:spacing w:line="360" w:lineRule="exact"/>
                    <w:jc w:val="left"/>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氰化钾（Potassium Cyanide，化学式：KCN）是一种无机化合物，属于碱金属氰化物，是一种白色结晶性固体，易溶于水，并能形成氰化氢气体。它具有高度的电离性，可在水中迅速解离为氰根离子（CN</w:t>
                  </w:r>
                  <w:r>
                    <w:rPr>
                      <w:rFonts w:hint="default" w:ascii="Times New Roman" w:hAnsi="Times New Roman" w:eastAsia="宋体" w:cs="Times New Roman"/>
                      <w:color w:val="auto"/>
                      <w:sz w:val="18"/>
                      <w:szCs w:val="18"/>
                      <w:vertAlign w:val="superscript"/>
                      <w:lang w:val="en-US" w:eastAsia="zh-CN"/>
                    </w:rPr>
                    <w:t>-</w:t>
                  </w:r>
                  <w:r>
                    <w:rPr>
                      <w:rFonts w:hint="default" w:ascii="Times New Roman" w:hAnsi="Times New Roman" w:eastAsia="宋体" w:cs="Times New Roman"/>
                      <w:color w:val="auto"/>
                      <w:sz w:val="18"/>
                      <w:szCs w:val="18"/>
                      <w:lang w:val="en-US" w:eastAsia="zh-CN"/>
                    </w:rPr>
                    <w:t>）和钾离子（K</w:t>
                  </w:r>
                  <w:r>
                    <w:rPr>
                      <w:rFonts w:hint="default" w:ascii="Times New Roman" w:hAnsi="Times New Roman" w:eastAsia="宋体" w:cs="Times New Roman"/>
                      <w:color w:val="auto"/>
                      <w:sz w:val="18"/>
                      <w:szCs w:val="18"/>
                      <w:vertAlign w:val="superscript"/>
                      <w:lang w:val="en-US" w:eastAsia="zh-CN"/>
                    </w:rPr>
                    <w:t>+</w:t>
                  </w:r>
                  <w:r>
                    <w:rPr>
                      <w:rFonts w:hint="default" w:ascii="Times New Roman" w:hAnsi="Times New Roman" w:eastAsia="宋体" w:cs="Times New Roman"/>
                      <w:color w:val="auto"/>
                      <w:sz w:val="18"/>
                      <w:szCs w:val="18"/>
                      <w:lang w:val="en-US" w:eastAsia="zh-CN"/>
                    </w:rPr>
                    <w:t>）。氰根离子是一种强Lewis碱，可与许多金属形成配合物，展示出较强的配位能力。这种化合物的主要用途之一是用于金属冶炼和提取中，尤其是在黄金和白金的提取过程中。由于氰化钾对生物体具有极强毒性，因此也被广泛用作农药的成分。由于氰化钾的高毒性，它也成为一种有争议的化学品。其在工业和实验室中的使用受到严格监管，需要遵循严格的安全操作规程。</w:t>
                  </w:r>
                </w:p>
              </w:tc>
            </w:tr>
          </w:tbl>
          <w:p w14:paraId="03EC64F0">
            <w:pPr>
              <w:pStyle w:val="8"/>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lang w:val="en-US" w:eastAsia="zh-CN"/>
              </w:rPr>
              <w:t>本项目标准试剂均使用采用GBW/GBW(E)国家市场监管总局批注的一级/二级有证标准物质</w:t>
            </w:r>
            <w:r>
              <w:rPr>
                <w:rFonts w:hint="eastAsia" w:ascii="Times New Roman" w:hAnsi="Times New Roman" w:eastAsia="宋体" w:cs="Times New Roman"/>
                <w:b w:val="0"/>
                <w:bCs w:val="0"/>
                <w:color w:val="auto"/>
                <w:lang w:val="en-US" w:eastAsia="zh-CN"/>
              </w:rPr>
              <w:t>。</w:t>
            </w:r>
          </w:p>
          <w:p w14:paraId="0D420DC7">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lang w:val="en-US" w:eastAsia="zh-CN"/>
              </w:rPr>
              <w:t>表2-7  项目标准试剂及其用量一览表</w:t>
            </w:r>
          </w:p>
          <w:tbl>
            <w:tblPr>
              <w:tblStyle w:val="21"/>
              <w:tblW w:w="7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2979"/>
              <w:gridCol w:w="1200"/>
              <w:gridCol w:w="1092"/>
              <w:gridCol w:w="990"/>
              <w:gridCol w:w="1001"/>
            </w:tblGrid>
            <w:tr w14:paraId="1D91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tcPr>
                <w:p w14:paraId="139640F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序号</w:t>
                  </w:r>
                </w:p>
              </w:tc>
              <w:tc>
                <w:tcPr>
                  <w:tcW w:w="2979" w:type="dxa"/>
                  <w:vAlign w:val="center"/>
                </w:tcPr>
                <w:p w14:paraId="4FF00EE3">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名称</w:t>
                  </w:r>
                </w:p>
              </w:tc>
              <w:tc>
                <w:tcPr>
                  <w:tcW w:w="1200" w:type="dxa"/>
                  <w:vAlign w:val="center"/>
                </w:tcPr>
                <w:p w14:paraId="4500438A">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纯度</w:t>
                  </w:r>
                </w:p>
              </w:tc>
              <w:tc>
                <w:tcPr>
                  <w:tcW w:w="1092" w:type="dxa"/>
                  <w:vAlign w:val="center"/>
                </w:tcPr>
                <w:p w14:paraId="7EBDB79F">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规格</w:t>
                  </w:r>
                </w:p>
                <w:p w14:paraId="11581722">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eastAsia" w:cs="Times New Roman"/>
                      <w:b/>
                      <w:bCs/>
                      <w:color w:val="auto"/>
                      <w:sz w:val="18"/>
                      <w:szCs w:val="18"/>
                      <w:highlight w:val="none"/>
                      <w:vertAlign w:val="baseline"/>
                      <w:lang w:val="en-US" w:eastAsia="zh-CN"/>
                    </w:rPr>
                    <w:t>（mL/瓶）</w:t>
                  </w:r>
                </w:p>
              </w:tc>
              <w:tc>
                <w:tcPr>
                  <w:tcW w:w="990" w:type="dxa"/>
                  <w:vAlign w:val="center"/>
                </w:tcPr>
                <w:p w14:paraId="61E2D110">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最大储存量</w:t>
                  </w:r>
                  <w:r>
                    <w:rPr>
                      <w:rFonts w:hint="eastAsia" w:cs="Times New Roman"/>
                      <w:b/>
                      <w:bCs/>
                      <w:color w:val="auto"/>
                      <w:sz w:val="18"/>
                      <w:szCs w:val="18"/>
                      <w:highlight w:val="none"/>
                      <w:vertAlign w:val="baseline"/>
                      <w:lang w:val="en-US" w:eastAsia="zh-CN"/>
                    </w:rPr>
                    <w:t>（瓶）</w:t>
                  </w:r>
                </w:p>
              </w:tc>
              <w:tc>
                <w:tcPr>
                  <w:tcW w:w="1001" w:type="dxa"/>
                  <w:vAlign w:val="center"/>
                </w:tcPr>
                <w:p w14:paraId="09D41CD5">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年用量</w:t>
                  </w:r>
                  <w:r>
                    <w:rPr>
                      <w:rFonts w:hint="eastAsia" w:cs="Times New Roman"/>
                      <w:b/>
                      <w:bCs/>
                      <w:color w:val="auto"/>
                      <w:sz w:val="18"/>
                      <w:szCs w:val="18"/>
                      <w:highlight w:val="none"/>
                      <w:vertAlign w:val="baseline"/>
                      <w:lang w:val="en-US" w:eastAsia="zh-CN"/>
                    </w:rPr>
                    <w:t>（瓶）</w:t>
                  </w:r>
                </w:p>
              </w:tc>
            </w:tr>
            <w:tr w14:paraId="7EBF9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1A4AE5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w:t>
                  </w:r>
                </w:p>
              </w:tc>
              <w:tc>
                <w:tcPr>
                  <w:tcW w:w="2979" w:type="dxa"/>
                  <w:vAlign w:val="center"/>
                </w:tcPr>
                <w:p w14:paraId="2A952E3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1,2-二氯苯-D4</w:t>
                  </w:r>
                </w:p>
              </w:tc>
              <w:tc>
                <w:tcPr>
                  <w:tcW w:w="1200" w:type="dxa"/>
                  <w:vAlign w:val="center"/>
                </w:tcPr>
                <w:p w14:paraId="26F0660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525381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783829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4B4504EE">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5DC3F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1F3161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2979" w:type="dxa"/>
                  <w:vAlign w:val="center"/>
                </w:tcPr>
                <w:p w14:paraId="43AC003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标准品/甲醇中萘-d8/苊-d10/菲-d10/䓛-d12混标</w:t>
                  </w:r>
                </w:p>
              </w:tc>
              <w:tc>
                <w:tcPr>
                  <w:tcW w:w="1200" w:type="dxa"/>
                  <w:vAlign w:val="center"/>
                </w:tcPr>
                <w:p w14:paraId="2489522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C5A3F3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A2EC3A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6B049B9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662E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77945E3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w:t>
                  </w:r>
                </w:p>
              </w:tc>
              <w:tc>
                <w:tcPr>
                  <w:tcW w:w="2979" w:type="dxa"/>
                  <w:vAlign w:val="center"/>
                </w:tcPr>
                <w:p w14:paraId="1AFD1FC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水中砷成分分析标准物质</w:t>
                  </w:r>
                </w:p>
              </w:tc>
              <w:tc>
                <w:tcPr>
                  <w:tcW w:w="1200" w:type="dxa"/>
                  <w:vAlign w:val="center"/>
                </w:tcPr>
                <w:p w14:paraId="2523B23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7ED36B1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677372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61A618E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76DE8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DBDDBB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w:t>
                  </w:r>
                </w:p>
              </w:tc>
              <w:tc>
                <w:tcPr>
                  <w:tcW w:w="2979" w:type="dxa"/>
                  <w:vAlign w:val="center"/>
                </w:tcPr>
                <w:p w14:paraId="1524FB8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水中六价铬成分分析标准物质</w:t>
                  </w:r>
                </w:p>
              </w:tc>
              <w:tc>
                <w:tcPr>
                  <w:tcW w:w="1200" w:type="dxa"/>
                  <w:vAlign w:val="center"/>
                </w:tcPr>
                <w:p w14:paraId="70D0202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390225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C8F0B4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22C4003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3D64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C51836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w:t>
                  </w:r>
                </w:p>
              </w:tc>
              <w:tc>
                <w:tcPr>
                  <w:tcW w:w="2979" w:type="dxa"/>
                  <w:vAlign w:val="center"/>
                </w:tcPr>
                <w:p w14:paraId="34AA47D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水中汞标准物质</w:t>
                  </w:r>
                </w:p>
              </w:tc>
              <w:tc>
                <w:tcPr>
                  <w:tcW w:w="1200" w:type="dxa"/>
                  <w:vAlign w:val="center"/>
                </w:tcPr>
                <w:p w14:paraId="770D143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C07DB7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40E8BD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5F83DBC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3512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62E24A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w:t>
                  </w:r>
                </w:p>
              </w:tc>
              <w:tc>
                <w:tcPr>
                  <w:tcW w:w="2979" w:type="dxa"/>
                  <w:vAlign w:val="center"/>
                </w:tcPr>
                <w:p w14:paraId="4DB5C8C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水中镉成分分析标准物质</w:t>
                  </w:r>
                </w:p>
              </w:tc>
              <w:tc>
                <w:tcPr>
                  <w:tcW w:w="1200" w:type="dxa"/>
                  <w:vAlign w:val="center"/>
                </w:tcPr>
                <w:p w14:paraId="047562F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7DDBE7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CB5678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2C26E68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6F8B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349FAE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7</w:t>
                  </w:r>
                </w:p>
              </w:tc>
              <w:tc>
                <w:tcPr>
                  <w:tcW w:w="2979" w:type="dxa"/>
                  <w:vAlign w:val="center"/>
                </w:tcPr>
                <w:p w14:paraId="26603DB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水中铅成分分析标准物质</w:t>
                  </w:r>
                </w:p>
              </w:tc>
              <w:tc>
                <w:tcPr>
                  <w:tcW w:w="1200" w:type="dxa"/>
                  <w:vAlign w:val="center"/>
                </w:tcPr>
                <w:p w14:paraId="492930A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053B19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0343F4B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12F3A55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075A1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9D4CFB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8</w:t>
                  </w:r>
                </w:p>
              </w:tc>
              <w:tc>
                <w:tcPr>
                  <w:tcW w:w="2979" w:type="dxa"/>
                  <w:vAlign w:val="center"/>
                </w:tcPr>
                <w:p w14:paraId="751EDA1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水中锑成分分析标准物质</w:t>
                  </w:r>
                </w:p>
              </w:tc>
              <w:tc>
                <w:tcPr>
                  <w:tcW w:w="1200" w:type="dxa"/>
                  <w:vAlign w:val="center"/>
                </w:tcPr>
                <w:p w14:paraId="13EE9E4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7D72AF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FD77DC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5968076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0D41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250BC9D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9</w:t>
                  </w:r>
                </w:p>
              </w:tc>
              <w:tc>
                <w:tcPr>
                  <w:tcW w:w="2979" w:type="dxa"/>
                  <w:vAlign w:val="center"/>
                </w:tcPr>
                <w:p w14:paraId="19DAC9E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水中钡成份分析标准物质</w:t>
                  </w:r>
                </w:p>
              </w:tc>
              <w:tc>
                <w:tcPr>
                  <w:tcW w:w="1200" w:type="dxa"/>
                  <w:vAlign w:val="center"/>
                </w:tcPr>
                <w:p w14:paraId="271945C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E10051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7E6D36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438B8DF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5DAD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39D9F1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10</w:t>
                  </w:r>
                </w:p>
              </w:tc>
              <w:tc>
                <w:tcPr>
                  <w:tcW w:w="2979" w:type="dxa"/>
                  <w:vAlign w:val="center"/>
                </w:tcPr>
                <w:p w14:paraId="5E0721B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水中铍成分分析标准物质</w:t>
                  </w:r>
                </w:p>
              </w:tc>
              <w:tc>
                <w:tcPr>
                  <w:tcW w:w="1200" w:type="dxa"/>
                  <w:vAlign w:val="center"/>
                </w:tcPr>
                <w:p w14:paraId="76803F3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69FF82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035EA55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6737C3D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76C6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1CB163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11</w:t>
                  </w:r>
                </w:p>
              </w:tc>
              <w:tc>
                <w:tcPr>
                  <w:tcW w:w="2979" w:type="dxa"/>
                  <w:vAlign w:val="center"/>
                </w:tcPr>
                <w:p w14:paraId="381590E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水中硼成分溶液标准物质</w:t>
                  </w:r>
                </w:p>
              </w:tc>
              <w:tc>
                <w:tcPr>
                  <w:tcW w:w="1200" w:type="dxa"/>
                  <w:vAlign w:val="center"/>
                </w:tcPr>
                <w:p w14:paraId="5F55F01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17841F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12A7B07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18B0096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67714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2C3A2E0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12</w:t>
                  </w:r>
                </w:p>
              </w:tc>
              <w:tc>
                <w:tcPr>
                  <w:tcW w:w="2979" w:type="dxa"/>
                  <w:vAlign w:val="center"/>
                </w:tcPr>
                <w:p w14:paraId="3FBC901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水中钼成分溶液标准物质</w:t>
                  </w:r>
                </w:p>
              </w:tc>
              <w:tc>
                <w:tcPr>
                  <w:tcW w:w="1200" w:type="dxa"/>
                  <w:vAlign w:val="center"/>
                </w:tcPr>
                <w:p w14:paraId="3F4A283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A30D9D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238276C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357180C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3B30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83C042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13</w:t>
                  </w:r>
                </w:p>
              </w:tc>
              <w:tc>
                <w:tcPr>
                  <w:tcW w:w="2979" w:type="dxa"/>
                  <w:vAlign w:val="center"/>
                </w:tcPr>
                <w:p w14:paraId="1C94189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水中镍成分溶液标准物质</w:t>
                  </w:r>
                </w:p>
              </w:tc>
              <w:tc>
                <w:tcPr>
                  <w:tcW w:w="1200" w:type="dxa"/>
                  <w:vAlign w:val="center"/>
                </w:tcPr>
                <w:p w14:paraId="02E00F4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E6EBF3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35D26C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6BCCAF8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24EA0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4091D0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14</w:t>
                  </w:r>
                </w:p>
              </w:tc>
              <w:tc>
                <w:tcPr>
                  <w:tcW w:w="2979" w:type="dxa"/>
                  <w:vAlign w:val="center"/>
                </w:tcPr>
                <w:p w14:paraId="24C98D7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水中银成分溶液标准物质</w:t>
                  </w:r>
                </w:p>
              </w:tc>
              <w:tc>
                <w:tcPr>
                  <w:tcW w:w="1200" w:type="dxa"/>
                  <w:vAlign w:val="center"/>
                </w:tcPr>
                <w:p w14:paraId="7716B3F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7C5AD4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A05584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tcPr>
                <w:p w14:paraId="4D2FB98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66A5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9CE8A6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15</w:t>
                  </w:r>
                </w:p>
              </w:tc>
              <w:tc>
                <w:tcPr>
                  <w:tcW w:w="2979" w:type="dxa"/>
                  <w:vAlign w:val="center"/>
                </w:tcPr>
                <w:p w14:paraId="5A01CC6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水中铊成分溶液标准物质</w:t>
                  </w:r>
                </w:p>
              </w:tc>
              <w:tc>
                <w:tcPr>
                  <w:tcW w:w="1200" w:type="dxa"/>
                  <w:vAlign w:val="center"/>
                </w:tcPr>
                <w:p w14:paraId="0FC9A8E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36865A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E270A1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AA4626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56A7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4C33A0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16</w:t>
                  </w:r>
                </w:p>
              </w:tc>
              <w:tc>
                <w:tcPr>
                  <w:tcW w:w="2979" w:type="dxa"/>
                  <w:vAlign w:val="center"/>
                </w:tcPr>
                <w:p w14:paraId="2247F39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水中硒成分溶液标准物质</w:t>
                  </w:r>
                </w:p>
              </w:tc>
              <w:tc>
                <w:tcPr>
                  <w:tcW w:w="1200" w:type="dxa"/>
                  <w:vAlign w:val="center"/>
                </w:tcPr>
                <w:p w14:paraId="7E297DF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79EDFF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C9BB4B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4015E25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2448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41317D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17</w:t>
                  </w:r>
                </w:p>
              </w:tc>
              <w:tc>
                <w:tcPr>
                  <w:tcW w:w="2979" w:type="dxa"/>
                  <w:vAlign w:val="center"/>
                </w:tcPr>
                <w:p w14:paraId="19B8E55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水中铝成分溶液标准物质</w:t>
                  </w:r>
                </w:p>
              </w:tc>
              <w:tc>
                <w:tcPr>
                  <w:tcW w:w="1200" w:type="dxa"/>
                  <w:vAlign w:val="center"/>
                </w:tcPr>
                <w:p w14:paraId="7372B09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0382EF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D19643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5BFFEB9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77D9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824098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18</w:t>
                  </w:r>
                </w:p>
              </w:tc>
              <w:tc>
                <w:tcPr>
                  <w:tcW w:w="2979" w:type="dxa"/>
                  <w:vAlign w:val="center"/>
                </w:tcPr>
                <w:p w14:paraId="754FBD2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水中铁成分溶液标准物质</w:t>
                  </w:r>
                </w:p>
              </w:tc>
              <w:tc>
                <w:tcPr>
                  <w:tcW w:w="1200" w:type="dxa"/>
                  <w:vAlign w:val="center"/>
                </w:tcPr>
                <w:p w14:paraId="432E88F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9645E7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285E912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9E9BF9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4A53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680E39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19</w:t>
                  </w:r>
                </w:p>
              </w:tc>
              <w:tc>
                <w:tcPr>
                  <w:tcW w:w="2979" w:type="dxa"/>
                  <w:vAlign w:val="center"/>
                </w:tcPr>
                <w:p w14:paraId="091E626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水中锰成分溶液标准物质</w:t>
                  </w:r>
                </w:p>
              </w:tc>
              <w:tc>
                <w:tcPr>
                  <w:tcW w:w="1200" w:type="dxa"/>
                  <w:vAlign w:val="center"/>
                </w:tcPr>
                <w:p w14:paraId="67F1A87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7F2FF57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04101CE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2CEB43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0EF8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04E9F59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w:t>
                  </w:r>
                </w:p>
              </w:tc>
              <w:tc>
                <w:tcPr>
                  <w:tcW w:w="2979" w:type="dxa"/>
                  <w:vAlign w:val="center"/>
                </w:tcPr>
                <w:p w14:paraId="03E51A3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水中铜成分溶液标准物质</w:t>
                  </w:r>
                </w:p>
              </w:tc>
              <w:tc>
                <w:tcPr>
                  <w:tcW w:w="1200" w:type="dxa"/>
                  <w:vAlign w:val="center"/>
                </w:tcPr>
                <w:p w14:paraId="50D57AF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D8F568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63286F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35E26C3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55DA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61B0A1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21</w:t>
                  </w:r>
                </w:p>
              </w:tc>
              <w:tc>
                <w:tcPr>
                  <w:tcW w:w="2979" w:type="dxa"/>
                  <w:vAlign w:val="center"/>
                </w:tcPr>
                <w:p w14:paraId="1EA2254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水中锌成分溶液标准物质</w:t>
                  </w:r>
                </w:p>
              </w:tc>
              <w:tc>
                <w:tcPr>
                  <w:tcW w:w="1200" w:type="dxa"/>
                  <w:vAlign w:val="center"/>
                </w:tcPr>
                <w:p w14:paraId="6615DF5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3FFDAD8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1860DFD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25F175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32DF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258A2A2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22</w:t>
                  </w:r>
                </w:p>
              </w:tc>
              <w:tc>
                <w:tcPr>
                  <w:tcW w:w="2979" w:type="dxa"/>
                  <w:vAlign w:val="center"/>
                </w:tcPr>
                <w:p w14:paraId="0ECCCB4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水中钠成分分析标准物质</w:t>
                  </w:r>
                </w:p>
              </w:tc>
              <w:tc>
                <w:tcPr>
                  <w:tcW w:w="1200" w:type="dxa"/>
                  <w:vAlign w:val="center"/>
                </w:tcPr>
                <w:p w14:paraId="3F97472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DCABD3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2E4AC1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252CF09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6F9B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2C76216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23</w:t>
                  </w:r>
                </w:p>
              </w:tc>
              <w:tc>
                <w:tcPr>
                  <w:tcW w:w="2979" w:type="dxa"/>
                  <w:vAlign w:val="center"/>
                </w:tcPr>
                <w:p w14:paraId="2BB0ED3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氰化钾（剧毒试剂）</w:t>
                  </w:r>
                </w:p>
              </w:tc>
              <w:tc>
                <w:tcPr>
                  <w:tcW w:w="1200" w:type="dxa"/>
                  <w:vAlign w:val="center"/>
                </w:tcPr>
                <w:p w14:paraId="6F97A80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51E033F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041713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5B938C6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5DF3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21FCFA5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24</w:t>
                  </w:r>
                </w:p>
              </w:tc>
              <w:tc>
                <w:tcPr>
                  <w:tcW w:w="2979" w:type="dxa"/>
                  <w:vAlign w:val="center"/>
                </w:tcPr>
                <w:p w14:paraId="017E87C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二氯乙酸溶液标准物质</w:t>
                  </w:r>
                </w:p>
              </w:tc>
              <w:tc>
                <w:tcPr>
                  <w:tcW w:w="1200" w:type="dxa"/>
                  <w:vAlign w:val="center"/>
                </w:tcPr>
                <w:p w14:paraId="67B80A6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139DD9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32C222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31F5929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20E26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01F1F0A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25</w:t>
                  </w:r>
                </w:p>
              </w:tc>
              <w:tc>
                <w:tcPr>
                  <w:tcW w:w="2979" w:type="dxa"/>
                  <w:vAlign w:val="center"/>
                </w:tcPr>
                <w:p w14:paraId="62DFC8E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三氯乙酸溶液标准物质</w:t>
                  </w:r>
                </w:p>
              </w:tc>
              <w:tc>
                <w:tcPr>
                  <w:tcW w:w="1200" w:type="dxa"/>
                  <w:vAlign w:val="center"/>
                </w:tcPr>
                <w:p w14:paraId="037755E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021835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0746B15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6B19EC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6D21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8FFDE1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26</w:t>
                  </w:r>
                </w:p>
              </w:tc>
              <w:tc>
                <w:tcPr>
                  <w:tcW w:w="2979" w:type="dxa"/>
                  <w:vAlign w:val="center"/>
                </w:tcPr>
                <w:p w14:paraId="6F48146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溴酸钠</w:t>
                  </w:r>
                </w:p>
              </w:tc>
              <w:tc>
                <w:tcPr>
                  <w:tcW w:w="1200" w:type="dxa"/>
                  <w:vAlign w:val="center"/>
                </w:tcPr>
                <w:p w14:paraId="31EDF6B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951CFE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1138578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2AF0EC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15FD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F6A10B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27</w:t>
                  </w:r>
                </w:p>
              </w:tc>
              <w:tc>
                <w:tcPr>
                  <w:tcW w:w="2979" w:type="dxa"/>
                  <w:vAlign w:val="center"/>
                </w:tcPr>
                <w:p w14:paraId="270CE44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亚氯酸盐</w:t>
                  </w:r>
                </w:p>
              </w:tc>
              <w:tc>
                <w:tcPr>
                  <w:tcW w:w="1200" w:type="dxa"/>
                  <w:vAlign w:val="center"/>
                </w:tcPr>
                <w:p w14:paraId="3069A7C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796AB7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68C71BD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817D94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6373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FE77E2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28</w:t>
                  </w:r>
                </w:p>
              </w:tc>
              <w:tc>
                <w:tcPr>
                  <w:tcW w:w="2979" w:type="dxa"/>
                  <w:vAlign w:val="center"/>
                </w:tcPr>
                <w:p w14:paraId="34B9053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氯酸钠</w:t>
                  </w:r>
                </w:p>
              </w:tc>
              <w:tc>
                <w:tcPr>
                  <w:tcW w:w="1200" w:type="dxa"/>
                  <w:vAlign w:val="center"/>
                </w:tcPr>
                <w:p w14:paraId="6618B8A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32DE691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0CB465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D9297A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3FCD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75CBDB9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29</w:t>
                  </w:r>
                </w:p>
              </w:tc>
              <w:tc>
                <w:tcPr>
                  <w:tcW w:w="2979" w:type="dxa"/>
                  <w:vAlign w:val="center"/>
                </w:tcPr>
                <w:p w14:paraId="777D795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水中高氯酸根溶液标准物质</w:t>
                  </w:r>
                </w:p>
              </w:tc>
              <w:tc>
                <w:tcPr>
                  <w:tcW w:w="1200" w:type="dxa"/>
                  <w:vAlign w:val="center"/>
                </w:tcPr>
                <w:p w14:paraId="09B202F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1227FE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0D279DB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3947E4D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355E4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786D5E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30</w:t>
                  </w:r>
                </w:p>
              </w:tc>
              <w:tc>
                <w:tcPr>
                  <w:tcW w:w="2979" w:type="dxa"/>
                  <w:vAlign w:val="center"/>
                </w:tcPr>
                <w:p w14:paraId="083025F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二氯甲烷</w:t>
                  </w:r>
                </w:p>
              </w:tc>
              <w:tc>
                <w:tcPr>
                  <w:tcW w:w="1200" w:type="dxa"/>
                  <w:vAlign w:val="center"/>
                </w:tcPr>
                <w:p w14:paraId="0A947F2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33D9E9F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0DCCE1E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671AC5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3D54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B0CA60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31</w:t>
                  </w:r>
                </w:p>
              </w:tc>
              <w:tc>
                <w:tcPr>
                  <w:tcW w:w="2979" w:type="dxa"/>
                  <w:vAlign w:val="center"/>
                </w:tcPr>
                <w:p w14:paraId="13C9C77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1,2-二氯乙烷</w:t>
                  </w:r>
                </w:p>
              </w:tc>
              <w:tc>
                <w:tcPr>
                  <w:tcW w:w="1200" w:type="dxa"/>
                  <w:vAlign w:val="center"/>
                </w:tcPr>
                <w:p w14:paraId="77A67AD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16F269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07A7AB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D29ACB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712E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45850B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32</w:t>
                  </w:r>
                </w:p>
              </w:tc>
              <w:tc>
                <w:tcPr>
                  <w:tcW w:w="2979" w:type="dxa"/>
                  <w:vAlign w:val="center"/>
                </w:tcPr>
                <w:p w14:paraId="4102606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四氯化碳</w:t>
                  </w:r>
                </w:p>
              </w:tc>
              <w:tc>
                <w:tcPr>
                  <w:tcW w:w="1200" w:type="dxa"/>
                  <w:vAlign w:val="center"/>
                </w:tcPr>
                <w:p w14:paraId="3CD6574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6BAEF7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689CD71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0F9E8A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30BAE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02D1B8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33</w:t>
                  </w:r>
                </w:p>
              </w:tc>
              <w:tc>
                <w:tcPr>
                  <w:tcW w:w="2979" w:type="dxa"/>
                  <w:vAlign w:val="center"/>
                </w:tcPr>
                <w:p w14:paraId="62A8BDE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氯乙烯</w:t>
                  </w:r>
                </w:p>
              </w:tc>
              <w:tc>
                <w:tcPr>
                  <w:tcW w:w="1200" w:type="dxa"/>
                  <w:vAlign w:val="center"/>
                </w:tcPr>
                <w:p w14:paraId="1ECC93D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D90BA3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AD6464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21274B4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1D2B6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19B7E8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34</w:t>
                  </w:r>
                </w:p>
              </w:tc>
              <w:tc>
                <w:tcPr>
                  <w:tcW w:w="2979" w:type="dxa"/>
                  <w:vAlign w:val="center"/>
                </w:tcPr>
                <w:p w14:paraId="63C31D8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1,1-二氯乙烯</w:t>
                  </w:r>
                </w:p>
              </w:tc>
              <w:tc>
                <w:tcPr>
                  <w:tcW w:w="1200" w:type="dxa"/>
                  <w:vAlign w:val="center"/>
                </w:tcPr>
                <w:p w14:paraId="16E910B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54C660F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0F3F326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3CB31B9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04161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EC5BB0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35</w:t>
                  </w:r>
                </w:p>
              </w:tc>
              <w:tc>
                <w:tcPr>
                  <w:tcW w:w="2979" w:type="dxa"/>
                  <w:vAlign w:val="center"/>
                </w:tcPr>
                <w:p w14:paraId="657A7F5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顺-1,2-二氯乙烯</w:t>
                  </w:r>
                </w:p>
              </w:tc>
              <w:tc>
                <w:tcPr>
                  <w:tcW w:w="1200" w:type="dxa"/>
                  <w:vAlign w:val="center"/>
                </w:tcPr>
                <w:p w14:paraId="7D60191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9BA86E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D68D07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0B12BC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1E60B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746F138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36</w:t>
                  </w:r>
                </w:p>
              </w:tc>
              <w:tc>
                <w:tcPr>
                  <w:tcW w:w="2979" w:type="dxa"/>
                  <w:vAlign w:val="center"/>
                </w:tcPr>
                <w:p w14:paraId="7205973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反-1,2-二氯乙烯</w:t>
                  </w:r>
                </w:p>
              </w:tc>
              <w:tc>
                <w:tcPr>
                  <w:tcW w:w="1200" w:type="dxa"/>
                  <w:vAlign w:val="center"/>
                </w:tcPr>
                <w:p w14:paraId="2CAB603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A3DCD3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C46C68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7B4EEFB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6D314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ACA861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37</w:t>
                  </w:r>
                </w:p>
              </w:tc>
              <w:tc>
                <w:tcPr>
                  <w:tcW w:w="2979" w:type="dxa"/>
                  <w:vAlign w:val="center"/>
                </w:tcPr>
                <w:p w14:paraId="7096A0E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三氯乙烯</w:t>
                  </w:r>
                </w:p>
              </w:tc>
              <w:tc>
                <w:tcPr>
                  <w:tcW w:w="1200" w:type="dxa"/>
                  <w:vAlign w:val="center"/>
                </w:tcPr>
                <w:p w14:paraId="731EEB7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39B194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19B1F01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3F29B34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122E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E3C04C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38</w:t>
                  </w:r>
                </w:p>
              </w:tc>
              <w:tc>
                <w:tcPr>
                  <w:tcW w:w="2979" w:type="dxa"/>
                  <w:vAlign w:val="center"/>
                </w:tcPr>
                <w:p w14:paraId="554A062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四氯乙烯</w:t>
                  </w:r>
                </w:p>
              </w:tc>
              <w:tc>
                <w:tcPr>
                  <w:tcW w:w="1200" w:type="dxa"/>
                  <w:vAlign w:val="center"/>
                </w:tcPr>
                <w:p w14:paraId="5A26B18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96C8E1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25C3B42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7FD934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12F58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FB1E04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39</w:t>
                  </w:r>
                </w:p>
              </w:tc>
              <w:tc>
                <w:tcPr>
                  <w:tcW w:w="2979" w:type="dxa"/>
                  <w:vAlign w:val="center"/>
                </w:tcPr>
                <w:p w14:paraId="42E9CA3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六氯丁二烯</w:t>
                  </w:r>
                </w:p>
              </w:tc>
              <w:tc>
                <w:tcPr>
                  <w:tcW w:w="1200" w:type="dxa"/>
                  <w:vAlign w:val="center"/>
                </w:tcPr>
                <w:p w14:paraId="10DF177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F39FA5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617AA09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7F108E4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60452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4EE5EA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40</w:t>
                  </w:r>
                </w:p>
              </w:tc>
              <w:tc>
                <w:tcPr>
                  <w:tcW w:w="2979" w:type="dxa"/>
                  <w:vAlign w:val="center"/>
                </w:tcPr>
                <w:p w14:paraId="4C56711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苯</w:t>
                  </w:r>
                </w:p>
              </w:tc>
              <w:tc>
                <w:tcPr>
                  <w:tcW w:w="1200" w:type="dxa"/>
                  <w:vAlign w:val="center"/>
                </w:tcPr>
                <w:p w14:paraId="3240898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8D915E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0AD87C1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E6D3D4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1C007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E74A07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41</w:t>
                  </w:r>
                </w:p>
              </w:tc>
              <w:tc>
                <w:tcPr>
                  <w:tcW w:w="2979" w:type="dxa"/>
                  <w:vAlign w:val="center"/>
                </w:tcPr>
                <w:p w14:paraId="5E281CF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甲苯</w:t>
                  </w:r>
                </w:p>
              </w:tc>
              <w:tc>
                <w:tcPr>
                  <w:tcW w:w="1200" w:type="dxa"/>
                  <w:vAlign w:val="center"/>
                </w:tcPr>
                <w:p w14:paraId="65A14D5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3436DF2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2FF83B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4689806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0A58B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574FA3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42</w:t>
                  </w:r>
                </w:p>
              </w:tc>
              <w:tc>
                <w:tcPr>
                  <w:tcW w:w="2979" w:type="dxa"/>
                  <w:vAlign w:val="center"/>
                </w:tcPr>
                <w:p w14:paraId="21A27D8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邻-二甲苯</w:t>
                  </w:r>
                </w:p>
              </w:tc>
              <w:tc>
                <w:tcPr>
                  <w:tcW w:w="1200" w:type="dxa"/>
                  <w:vAlign w:val="center"/>
                </w:tcPr>
                <w:p w14:paraId="70F4040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5681016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0C73FD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5825B5E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43E20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05BCC46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43</w:t>
                  </w:r>
                </w:p>
              </w:tc>
              <w:tc>
                <w:tcPr>
                  <w:tcW w:w="2979" w:type="dxa"/>
                  <w:vAlign w:val="center"/>
                </w:tcPr>
                <w:p w14:paraId="5AAEBB6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间-二甲苯</w:t>
                  </w:r>
                </w:p>
              </w:tc>
              <w:tc>
                <w:tcPr>
                  <w:tcW w:w="1200" w:type="dxa"/>
                  <w:vAlign w:val="center"/>
                </w:tcPr>
                <w:p w14:paraId="4E6638B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93D388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03374FE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096528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1740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4523F1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44</w:t>
                  </w:r>
                </w:p>
              </w:tc>
              <w:tc>
                <w:tcPr>
                  <w:tcW w:w="2979" w:type="dxa"/>
                  <w:vAlign w:val="center"/>
                </w:tcPr>
                <w:p w14:paraId="1F20DE1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对-二甲苯</w:t>
                  </w:r>
                </w:p>
              </w:tc>
              <w:tc>
                <w:tcPr>
                  <w:tcW w:w="1200" w:type="dxa"/>
                  <w:vAlign w:val="center"/>
                </w:tcPr>
                <w:p w14:paraId="4E9E5A1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EB2136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63EC6F9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C44957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014F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7F9C562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45</w:t>
                  </w:r>
                </w:p>
              </w:tc>
              <w:tc>
                <w:tcPr>
                  <w:tcW w:w="2979" w:type="dxa"/>
                  <w:vAlign w:val="center"/>
                </w:tcPr>
                <w:p w14:paraId="20F5BC3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苯乙烯</w:t>
                  </w:r>
                </w:p>
              </w:tc>
              <w:tc>
                <w:tcPr>
                  <w:tcW w:w="1200" w:type="dxa"/>
                  <w:vAlign w:val="center"/>
                </w:tcPr>
                <w:p w14:paraId="5F1BA71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5304F27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CEEC0F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76E853C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0CE3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75BF81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46</w:t>
                  </w:r>
                </w:p>
              </w:tc>
              <w:tc>
                <w:tcPr>
                  <w:tcW w:w="2979" w:type="dxa"/>
                  <w:vAlign w:val="center"/>
                </w:tcPr>
                <w:p w14:paraId="4831C9F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氯苯</w:t>
                  </w:r>
                </w:p>
              </w:tc>
              <w:tc>
                <w:tcPr>
                  <w:tcW w:w="1200" w:type="dxa"/>
                  <w:vAlign w:val="center"/>
                </w:tcPr>
                <w:p w14:paraId="0C497E3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0B94B1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9E5076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4D3F0EE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0195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BE6283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47</w:t>
                  </w:r>
                </w:p>
              </w:tc>
              <w:tc>
                <w:tcPr>
                  <w:tcW w:w="2979" w:type="dxa"/>
                  <w:vAlign w:val="center"/>
                </w:tcPr>
                <w:p w14:paraId="4CED3C3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1,4-二氯苯</w:t>
                  </w:r>
                </w:p>
              </w:tc>
              <w:tc>
                <w:tcPr>
                  <w:tcW w:w="1200" w:type="dxa"/>
                  <w:vAlign w:val="center"/>
                </w:tcPr>
                <w:p w14:paraId="0E37F3B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737F16B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236697A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FA1C0B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54B2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093F462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48</w:t>
                  </w:r>
                </w:p>
              </w:tc>
              <w:tc>
                <w:tcPr>
                  <w:tcW w:w="2979" w:type="dxa"/>
                  <w:vAlign w:val="center"/>
                </w:tcPr>
                <w:p w14:paraId="54541D1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1,2,3-三氯苯</w:t>
                  </w:r>
                </w:p>
              </w:tc>
              <w:tc>
                <w:tcPr>
                  <w:tcW w:w="1200" w:type="dxa"/>
                  <w:vAlign w:val="center"/>
                </w:tcPr>
                <w:p w14:paraId="0B26359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5FC294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B0F51F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046ED9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5B82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25972B3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49</w:t>
                  </w:r>
                </w:p>
              </w:tc>
              <w:tc>
                <w:tcPr>
                  <w:tcW w:w="2979" w:type="dxa"/>
                  <w:vAlign w:val="center"/>
                </w:tcPr>
                <w:p w14:paraId="24DE152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1,2,4-三氯苯</w:t>
                  </w:r>
                </w:p>
              </w:tc>
              <w:tc>
                <w:tcPr>
                  <w:tcW w:w="1200" w:type="dxa"/>
                  <w:vAlign w:val="center"/>
                </w:tcPr>
                <w:p w14:paraId="2E3F2D6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5CB3A87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355FEF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6BD7E8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2603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66E1C8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50</w:t>
                  </w:r>
                </w:p>
              </w:tc>
              <w:tc>
                <w:tcPr>
                  <w:tcW w:w="2979" w:type="dxa"/>
                  <w:vAlign w:val="center"/>
                </w:tcPr>
                <w:p w14:paraId="2C647B5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三氯甲烷</w:t>
                  </w:r>
                </w:p>
              </w:tc>
              <w:tc>
                <w:tcPr>
                  <w:tcW w:w="1200" w:type="dxa"/>
                  <w:vAlign w:val="center"/>
                </w:tcPr>
                <w:p w14:paraId="78462DB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B41981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1EFC017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0AC718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7BC5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1EB00D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51</w:t>
                  </w:r>
                </w:p>
              </w:tc>
              <w:tc>
                <w:tcPr>
                  <w:tcW w:w="2979" w:type="dxa"/>
                  <w:vAlign w:val="center"/>
                </w:tcPr>
                <w:p w14:paraId="2DEB249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一氯二溴甲烷</w:t>
                  </w:r>
                </w:p>
              </w:tc>
              <w:tc>
                <w:tcPr>
                  <w:tcW w:w="1200" w:type="dxa"/>
                  <w:vAlign w:val="center"/>
                </w:tcPr>
                <w:p w14:paraId="4450BEC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5B6A45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19689E2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719C601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2B51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D1046E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52</w:t>
                  </w:r>
                </w:p>
              </w:tc>
              <w:tc>
                <w:tcPr>
                  <w:tcW w:w="2979" w:type="dxa"/>
                  <w:vAlign w:val="center"/>
                </w:tcPr>
                <w:p w14:paraId="7FF40CF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二氯一溴甲烷</w:t>
                  </w:r>
                </w:p>
              </w:tc>
              <w:tc>
                <w:tcPr>
                  <w:tcW w:w="1200" w:type="dxa"/>
                  <w:vAlign w:val="center"/>
                </w:tcPr>
                <w:p w14:paraId="3EF3F78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C30EA9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A0E7FF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8FE023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2F52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A2408A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53</w:t>
                  </w:r>
                </w:p>
              </w:tc>
              <w:tc>
                <w:tcPr>
                  <w:tcW w:w="2979" w:type="dxa"/>
                  <w:vAlign w:val="center"/>
                </w:tcPr>
                <w:p w14:paraId="51508C8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三溴甲烷</w:t>
                  </w:r>
                </w:p>
              </w:tc>
              <w:tc>
                <w:tcPr>
                  <w:tcW w:w="1200" w:type="dxa"/>
                  <w:vAlign w:val="center"/>
                </w:tcPr>
                <w:p w14:paraId="085CEC4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38DE590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060F351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7E034A7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1E62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87AC34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54</w:t>
                  </w:r>
                </w:p>
              </w:tc>
              <w:tc>
                <w:tcPr>
                  <w:tcW w:w="2979" w:type="dxa"/>
                  <w:vAlign w:val="center"/>
                </w:tcPr>
                <w:p w14:paraId="13983496">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六氯苯</w:t>
                  </w:r>
                </w:p>
              </w:tc>
              <w:tc>
                <w:tcPr>
                  <w:tcW w:w="1200" w:type="dxa"/>
                  <w:vAlign w:val="center"/>
                </w:tcPr>
                <w:p w14:paraId="587A4F3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B0F320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0D5DB5A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247DC87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77AE6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0BDECA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55</w:t>
                  </w:r>
                </w:p>
              </w:tc>
              <w:tc>
                <w:tcPr>
                  <w:tcW w:w="2979" w:type="dxa"/>
                  <w:vAlign w:val="center"/>
                </w:tcPr>
                <w:p w14:paraId="11FDCB5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七氯</w:t>
                  </w:r>
                </w:p>
              </w:tc>
              <w:tc>
                <w:tcPr>
                  <w:tcW w:w="1200" w:type="dxa"/>
                  <w:vAlign w:val="center"/>
                </w:tcPr>
                <w:p w14:paraId="4D19923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3F6E324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2FE75A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E3D011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46BB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09D0EC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56</w:t>
                  </w:r>
                </w:p>
              </w:tc>
              <w:tc>
                <w:tcPr>
                  <w:tcW w:w="2979" w:type="dxa"/>
                  <w:vAlign w:val="center"/>
                </w:tcPr>
                <w:p w14:paraId="602ED3F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马拉硫磷</w:t>
                  </w:r>
                </w:p>
              </w:tc>
              <w:tc>
                <w:tcPr>
                  <w:tcW w:w="1200" w:type="dxa"/>
                  <w:vAlign w:val="center"/>
                </w:tcPr>
                <w:p w14:paraId="48B7CDD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80EC0F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2B758E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66464A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5333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7EE34EB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57</w:t>
                  </w:r>
                </w:p>
              </w:tc>
              <w:tc>
                <w:tcPr>
                  <w:tcW w:w="2979" w:type="dxa"/>
                  <w:vAlign w:val="center"/>
                </w:tcPr>
                <w:p w14:paraId="0EF56EE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乐果</w:t>
                  </w:r>
                </w:p>
              </w:tc>
              <w:tc>
                <w:tcPr>
                  <w:tcW w:w="1200" w:type="dxa"/>
                  <w:vAlign w:val="center"/>
                </w:tcPr>
                <w:p w14:paraId="07AAF26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C63AD0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4FB98F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4FD3783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4120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9FA417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58</w:t>
                  </w:r>
                </w:p>
              </w:tc>
              <w:tc>
                <w:tcPr>
                  <w:tcW w:w="2979" w:type="dxa"/>
                  <w:vAlign w:val="center"/>
                </w:tcPr>
                <w:p w14:paraId="00C89C8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百菌清</w:t>
                  </w:r>
                </w:p>
              </w:tc>
              <w:tc>
                <w:tcPr>
                  <w:tcW w:w="1200" w:type="dxa"/>
                  <w:vAlign w:val="center"/>
                </w:tcPr>
                <w:p w14:paraId="1765242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C696BA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B51086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2F37DF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1B691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E82AD47">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59</w:t>
                  </w:r>
                </w:p>
              </w:tc>
              <w:tc>
                <w:tcPr>
                  <w:tcW w:w="2979" w:type="dxa"/>
                  <w:vAlign w:val="center"/>
                </w:tcPr>
                <w:p w14:paraId="4BED4B7A">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毒死蜱</w:t>
                  </w:r>
                </w:p>
              </w:tc>
              <w:tc>
                <w:tcPr>
                  <w:tcW w:w="1200" w:type="dxa"/>
                  <w:vAlign w:val="center"/>
                </w:tcPr>
                <w:p w14:paraId="2C93E51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623C63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D86F9D1">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052246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23C6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EEA174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60</w:t>
                  </w:r>
                </w:p>
              </w:tc>
              <w:tc>
                <w:tcPr>
                  <w:tcW w:w="2979" w:type="dxa"/>
                  <w:vAlign w:val="center"/>
                </w:tcPr>
                <w:p w14:paraId="6613C773">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敌敌畏</w:t>
                  </w:r>
                </w:p>
              </w:tc>
              <w:tc>
                <w:tcPr>
                  <w:tcW w:w="1200" w:type="dxa"/>
                  <w:vAlign w:val="center"/>
                </w:tcPr>
                <w:p w14:paraId="7EFACDF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C343DE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2DE9D4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F27FA8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4A4B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789C3CF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61</w:t>
                  </w:r>
                </w:p>
              </w:tc>
              <w:tc>
                <w:tcPr>
                  <w:tcW w:w="2979" w:type="dxa"/>
                  <w:vAlign w:val="center"/>
                </w:tcPr>
                <w:p w14:paraId="5A300534">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溴氰菊酯</w:t>
                  </w:r>
                </w:p>
              </w:tc>
              <w:tc>
                <w:tcPr>
                  <w:tcW w:w="1200" w:type="dxa"/>
                  <w:vAlign w:val="center"/>
                </w:tcPr>
                <w:p w14:paraId="0500E05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F024BD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65ED957F">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329AFE69">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52E9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24A2B7AE">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62</w:t>
                  </w:r>
                </w:p>
              </w:tc>
              <w:tc>
                <w:tcPr>
                  <w:tcW w:w="2979" w:type="dxa"/>
                  <w:vAlign w:val="center"/>
                </w:tcPr>
                <w:p w14:paraId="4B35DA0D">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五氯酚</w:t>
                  </w:r>
                </w:p>
              </w:tc>
              <w:tc>
                <w:tcPr>
                  <w:tcW w:w="1200" w:type="dxa"/>
                  <w:vAlign w:val="center"/>
                </w:tcPr>
                <w:p w14:paraId="5069C1E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78323D2">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976590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5FA3D5BC">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eastAsia" w:cs="Times New Roman"/>
                      <w:b/>
                      <w:bCs/>
                      <w:color w:val="auto"/>
                      <w:sz w:val="18"/>
                      <w:szCs w:val="18"/>
                      <w:vertAlign w:val="baseline"/>
                      <w:lang w:val="en-US" w:eastAsia="zh-CN"/>
                    </w:rPr>
                    <w:t>4</w:t>
                  </w:r>
                </w:p>
              </w:tc>
            </w:tr>
            <w:tr w14:paraId="76D3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6B831B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63</w:t>
                  </w:r>
                </w:p>
              </w:tc>
              <w:tc>
                <w:tcPr>
                  <w:tcW w:w="2979" w:type="dxa"/>
                  <w:vAlign w:val="center"/>
                </w:tcPr>
                <w:p w14:paraId="51BAC8B1">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2,4,6-三氯酚</w:t>
                  </w:r>
                </w:p>
              </w:tc>
              <w:tc>
                <w:tcPr>
                  <w:tcW w:w="1200" w:type="dxa"/>
                  <w:vAlign w:val="center"/>
                </w:tcPr>
                <w:p w14:paraId="1DEFA44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728EAAF2">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B16E89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280DF7D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043BC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DE66F1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64</w:t>
                  </w:r>
                </w:p>
              </w:tc>
              <w:tc>
                <w:tcPr>
                  <w:tcW w:w="2979" w:type="dxa"/>
                  <w:vAlign w:val="center"/>
                </w:tcPr>
                <w:p w14:paraId="53AC4C7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邻苯二甲酸二（2-乙基己基）酯</w:t>
                  </w:r>
                </w:p>
              </w:tc>
              <w:tc>
                <w:tcPr>
                  <w:tcW w:w="1200" w:type="dxa"/>
                  <w:vAlign w:val="center"/>
                </w:tcPr>
                <w:p w14:paraId="2E193D74">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7EC8551F">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6D11C40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2E63336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53385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0B38001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w:t>
                  </w:r>
                </w:p>
              </w:tc>
              <w:tc>
                <w:tcPr>
                  <w:tcW w:w="2979" w:type="dxa"/>
                  <w:vAlign w:val="center"/>
                </w:tcPr>
                <w:p w14:paraId="2AC04B6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灭草松</w:t>
                  </w:r>
                </w:p>
              </w:tc>
              <w:tc>
                <w:tcPr>
                  <w:tcW w:w="1200" w:type="dxa"/>
                  <w:vAlign w:val="center"/>
                </w:tcPr>
                <w:p w14:paraId="6DE570C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6E15FB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2B6073A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54E8311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66910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AF244E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66</w:t>
                  </w:r>
                </w:p>
              </w:tc>
              <w:tc>
                <w:tcPr>
                  <w:tcW w:w="2979" w:type="dxa"/>
                  <w:vAlign w:val="center"/>
                </w:tcPr>
                <w:p w14:paraId="168BFB21">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2,4-滴</w:t>
                  </w:r>
                </w:p>
              </w:tc>
              <w:tc>
                <w:tcPr>
                  <w:tcW w:w="1200" w:type="dxa"/>
                  <w:vAlign w:val="center"/>
                </w:tcPr>
                <w:p w14:paraId="7AF2764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C9C150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6C78D9E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48BF29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034F4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2A69672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67</w:t>
                  </w:r>
                </w:p>
              </w:tc>
              <w:tc>
                <w:tcPr>
                  <w:tcW w:w="2979" w:type="dxa"/>
                  <w:vAlign w:val="center"/>
                </w:tcPr>
                <w:p w14:paraId="793266F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呋喃丹</w:t>
                  </w:r>
                </w:p>
              </w:tc>
              <w:tc>
                <w:tcPr>
                  <w:tcW w:w="1200" w:type="dxa"/>
                  <w:vAlign w:val="center"/>
                </w:tcPr>
                <w:p w14:paraId="3BEA851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7C87F8C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6704819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55D76E4">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6A1C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FF6F90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68</w:t>
                  </w:r>
                </w:p>
              </w:tc>
              <w:tc>
                <w:tcPr>
                  <w:tcW w:w="2979" w:type="dxa"/>
                  <w:vAlign w:val="center"/>
                </w:tcPr>
                <w:p w14:paraId="0FBEEAC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莠去津</w:t>
                  </w:r>
                </w:p>
              </w:tc>
              <w:tc>
                <w:tcPr>
                  <w:tcW w:w="1200" w:type="dxa"/>
                  <w:vAlign w:val="center"/>
                </w:tcPr>
                <w:p w14:paraId="53A17A28">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C269E5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1200261">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B1C3D74">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4BB4C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1EC28A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69</w:t>
                  </w:r>
                </w:p>
              </w:tc>
              <w:tc>
                <w:tcPr>
                  <w:tcW w:w="2979" w:type="dxa"/>
                  <w:vAlign w:val="center"/>
                </w:tcPr>
                <w:p w14:paraId="7BF5F82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草甘膦</w:t>
                  </w:r>
                </w:p>
              </w:tc>
              <w:tc>
                <w:tcPr>
                  <w:tcW w:w="1200" w:type="dxa"/>
                  <w:vAlign w:val="center"/>
                </w:tcPr>
                <w:p w14:paraId="40DD550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F38E6A1">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1EA807E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645A5B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1986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48866A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70</w:t>
                  </w:r>
                </w:p>
              </w:tc>
              <w:tc>
                <w:tcPr>
                  <w:tcW w:w="2979" w:type="dxa"/>
                  <w:vAlign w:val="center"/>
                </w:tcPr>
                <w:p w14:paraId="6D7ECEB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乙草胺</w:t>
                  </w:r>
                </w:p>
              </w:tc>
              <w:tc>
                <w:tcPr>
                  <w:tcW w:w="1200" w:type="dxa"/>
                  <w:vAlign w:val="center"/>
                </w:tcPr>
                <w:p w14:paraId="1D43F48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882BDC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DA4B82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EA330C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38981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F24A6A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71</w:t>
                  </w:r>
                </w:p>
              </w:tc>
              <w:tc>
                <w:tcPr>
                  <w:tcW w:w="2979" w:type="dxa"/>
                  <w:vAlign w:val="center"/>
                </w:tcPr>
                <w:p w14:paraId="7B23E40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苯并（a）芘</w:t>
                  </w:r>
                </w:p>
              </w:tc>
              <w:tc>
                <w:tcPr>
                  <w:tcW w:w="1200" w:type="dxa"/>
                  <w:vAlign w:val="center"/>
                </w:tcPr>
                <w:p w14:paraId="470D463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763CB98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7EE069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45AD4F54">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4326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5FE5C1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72</w:t>
                  </w:r>
                </w:p>
              </w:tc>
              <w:tc>
                <w:tcPr>
                  <w:tcW w:w="2979" w:type="dxa"/>
                  <w:vAlign w:val="center"/>
                </w:tcPr>
                <w:p w14:paraId="3AA2640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丙烯酰胺</w:t>
                  </w:r>
                </w:p>
              </w:tc>
              <w:tc>
                <w:tcPr>
                  <w:tcW w:w="1200" w:type="dxa"/>
                  <w:vAlign w:val="center"/>
                </w:tcPr>
                <w:p w14:paraId="43633B0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A63D221">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E3025F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D9D824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42A4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9EF4DE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73</w:t>
                  </w:r>
                </w:p>
              </w:tc>
              <w:tc>
                <w:tcPr>
                  <w:tcW w:w="2979" w:type="dxa"/>
                  <w:vAlign w:val="center"/>
                </w:tcPr>
                <w:p w14:paraId="4A5E40AF">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13C3-丙烯酰胺</w:t>
                  </w:r>
                </w:p>
              </w:tc>
              <w:tc>
                <w:tcPr>
                  <w:tcW w:w="1200" w:type="dxa"/>
                  <w:vAlign w:val="center"/>
                </w:tcPr>
                <w:p w14:paraId="4CF89FB2">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E292B7F">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6BEC0BB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3C97F75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601BF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0BE53B6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74</w:t>
                  </w:r>
                </w:p>
              </w:tc>
              <w:tc>
                <w:tcPr>
                  <w:tcW w:w="2979" w:type="dxa"/>
                  <w:vAlign w:val="center"/>
                </w:tcPr>
                <w:p w14:paraId="27859A8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环氧氯丙烷</w:t>
                  </w:r>
                </w:p>
              </w:tc>
              <w:tc>
                <w:tcPr>
                  <w:tcW w:w="1200" w:type="dxa"/>
                  <w:vAlign w:val="center"/>
                </w:tcPr>
                <w:p w14:paraId="41BDD43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C80ECD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6764279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242E6D8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1C81D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1E4B782">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75</w:t>
                  </w:r>
                </w:p>
              </w:tc>
              <w:tc>
                <w:tcPr>
                  <w:tcW w:w="2979" w:type="dxa"/>
                  <w:vAlign w:val="center"/>
                </w:tcPr>
                <w:p w14:paraId="5E1CE5C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微囊藻毒素-LR</w:t>
                  </w:r>
                </w:p>
              </w:tc>
              <w:tc>
                <w:tcPr>
                  <w:tcW w:w="1200" w:type="dxa"/>
                  <w:vAlign w:val="center"/>
                </w:tcPr>
                <w:p w14:paraId="65F18A3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E14069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284DC7D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7BF85C82">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5252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734367B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76</w:t>
                  </w:r>
                </w:p>
              </w:tc>
              <w:tc>
                <w:tcPr>
                  <w:tcW w:w="2979" w:type="dxa"/>
                  <w:vAlign w:val="center"/>
                </w:tcPr>
                <w:p w14:paraId="04A7E77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色度溶液标准物质</w:t>
                  </w:r>
                </w:p>
              </w:tc>
              <w:tc>
                <w:tcPr>
                  <w:tcW w:w="1200" w:type="dxa"/>
                  <w:vAlign w:val="center"/>
                </w:tcPr>
                <w:p w14:paraId="556A9A9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35D50EF">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7A702B8">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2C00DB5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4A2D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79780C78">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77</w:t>
                  </w:r>
                </w:p>
              </w:tc>
              <w:tc>
                <w:tcPr>
                  <w:tcW w:w="2979" w:type="dxa"/>
                  <w:vAlign w:val="center"/>
                </w:tcPr>
                <w:p w14:paraId="5CFEE60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福尔马肼浑浊度溶液标准物质</w:t>
                  </w:r>
                </w:p>
              </w:tc>
              <w:tc>
                <w:tcPr>
                  <w:tcW w:w="1200" w:type="dxa"/>
                  <w:vAlign w:val="center"/>
                </w:tcPr>
                <w:p w14:paraId="411F9A68">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DC9126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4DFC169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966847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0726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5366EE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78</w:t>
                  </w:r>
                </w:p>
              </w:tc>
              <w:tc>
                <w:tcPr>
                  <w:tcW w:w="2979" w:type="dxa"/>
                  <w:vAlign w:val="center"/>
                </w:tcPr>
                <w:p w14:paraId="31DCFE0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土臭素标准品</w:t>
                  </w:r>
                </w:p>
              </w:tc>
              <w:tc>
                <w:tcPr>
                  <w:tcW w:w="1200" w:type="dxa"/>
                  <w:vAlign w:val="center"/>
                </w:tcPr>
                <w:p w14:paraId="30514EC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7C13775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683079C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58BD3A0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3701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E93A8B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79</w:t>
                  </w:r>
                </w:p>
              </w:tc>
              <w:tc>
                <w:tcPr>
                  <w:tcW w:w="2979" w:type="dxa"/>
                  <w:vAlign w:val="center"/>
                </w:tcPr>
                <w:p w14:paraId="03606BF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邻苯二甲酸氢钾纯度标准物质</w:t>
                  </w:r>
                </w:p>
              </w:tc>
              <w:tc>
                <w:tcPr>
                  <w:tcW w:w="1200" w:type="dxa"/>
                  <w:vAlign w:val="center"/>
                </w:tcPr>
                <w:p w14:paraId="00CBDDE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689D9A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351808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A94E34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0CF99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CB8469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80</w:t>
                  </w:r>
                </w:p>
              </w:tc>
              <w:tc>
                <w:tcPr>
                  <w:tcW w:w="2979" w:type="dxa"/>
                  <w:vAlign w:val="center"/>
                </w:tcPr>
                <w:p w14:paraId="285F41B8">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磷酸二氢钾pH标准物质</w:t>
                  </w:r>
                </w:p>
              </w:tc>
              <w:tc>
                <w:tcPr>
                  <w:tcW w:w="1200" w:type="dxa"/>
                  <w:vAlign w:val="center"/>
                </w:tcPr>
                <w:p w14:paraId="654D56E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F2AF2F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2B6344FF">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EA7767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7EE4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35574C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81</w:t>
                  </w:r>
                </w:p>
              </w:tc>
              <w:tc>
                <w:tcPr>
                  <w:tcW w:w="2979" w:type="dxa"/>
                  <w:vAlign w:val="center"/>
                </w:tcPr>
                <w:p w14:paraId="6D6AC5A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硼砂pH标准物质</w:t>
                  </w:r>
                </w:p>
              </w:tc>
              <w:tc>
                <w:tcPr>
                  <w:tcW w:w="1200" w:type="dxa"/>
                  <w:vAlign w:val="center"/>
                </w:tcPr>
                <w:p w14:paraId="360401E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CD78DAF">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1A6A56E2">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2E264511">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126C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0D97DD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82</w:t>
                  </w:r>
                </w:p>
              </w:tc>
              <w:tc>
                <w:tcPr>
                  <w:tcW w:w="2979" w:type="dxa"/>
                  <w:vAlign w:val="center"/>
                </w:tcPr>
                <w:p w14:paraId="2EA8CB2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水中氟离子、氯离子、硝酸根、硫酸根成分分析标准物质</w:t>
                  </w:r>
                </w:p>
              </w:tc>
              <w:tc>
                <w:tcPr>
                  <w:tcW w:w="1200" w:type="dxa"/>
                  <w:vAlign w:val="center"/>
                </w:tcPr>
                <w:p w14:paraId="244DC12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3C88537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67D1C9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20073E3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0032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7A8BCE9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83</w:t>
                  </w:r>
                </w:p>
              </w:tc>
              <w:tc>
                <w:tcPr>
                  <w:tcW w:w="2979" w:type="dxa"/>
                  <w:vAlign w:val="center"/>
                </w:tcPr>
                <w:p w14:paraId="2397B52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钙标准溶液</w:t>
                  </w:r>
                </w:p>
              </w:tc>
              <w:tc>
                <w:tcPr>
                  <w:tcW w:w="1200" w:type="dxa"/>
                  <w:vAlign w:val="center"/>
                </w:tcPr>
                <w:p w14:paraId="20AE4E0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CC9B83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25E511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4C96A34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505F7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47CF61F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84</w:t>
                  </w:r>
                </w:p>
              </w:tc>
              <w:tc>
                <w:tcPr>
                  <w:tcW w:w="2979" w:type="dxa"/>
                  <w:vAlign w:val="center"/>
                </w:tcPr>
                <w:p w14:paraId="4B56BCB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高锰酸盐指数标准物质(COD Mn)</w:t>
                  </w:r>
                </w:p>
              </w:tc>
              <w:tc>
                <w:tcPr>
                  <w:tcW w:w="1200" w:type="dxa"/>
                  <w:vAlign w:val="center"/>
                </w:tcPr>
                <w:p w14:paraId="67EBD7D8">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2D7576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E6AAD3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7344235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46DE9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89F5FC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85</w:t>
                  </w:r>
                </w:p>
              </w:tc>
              <w:tc>
                <w:tcPr>
                  <w:tcW w:w="2979" w:type="dxa"/>
                  <w:vAlign w:val="center"/>
                </w:tcPr>
                <w:p w14:paraId="30DD45E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水中氨氮成分分析标准物质</w:t>
                  </w:r>
                </w:p>
              </w:tc>
              <w:tc>
                <w:tcPr>
                  <w:tcW w:w="1200" w:type="dxa"/>
                  <w:vAlign w:val="center"/>
                </w:tcPr>
                <w:p w14:paraId="087BC84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3EC7D372">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269BD8E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2F04AE0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61C52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B27929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86</w:t>
                  </w:r>
                </w:p>
              </w:tc>
              <w:tc>
                <w:tcPr>
                  <w:tcW w:w="2979" w:type="dxa"/>
                  <w:vAlign w:val="center"/>
                </w:tcPr>
                <w:p w14:paraId="69CBC97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苯酚溶液标准物质</w:t>
                  </w:r>
                </w:p>
              </w:tc>
              <w:tc>
                <w:tcPr>
                  <w:tcW w:w="1200" w:type="dxa"/>
                  <w:vAlign w:val="center"/>
                </w:tcPr>
                <w:p w14:paraId="3D27565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00D7AA4">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7DE004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5916D05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17B69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01482F8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87</w:t>
                  </w:r>
                </w:p>
              </w:tc>
              <w:tc>
                <w:tcPr>
                  <w:tcW w:w="2979" w:type="dxa"/>
                  <w:vAlign w:val="center"/>
                </w:tcPr>
                <w:p w14:paraId="491A3874">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阴离子表面活性剂（以十二烷基苯磺酸钠计）溶液标准物质</w:t>
                  </w:r>
                </w:p>
              </w:tc>
              <w:tc>
                <w:tcPr>
                  <w:tcW w:w="1200" w:type="dxa"/>
                  <w:vAlign w:val="center"/>
                </w:tcPr>
                <w:p w14:paraId="0108268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BEB66E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D68B2C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C0B4C7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7D5C3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44B910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88</w:t>
                  </w:r>
                </w:p>
              </w:tc>
              <w:tc>
                <w:tcPr>
                  <w:tcW w:w="2979" w:type="dxa"/>
                  <w:vAlign w:val="center"/>
                </w:tcPr>
                <w:p w14:paraId="7669DAC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2-甲基异莰醇</w:t>
                  </w:r>
                </w:p>
              </w:tc>
              <w:tc>
                <w:tcPr>
                  <w:tcW w:w="1200" w:type="dxa"/>
                  <w:vAlign w:val="center"/>
                </w:tcPr>
                <w:p w14:paraId="76C41582">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5B80C80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E560A14">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4273C74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1F53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BA28FC8">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89</w:t>
                  </w:r>
                </w:p>
              </w:tc>
              <w:tc>
                <w:tcPr>
                  <w:tcW w:w="2979" w:type="dxa"/>
                  <w:vAlign w:val="center"/>
                </w:tcPr>
                <w:p w14:paraId="4EF576B4">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40KCl优级纯氯化钾</w:t>
                  </w:r>
                </w:p>
              </w:tc>
              <w:tc>
                <w:tcPr>
                  <w:tcW w:w="1200" w:type="dxa"/>
                  <w:vAlign w:val="center"/>
                </w:tcPr>
                <w:p w14:paraId="5991DFC4">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7AE147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1C90B0D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04D0B1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5293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2C4CFF22">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90</w:t>
                  </w:r>
                </w:p>
              </w:tc>
              <w:tc>
                <w:tcPr>
                  <w:tcW w:w="2979" w:type="dxa"/>
                  <w:vAlign w:val="center"/>
                </w:tcPr>
                <w:p w14:paraId="50967C5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水中总 α 和总 β 放射活度标准物质</w:t>
                  </w:r>
                </w:p>
              </w:tc>
              <w:tc>
                <w:tcPr>
                  <w:tcW w:w="1200" w:type="dxa"/>
                  <w:vAlign w:val="center"/>
                </w:tcPr>
                <w:p w14:paraId="6263CD2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1754F7DF">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D2DF28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5E160CF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7CD9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BAAF3F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91</w:t>
                  </w:r>
                </w:p>
              </w:tc>
              <w:tc>
                <w:tcPr>
                  <w:tcW w:w="2979" w:type="dxa"/>
                  <w:vAlign w:val="center"/>
                </w:tcPr>
                <w:p w14:paraId="52A112D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游离氯</w:t>
                  </w:r>
                </w:p>
              </w:tc>
              <w:tc>
                <w:tcPr>
                  <w:tcW w:w="1200" w:type="dxa"/>
                  <w:vAlign w:val="center"/>
                </w:tcPr>
                <w:p w14:paraId="7C33F01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64FD8A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29808D0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AA6000F">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5DD4A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07332B8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92</w:t>
                  </w:r>
                </w:p>
              </w:tc>
              <w:tc>
                <w:tcPr>
                  <w:tcW w:w="2979" w:type="dxa"/>
                  <w:vAlign w:val="center"/>
                </w:tcPr>
                <w:p w14:paraId="08EC0BD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总氯</w:t>
                  </w:r>
                </w:p>
              </w:tc>
              <w:tc>
                <w:tcPr>
                  <w:tcW w:w="1200" w:type="dxa"/>
                  <w:vAlign w:val="center"/>
                </w:tcPr>
                <w:p w14:paraId="0352E9D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27BA9B5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C0BF4A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5BDC1D4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5BBE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62FE627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93</w:t>
                  </w:r>
                </w:p>
              </w:tc>
              <w:tc>
                <w:tcPr>
                  <w:tcW w:w="2979" w:type="dxa"/>
                  <w:vAlign w:val="center"/>
                </w:tcPr>
                <w:p w14:paraId="0D24CBB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臭氧</w:t>
                  </w:r>
                </w:p>
              </w:tc>
              <w:tc>
                <w:tcPr>
                  <w:tcW w:w="1200" w:type="dxa"/>
                  <w:vAlign w:val="center"/>
                </w:tcPr>
                <w:p w14:paraId="13DCC01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7D3A768">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21415181">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5D223D5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471D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273EB7EF">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94</w:t>
                  </w:r>
                </w:p>
              </w:tc>
              <w:tc>
                <w:tcPr>
                  <w:tcW w:w="2979" w:type="dxa"/>
                  <w:vAlign w:val="center"/>
                </w:tcPr>
                <w:p w14:paraId="00B15608">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二氧化氯</w:t>
                  </w:r>
                </w:p>
              </w:tc>
              <w:tc>
                <w:tcPr>
                  <w:tcW w:w="1200" w:type="dxa"/>
                  <w:vAlign w:val="center"/>
                </w:tcPr>
                <w:p w14:paraId="3C495B6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7BB08612">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03EB472">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6507B99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42CB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D3377E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95</w:t>
                  </w:r>
                </w:p>
              </w:tc>
              <w:tc>
                <w:tcPr>
                  <w:tcW w:w="2979" w:type="dxa"/>
                  <w:vAlign w:val="center"/>
                </w:tcPr>
                <w:p w14:paraId="630F2DF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标样/水质 溶解氧/适用于电化学探头法</w:t>
                  </w:r>
                </w:p>
              </w:tc>
              <w:tc>
                <w:tcPr>
                  <w:tcW w:w="1200" w:type="dxa"/>
                  <w:vAlign w:val="center"/>
                </w:tcPr>
                <w:p w14:paraId="71C7303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3A18FC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53F0D24A">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27783EBD">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0C6E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1BA1994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96</w:t>
                  </w:r>
                </w:p>
              </w:tc>
              <w:tc>
                <w:tcPr>
                  <w:tcW w:w="2979" w:type="dxa"/>
                  <w:vAlign w:val="center"/>
                </w:tcPr>
                <w:p w14:paraId="734D84A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标准物质/化学需氧量/COD-Cr</w:t>
                  </w:r>
                </w:p>
              </w:tc>
              <w:tc>
                <w:tcPr>
                  <w:tcW w:w="1200" w:type="dxa"/>
                  <w:vAlign w:val="center"/>
                </w:tcPr>
                <w:p w14:paraId="4F88509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6F4D437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73B04CC3">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16DC89D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419B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598E977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97</w:t>
                  </w:r>
                </w:p>
              </w:tc>
              <w:tc>
                <w:tcPr>
                  <w:tcW w:w="2979" w:type="dxa"/>
                  <w:vAlign w:val="center"/>
                </w:tcPr>
                <w:p w14:paraId="4FACC2A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标准物质/五日生化需氧量</w:t>
                  </w:r>
                </w:p>
              </w:tc>
              <w:tc>
                <w:tcPr>
                  <w:tcW w:w="1200" w:type="dxa"/>
                  <w:vAlign w:val="center"/>
                </w:tcPr>
                <w:p w14:paraId="02AFEA65">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0C1C0897">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3E344DF1">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40F21A2B">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2B5C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38AAC81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98</w:t>
                  </w:r>
                </w:p>
              </w:tc>
              <w:tc>
                <w:tcPr>
                  <w:tcW w:w="2979" w:type="dxa"/>
                  <w:vAlign w:val="center"/>
                </w:tcPr>
                <w:p w14:paraId="0F2398BC">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标准物质/水中总磷</w:t>
                  </w:r>
                </w:p>
              </w:tc>
              <w:tc>
                <w:tcPr>
                  <w:tcW w:w="1200" w:type="dxa"/>
                  <w:vAlign w:val="center"/>
                </w:tcPr>
                <w:p w14:paraId="129444E0">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31C15A4F">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170F0838">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5EE1DFE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r w14:paraId="7A37E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4" w:type="dxa"/>
                  <w:vAlign w:val="center"/>
                </w:tcPr>
                <w:p w14:paraId="25669CF2">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99</w:t>
                  </w:r>
                </w:p>
              </w:tc>
              <w:tc>
                <w:tcPr>
                  <w:tcW w:w="2979" w:type="dxa"/>
                  <w:vAlign w:val="center"/>
                </w:tcPr>
                <w:p w14:paraId="13924686">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标样/水质 总氮(以氮计)</w:t>
                  </w:r>
                </w:p>
              </w:tc>
              <w:tc>
                <w:tcPr>
                  <w:tcW w:w="1200" w:type="dxa"/>
                  <w:vAlign w:val="center"/>
                </w:tcPr>
                <w:p w14:paraId="48A841BE">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标准品</w:t>
                  </w:r>
                </w:p>
              </w:tc>
              <w:tc>
                <w:tcPr>
                  <w:tcW w:w="1092" w:type="dxa"/>
                  <w:vAlign w:val="center"/>
                </w:tcPr>
                <w:p w14:paraId="4A0B19C8">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20mL</w:t>
                  </w:r>
                </w:p>
              </w:tc>
              <w:tc>
                <w:tcPr>
                  <w:tcW w:w="990" w:type="dxa"/>
                  <w:vAlign w:val="center"/>
                </w:tcPr>
                <w:p w14:paraId="167EEFE4">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2</w:t>
                  </w:r>
                </w:p>
              </w:tc>
              <w:tc>
                <w:tcPr>
                  <w:tcW w:w="1001" w:type="dxa"/>
                  <w:vAlign w:val="center"/>
                </w:tcPr>
                <w:p w14:paraId="02328149">
                  <w:pPr>
                    <w:keepNext w:val="0"/>
                    <w:keepLines w:val="0"/>
                    <w:widowControl/>
                    <w:suppressLineNumbers w:val="0"/>
                    <w:jc w:val="center"/>
                    <w:textAlignment w:val="center"/>
                    <w:outlineLvl w:val="9"/>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b/>
                      <w:bCs/>
                      <w:color w:val="auto"/>
                      <w:sz w:val="18"/>
                      <w:szCs w:val="18"/>
                      <w:vertAlign w:val="baseline"/>
                      <w:lang w:val="en-US" w:eastAsia="zh-CN"/>
                    </w:rPr>
                    <w:t>4</w:t>
                  </w:r>
                </w:p>
              </w:tc>
            </w:tr>
          </w:tbl>
          <w:p w14:paraId="286504D3">
            <w:pPr>
              <w:pStyle w:val="8"/>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表2-8  主要使用气体</w:t>
            </w:r>
          </w:p>
          <w:tbl>
            <w:tblPr>
              <w:tblStyle w:val="21"/>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1174"/>
              <w:gridCol w:w="1174"/>
              <w:gridCol w:w="1174"/>
              <w:gridCol w:w="1174"/>
              <w:gridCol w:w="1174"/>
              <w:gridCol w:w="1175"/>
            </w:tblGrid>
            <w:tr w14:paraId="301E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1FCC2CE5">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i w:val="0"/>
                      <w:iCs w:val="0"/>
                      <w:color w:val="auto"/>
                      <w:kern w:val="0"/>
                      <w:sz w:val="18"/>
                      <w:szCs w:val="18"/>
                      <w:u w:val="none"/>
                      <w:lang w:val="en-US" w:eastAsia="zh-CN" w:bidi="ar"/>
                    </w:rPr>
                    <w:t>序号</w:t>
                  </w:r>
                </w:p>
              </w:tc>
              <w:tc>
                <w:tcPr>
                  <w:tcW w:w="1174" w:type="dxa"/>
                  <w:vAlign w:val="center"/>
                </w:tcPr>
                <w:p w14:paraId="21BC4268">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rPr>
                  </w:pPr>
                  <w:r>
                    <w:rPr>
                      <w:rFonts w:hint="default" w:ascii="Times New Roman" w:hAnsi="Times New Roman" w:eastAsia="宋体" w:cs="Times New Roman"/>
                      <w:b/>
                      <w:bCs/>
                      <w:i w:val="0"/>
                      <w:iCs w:val="0"/>
                      <w:color w:val="auto"/>
                      <w:kern w:val="0"/>
                      <w:sz w:val="18"/>
                      <w:szCs w:val="18"/>
                      <w:u w:val="none"/>
                      <w:lang w:val="en-US" w:eastAsia="zh-CN" w:bidi="ar"/>
                    </w:rPr>
                    <w:t>气体</w:t>
                  </w:r>
                </w:p>
              </w:tc>
              <w:tc>
                <w:tcPr>
                  <w:tcW w:w="1174" w:type="dxa"/>
                  <w:vAlign w:val="center"/>
                </w:tcPr>
                <w:p w14:paraId="3C0BB200">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rPr>
                  </w:pPr>
                  <w:r>
                    <w:rPr>
                      <w:rFonts w:hint="default" w:ascii="Times New Roman" w:hAnsi="Times New Roman" w:eastAsia="宋体" w:cs="Times New Roman"/>
                      <w:b/>
                      <w:bCs/>
                      <w:i w:val="0"/>
                      <w:iCs w:val="0"/>
                      <w:color w:val="auto"/>
                      <w:kern w:val="0"/>
                      <w:sz w:val="18"/>
                      <w:szCs w:val="18"/>
                      <w:u w:val="none"/>
                      <w:lang w:val="en-US" w:eastAsia="zh-CN" w:bidi="ar"/>
                    </w:rPr>
                    <w:t>性质</w:t>
                  </w:r>
                </w:p>
              </w:tc>
              <w:tc>
                <w:tcPr>
                  <w:tcW w:w="1174" w:type="dxa"/>
                  <w:vAlign w:val="center"/>
                </w:tcPr>
                <w:p w14:paraId="1008A4DB">
                  <w:pPr>
                    <w:keepNext w:val="0"/>
                    <w:keepLines w:val="0"/>
                    <w:widowControl/>
                    <w:suppressLineNumbers w:val="0"/>
                    <w:jc w:val="center"/>
                    <w:textAlignment w:val="center"/>
                    <w:outlineLvl w:val="9"/>
                    <w:rPr>
                      <w:rFonts w:hint="default" w:ascii="Times New Roman" w:hAnsi="Times New Roman" w:eastAsia="宋体" w:cs="Times New Roman"/>
                      <w:b/>
                      <w:bCs/>
                      <w:color w:val="auto"/>
                      <w:sz w:val="18"/>
                      <w:szCs w:val="18"/>
                      <w:vertAlign w:val="baseline"/>
                      <w:lang w:val="en-US"/>
                    </w:rPr>
                  </w:pPr>
                  <w:r>
                    <w:rPr>
                      <w:rFonts w:hint="default" w:ascii="Times New Roman" w:hAnsi="Times New Roman" w:eastAsia="宋体" w:cs="Times New Roman"/>
                      <w:b/>
                      <w:bCs/>
                      <w:i w:val="0"/>
                      <w:iCs w:val="0"/>
                      <w:color w:val="auto"/>
                      <w:kern w:val="0"/>
                      <w:sz w:val="18"/>
                      <w:szCs w:val="18"/>
                      <w:u w:val="none"/>
                      <w:lang w:val="en-US" w:eastAsia="zh-CN" w:bidi="ar"/>
                    </w:rPr>
                    <w:t>纯度</w:t>
                  </w:r>
                </w:p>
              </w:tc>
              <w:tc>
                <w:tcPr>
                  <w:tcW w:w="1174" w:type="dxa"/>
                </w:tcPr>
                <w:p w14:paraId="6C1B4EEA">
                  <w:pPr>
                    <w:pStyle w:val="3"/>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规格</w:t>
                  </w:r>
                </w:p>
              </w:tc>
              <w:tc>
                <w:tcPr>
                  <w:tcW w:w="1174" w:type="dxa"/>
                </w:tcPr>
                <w:p w14:paraId="2A2B76C2">
                  <w:pPr>
                    <w:pStyle w:val="3"/>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最大贮存量</w:t>
                  </w:r>
                </w:p>
              </w:tc>
              <w:tc>
                <w:tcPr>
                  <w:tcW w:w="1175" w:type="dxa"/>
                </w:tcPr>
                <w:p w14:paraId="519D7771">
                  <w:pPr>
                    <w:pStyle w:val="3"/>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年用量</w:t>
                  </w:r>
                </w:p>
              </w:tc>
            </w:tr>
            <w:tr w14:paraId="3CA1B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70A47CF8">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1</w:t>
                  </w:r>
                </w:p>
              </w:tc>
              <w:tc>
                <w:tcPr>
                  <w:tcW w:w="1174" w:type="dxa"/>
                  <w:vAlign w:val="center"/>
                </w:tcPr>
                <w:p w14:paraId="32947570">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高纯氮气</w:t>
                  </w:r>
                </w:p>
              </w:tc>
              <w:tc>
                <w:tcPr>
                  <w:tcW w:w="1174" w:type="dxa"/>
                  <w:vAlign w:val="center"/>
                </w:tcPr>
                <w:p w14:paraId="12C7168D">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不燃气体</w:t>
                  </w:r>
                </w:p>
              </w:tc>
              <w:tc>
                <w:tcPr>
                  <w:tcW w:w="1174" w:type="dxa"/>
                  <w:vAlign w:val="center"/>
                </w:tcPr>
                <w:p w14:paraId="4D9B7C22">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＞99.999%</w:t>
                  </w:r>
                </w:p>
              </w:tc>
              <w:tc>
                <w:tcPr>
                  <w:tcW w:w="1174" w:type="dxa"/>
                </w:tcPr>
                <w:p w14:paraId="698E324B">
                  <w:pPr>
                    <w:pStyle w:val="3"/>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40L</w:t>
                  </w:r>
                </w:p>
              </w:tc>
              <w:tc>
                <w:tcPr>
                  <w:tcW w:w="1174" w:type="dxa"/>
                </w:tcPr>
                <w:p w14:paraId="12005535">
                  <w:pPr>
                    <w:pStyle w:val="3"/>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1瓶</w:t>
                  </w:r>
                </w:p>
              </w:tc>
              <w:tc>
                <w:tcPr>
                  <w:tcW w:w="1175" w:type="dxa"/>
                </w:tcPr>
                <w:p w14:paraId="2A0E7723">
                  <w:pPr>
                    <w:pStyle w:val="3"/>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2瓶</w:t>
                  </w:r>
                </w:p>
              </w:tc>
            </w:tr>
            <w:tr w14:paraId="52F5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7D685FEA">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2</w:t>
                  </w:r>
                </w:p>
              </w:tc>
              <w:tc>
                <w:tcPr>
                  <w:tcW w:w="1174" w:type="dxa"/>
                  <w:vAlign w:val="center"/>
                </w:tcPr>
                <w:p w14:paraId="17FD9F4C">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氢气</w:t>
                  </w:r>
                </w:p>
              </w:tc>
              <w:tc>
                <w:tcPr>
                  <w:tcW w:w="1174" w:type="dxa"/>
                  <w:vAlign w:val="center"/>
                </w:tcPr>
                <w:p w14:paraId="4EE4AE33">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可燃气体</w:t>
                  </w:r>
                </w:p>
              </w:tc>
              <w:tc>
                <w:tcPr>
                  <w:tcW w:w="1174" w:type="dxa"/>
                  <w:vAlign w:val="center"/>
                </w:tcPr>
                <w:p w14:paraId="006460A6">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＞99.999%</w:t>
                  </w:r>
                </w:p>
              </w:tc>
              <w:tc>
                <w:tcPr>
                  <w:tcW w:w="1174" w:type="dxa"/>
                </w:tcPr>
                <w:p w14:paraId="25EF2D3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40L</w:t>
                  </w:r>
                </w:p>
              </w:tc>
              <w:tc>
                <w:tcPr>
                  <w:tcW w:w="1174" w:type="dxa"/>
                </w:tcPr>
                <w:p w14:paraId="5AD5EBE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1瓶</w:t>
                  </w:r>
                </w:p>
              </w:tc>
              <w:tc>
                <w:tcPr>
                  <w:tcW w:w="1175" w:type="dxa"/>
                </w:tcPr>
                <w:p w14:paraId="10398EE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2瓶</w:t>
                  </w:r>
                </w:p>
              </w:tc>
            </w:tr>
            <w:tr w14:paraId="2797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6F818D71">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3</w:t>
                  </w:r>
                </w:p>
              </w:tc>
              <w:tc>
                <w:tcPr>
                  <w:tcW w:w="1174" w:type="dxa"/>
                  <w:vAlign w:val="center"/>
                </w:tcPr>
                <w:p w14:paraId="3B82C292">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氩气</w:t>
                  </w:r>
                </w:p>
              </w:tc>
              <w:tc>
                <w:tcPr>
                  <w:tcW w:w="1174" w:type="dxa"/>
                  <w:vAlign w:val="center"/>
                </w:tcPr>
                <w:p w14:paraId="5DEC725A">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惰性气体</w:t>
                  </w:r>
                </w:p>
              </w:tc>
              <w:tc>
                <w:tcPr>
                  <w:tcW w:w="1174" w:type="dxa"/>
                  <w:vAlign w:val="center"/>
                </w:tcPr>
                <w:p w14:paraId="26A585D7">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＞99.999%</w:t>
                  </w:r>
                </w:p>
              </w:tc>
              <w:tc>
                <w:tcPr>
                  <w:tcW w:w="1174" w:type="dxa"/>
                </w:tcPr>
                <w:p w14:paraId="086754C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40L</w:t>
                  </w:r>
                </w:p>
              </w:tc>
              <w:tc>
                <w:tcPr>
                  <w:tcW w:w="1174" w:type="dxa"/>
                </w:tcPr>
                <w:p w14:paraId="1959E21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1瓶</w:t>
                  </w:r>
                </w:p>
              </w:tc>
              <w:tc>
                <w:tcPr>
                  <w:tcW w:w="1175" w:type="dxa"/>
                </w:tcPr>
                <w:p w14:paraId="4A3EC9D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2瓶</w:t>
                  </w:r>
                </w:p>
              </w:tc>
            </w:tr>
            <w:tr w14:paraId="0C5C0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5DFBD294">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4</w:t>
                  </w:r>
                </w:p>
              </w:tc>
              <w:tc>
                <w:tcPr>
                  <w:tcW w:w="1174" w:type="dxa"/>
                  <w:vAlign w:val="center"/>
                </w:tcPr>
                <w:p w14:paraId="74B22E5E">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氦气</w:t>
                  </w:r>
                </w:p>
              </w:tc>
              <w:tc>
                <w:tcPr>
                  <w:tcW w:w="1174" w:type="dxa"/>
                  <w:vAlign w:val="center"/>
                </w:tcPr>
                <w:p w14:paraId="671A66C1">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不燃气体</w:t>
                  </w:r>
                </w:p>
              </w:tc>
              <w:tc>
                <w:tcPr>
                  <w:tcW w:w="1174" w:type="dxa"/>
                  <w:vAlign w:val="center"/>
                </w:tcPr>
                <w:p w14:paraId="0F8FDA6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＞99.999%</w:t>
                  </w:r>
                </w:p>
              </w:tc>
              <w:tc>
                <w:tcPr>
                  <w:tcW w:w="1174" w:type="dxa"/>
                </w:tcPr>
                <w:p w14:paraId="562A92F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40L</w:t>
                  </w:r>
                </w:p>
              </w:tc>
              <w:tc>
                <w:tcPr>
                  <w:tcW w:w="1174" w:type="dxa"/>
                </w:tcPr>
                <w:p w14:paraId="3D0522A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1瓶</w:t>
                  </w:r>
                </w:p>
              </w:tc>
              <w:tc>
                <w:tcPr>
                  <w:tcW w:w="1175" w:type="dxa"/>
                </w:tcPr>
                <w:p w14:paraId="431A812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2瓶</w:t>
                  </w:r>
                </w:p>
              </w:tc>
            </w:tr>
            <w:tr w14:paraId="2A813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64299870">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5</w:t>
                  </w:r>
                </w:p>
              </w:tc>
              <w:tc>
                <w:tcPr>
                  <w:tcW w:w="1174" w:type="dxa"/>
                  <w:vAlign w:val="center"/>
                </w:tcPr>
                <w:p w14:paraId="03409865">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氮气</w:t>
                  </w:r>
                </w:p>
              </w:tc>
              <w:tc>
                <w:tcPr>
                  <w:tcW w:w="1174" w:type="dxa"/>
                  <w:vAlign w:val="center"/>
                </w:tcPr>
                <w:p w14:paraId="1841BC77">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不燃气体</w:t>
                  </w:r>
                </w:p>
              </w:tc>
              <w:tc>
                <w:tcPr>
                  <w:tcW w:w="1174" w:type="dxa"/>
                  <w:vAlign w:val="center"/>
                </w:tcPr>
                <w:p w14:paraId="1046ABF5">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vertAlign w:val="baseline"/>
                      <w:lang w:val="en-US"/>
                    </w:rPr>
                  </w:pPr>
                  <w:r>
                    <w:rPr>
                      <w:rFonts w:hint="default" w:ascii="Times New Roman" w:hAnsi="Times New Roman" w:eastAsia="宋体" w:cs="Times New Roman"/>
                      <w:i w:val="0"/>
                      <w:iCs w:val="0"/>
                      <w:color w:val="auto"/>
                      <w:kern w:val="0"/>
                      <w:sz w:val="18"/>
                      <w:szCs w:val="18"/>
                      <w:u w:val="none"/>
                      <w:lang w:val="en-US" w:eastAsia="zh-CN" w:bidi="ar"/>
                    </w:rPr>
                    <w:t>95%</w:t>
                  </w:r>
                </w:p>
              </w:tc>
              <w:tc>
                <w:tcPr>
                  <w:tcW w:w="1174" w:type="dxa"/>
                </w:tcPr>
                <w:p w14:paraId="4BD0753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40L</w:t>
                  </w:r>
                </w:p>
              </w:tc>
              <w:tc>
                <w:tcPr>
                  <w:tcW w:w="1174" w:type="dxa"/>
                </w:tcPr>
                <w:p w14:paraId="4DBA634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1瓶</w:t>
                  </w:r>
                </w:p>
              </w:tc>
              <w:tc>
                <w:tcPr>
                  <w:tcW w:w="1175" w:type="dxa"/>
                </w:tcPr>
                <w:p w14:paraId="53C77F7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rPr>
                  </w:pPr>
                  <w:r>
                    <w:rPr>
                      <w:rFonts w:hint="eastAsia" w:ascii="Times New Roman" w:hAnsi="Times New Roman" w:eastAsia="宋体" w:cs="Times New Roman"/>
                      <w:color w:val="auto"/>
                      <w:sz w:val="18"/>
                      <w:szCs w:val="18"/>
                      <w:vertAlign w:val="baseline"/>
                      <w:lang w:val="en-US" w:eastAsia="zh-CN"/>
                    </w:rPr>
                    <w:t>2瓶</w:t>
                  </w:r>
                </w:p>
              </w:tc>
            </w:tr>
          </w:tbl>
          <w:p w14:paraId="7BE389F1">
            <w:pPr>
              <w:pStyle w:val="3"/>
              <w:spacing w:line="360" w:lineRule="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7、项目劳动定员及工作制度</w:t>
            </w:r>
          </w:p>
          <w:p w14:paraId="75C11F52">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本项目劳动定员</w:t>
            </w:r>
            <w:r>
              <w:rPr>
                <w:rFonts w:hint="eastAsia" w:cs="Times New Roman"/>
                <w:color w:val="auto"/>
                <w:sz w:val="21"/>
                <w:szCs w:val="21"/>
                <w:highlight w:val="none"/>
                <w:lang w:val="en-US" w:eastAsia="zh-CN"/>
              </w:rPr>
              <w:t>11人，其中</w:t>
            </w:r>
            <w:r>
              <w:rPr>
                <w:rFonts w:hint="eastAsia" w:ascii="Times New Roman" w:hAnsi="Times New Roman" w:eastAsia="宋体" w:cs="Times New Roman"/>
                <w:color w:val="auto"/>
                <w:sz w:val="21"/>
                <w:szCs w:val="21"/>
                <w:highlight w:val="none"/>
                <w:lang w:val="en-US" w:eastAsia="zh-CN"/>
              </w:rPr>
              <w:t>检测操作人员8人</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管理人员3人，年工作日250天，</w:t>
            </w:r>
            <w:r>
              <w:rPr>
                <w:rFonts w:hint="default" w:ascii="Times New Roman" w:hAnsi="Times New Roman" w:eastAsia="宋体" w:cs="Times New Roman"/>
                <w:color w:val="auto"/>
                <w:sz w:val="21"/>
                <w:szCs w:val="21"/>
                <w:highlight w:val="none"/>
              </w:rPr>
              <w:t>每天工作一班，每班工作8小时。</w:t>
            </w:r>
          </w:p>
          <w:p w14:paraId="21594FEB">
            <w:pPr>
              <w:bidi w:val="0"/>
              <w:spacing w:line="360" w:lineRule="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8、项目总平面布置</w:t>
            </w:r>
          </w:p>
          <w:p w14:paraId="73BC64D5">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eastAsia" w:cs="Times New Roman"/>
                <w:color w:val="auto"/>
                <w:sz w:val="21"/>
                <w:szCs w:val="21"/>
                <w:highlight w:val="none"/>
                <w:lang w:val="en-US" w:eastAsia="zh-CN"/>
              </w:rPr>
              <w:t>租用</w:t>
            </w:r>
            <w:r>
              <w:rPr>
                <w:rFonts w:hint="default" w:ascii="Times New Roman" w:hAnsi="Times New Roman" w:eastAsia="宋体" w:cs="Times New Roman"/>
                <w:color w:val="auto"/>
                <w:kern w:val="0"/>
                <w:sz w:val="21"/>
                <w:szCs w:val="21"/>
                <w:highlight w:val="none"/>
                <w:lang w:val="en-US" w:eastAsia="zh-CN" w:bidi="ar"/>
              </w:rPr>
              <w:t>云南水投牛栏江滇池补水工程有限公司</w:t>
            </w:r>
            <w:r>
              <w:rPr>
                <w:rFonts w:hint="eastAsia" w:cs="Times New Roman"/>
                <w:color w:val="auto"/>
                <w:kern w:val="0"/>
                <w:sz w:val="21"/>
                <w:szCs w:val="21"/>
                <w:highlight w:val="none"/>
                <w:lang w:val="en-US" w:eastAsia="zh-CN" w:bidi="ar"/>
              </w:rPr>
              <w:t>原有办公楼的负二层地下室建设水质检测实验室。实验室中间布置贯穿式的人行通道，各类检测间布置在人行通道的两侧。在人行通道的两头设置门禁系统。实验室的外围布置防火救援通道，环保设备集中布置在实验室外侧的东北角。总体来看，项目内部</w:t>
            </w:r>
            <w:r>
              <w:rPr>
                <w:rFonts w:hint="default" w:ascii="Times New Roman" w:hAnsi="Times New Roman" w:eastAsia="宋体" w:cs="Times New Roman"/>
                <w:color w:val="auto"/>
                <w:sz w:val="21"/>
                <w:szCs w:val="21"/>
                <w:highlight w:val="none"/>
              </w:rPr>
              <w:t>分区</w:t>
            </w:r>
            <w:r>
              <w:rPr>
                <w:rFonts w:hint="eastAsia" w:ascii="Times New Roman" w:hAnsi="Times New Roman" w:eastAsia="宋体" w:cs="Times New Roman"/>
                <w:color w:val="auto"/>
                <w:sz w:val="21"/>
                <w:szCs w:val="21"/>
                <w:highlight w:val="none"/>
                <w:lang w:val="en-US" w:eastAsia="zh-CN"/>
              </w:rPr>
              <w:t>清晰</w:t>
            </w:r>
            <w:r>
              <w:rPr>
                <w:rFonts w:hint="default" w:ascii="Times New Roman" w:hAnsi="Times New Roman" w:eastAsia="宋体" w:cs="Times New Roman"/>
                <w:color w:val="auto"/>
                <w:sz w:val="21"/>
                <w:szCs w:val="21"/>
                <w:highlight w:val="none"/>
              </w:rPr>
              <w:t>，便于各个工作区流畅有序操作，间距合理，避免了相互干扰，也满足功能分区要求及办公要求，组织协作良好。本项目总平面布置是合理的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项目总平面布置图</w:t>
            </w:r>
            <w:r>
              <w:rPr>
                <w:rFonts w:hint="eastAsia" w:ascii="Times New Roman" w:hAnsi="Times New Roman" w:eastAsia="宋体" w:cs="Times New Roman"/>
                <w:color w:val="auto"/>
                <w:sz w:val="21"/>
                <w:szCs w:val="21"/>
                <w:highlight w:val="none"/>
                <w:lang w:val="en-US" w:eastAsia="zh-CN"/>
              </w:rPr>
              <w:t>详</w:t>
            </w:r>
            <w:r>
              <w:rPr>
                <w:rFonts w:hint="default" w:ascii="Times New Roman" w:hAnsi="Times New Roman" w:eastAsia="宋体" w:cs="Times New Roman"/>
                <w:color w:val="auto"/>
                <w:sz w:val="21"/>
                <w:szCs w:val="21"/>
                <w:highlight w:val="none"/>
              </w:rPr>
              <w:t>见附图</w:t>
            </w:r>
            <w:r>
              <w:rPr>
                <w:rFonts w:hint="eastAsia"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w:t>
            </w:r>
          </w:p>
          <w:p w14:paraId="2B5CF556">
            <w:pPr>
              <w:autoSpaceDE w:val="0"/>
              <w:autoSpaceDN w:val="0"/>
              <w:adjustRightInd w:val="0"/>
              <w:snapToGrid w:val="0"/>
              <w:spacing w:line="360" w:lineRule="auto"/>
              <w:jc w:val="left"/>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kern w:val="2"/>
                <w:sz w:val="21"/>
                <w:szCs w:val="21"/>
                <w:lang w:val="en-US" w:eastAsia="zh-CN" w:bidi="ar-SA"/>
              </w:rPr>
              <w:t>9</w:t>
            </w:r>
            <w:r>
              <w:rPr>
                <w:rFonts w:hint="default" w:ascii="Times New Roman" w:hAnsi="Times New Roman" w:eastAsia="宋体" w:cs="Times New Roman"/>
                <w:b/>
                <w:bCs/>
                <w:color w:val="auto"/>
                <w:kern w:val="2"/>
                <w:sz w:val="21"/>
                <w:szCs w:val="21"/>
                <w:lang w:val="en-US" w:eastAsia="zh-CN" w:bidi="ar-SA"/>
              </w:rPr>
              <w:t>、</w:t>
            </w:r>
            <w:r>
              <w:rPr>
                <w:rFonts w:hint="default" w:ascii="Times New Roman" w:hAnsi="Times New Roman" w:eastAsia="宋体" w:cs="Times New Roman"/>
                <w:b/>
                <w:color w:val="auto"/>
                <w:kern w:val="0"/>
                <w:sz w:val="21"/>
                <w:szCs w:val="21"/>
              </w:rPr>
              <w:t>项目环保投资</w:t>
            </w:r>
          </w:p>
          <w:p w14:paraId="6F0679AB">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本项目总投资</w:t>
            </w:r>
            <w:r>
              <w:rPr>
                <w:rFonts w:hint="eastAsia" w:ascii="Times New Roman" w:hAnsi="Times New Roman" w:eastAsia="宋体" w:cs="Times New Roman"/>
                <w:color w:val="auto"/>
                <w:sz w:val="21"/>
                <w:szCs w:val="21"/>
                <w:lang w:val="en-US" w:eastAsia="zh-CN"/>
              </w:rPr>
              <w:t>980</w:t>
            </w:r>
            <w:r>
              <w:rPr>
                <w:rFonts w:hint="default" w:ascii="Times New Roman" w:hAnsi="Times New Roman" w:eastAsia="宋体" w:cs="Times New Roman"/>
                <w:bCs/>
                <w:color w:val="auto"/>
                <w:sz w:val="21"/>
                <w:szCs w:val="21"/>
              </w:rPr>
              <w:t>万元，</w:t>
            </w:r>
            <w:r>
              <w:rPr>
                <w:rFonts w:hint="default" w:ascii="Times New Roman" w:hAnsi="Times New Roman" w:eastAsia="宋体" w:cs="Times New Roman"/>
                <w:color w:val="auto"/>
                <w:sz w:val="21"/>
                <w:szCs w:val="21"/>
              </w:rPr>
              <w:t>其中环保投资</w:t>
            </w:r>
            <w:r>
              <w:rPr>
                <w:rFonts w:hint="eastAsia" w:ascii="Times New Roman" w:hAnsi="Times New Roman" w:eastAsia="宋体" w:cs="Times New Roman"/>
                <w:color w:val="auto"/>
                <w:sz w:val="21"/>
                <w:szCs w:val="21"/>
                <w:lang w:val="en-US" w:eastAsia="zh-CN"/>
              </w:rPr>
              <w:t>24.9</w:t>
            </w:r>
            <w:r>
              <w:rPr>
                <w:rFonts w:hint="default" w:ascii="Times New Roman" w:hAnsi="Times New Roman" w:eastAsia="宋体" w:cs="Times New Roman"/>
                <w:color w:val="auto"/>
                <w:sz w:val="21"/>
                <w:szCs w:val="21"/>
              </w:rPr>
              <w:t>万元，环保投资占总投资的</w:t>
            </w:r>
            <w:r>
              <w:rPr>
                <w:rFonts w:hint="eastAsia" w:ascii="Times New Roman" w:hAnsi="Times New Roman" w:eastAsia="宋体" w:cs="Times New Roman"/>
                <w:color w:val="auto"/>
                <w:sz w:val="21"/>
                <w:szCs w:val="21"/>
                <w:lang w:val="en-US" w:eastAsia="zh-CN"/>
              </w:rPr>
              <w:t>2.54</w:t>
            </w:r>
            <w:r>
              <w:rPr>
                <w:rFonts w:hint="default" w:ascii="Times New Roman" w:hAnsi="Times New Roman" w:eastAsia="宋体" w:cs="Times New Roman"/>
                <w:color w:val="auto"/>
                <w:sz w:val="21"/>
                <w:szCs w:val="21"/>
              </w:rPr>
              <w:t>%，详见表2-</w:t>
            </w: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项目环保投资一览表。</w:t>
            </w:r>
          </w:p>
          <w:p w14:paraId="5EF520BE">
            <w:pPr>
              <w:keepNext w:val="0"/>
              <w:keepLines w:val="0"/>
              <w:pageBreakBefore w:val="0"/>
              <w:kinsoku/>
              <w:wordWrap/>
              <w:overflowPunct/>
              <w:topLinePunct w:val="0"/>
              <w:autoSpaceDE w:val="0"/>
              <w:autoSpaceDN w:val="0"/>
              <w:bidi w:val="0"/>
              <w:adjustRightInd w:val="0"/>
              <w:snapToGrid w:val="0"/>
              <w:spacing w:line="360" w:lineRule="exact"/>
              <w:jc w:val="center"/>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表2-</w:t>
            </w:r>
            <w:r>
              <w:rPr>
                <w:rFonts w:hint="default" w:ascii="Times New Roman" w:hAnsi="Times New Roman" w:eastAsia="宋体" w:cs="Times New Roman"/>
                <w:b/>
                <w:bCs/>
                <w:color w:val="auto"/>
                <w:sz w:val="18"/>
                <w:szCs w:val="18"/>
                <w:lang w:val="en-US" w:eastAsia="zh-CN"/>
              </w:rPr>
              <w:t>9</w:t>
            </w:r>
            <w:r>
              <w:rPr>
                <w:rFonts w:hint="default" w:ascii="Times New Roman" w:hAnsi="Times New Roman" w:eastAsia="宋体" w:cs="Times New Roman"/>
                <w:b/>
                <w:bCs/>
                <w:color w:val="auto"/>
                <w:sz w:val="18"/>
                <w:szCs w:val="18"/>
              </w:rPr>
              <w:t xml:space="preserve">  项目环保投资一览表</w:t>
            </w:r>
          </w:p>
          <w:tbl>
            <w:tblPr>
              <w:tblStyle w:val="20"/>
              <w:tblW w:w="8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486"/>
              <w:gridCol w:w="1110"/>
              <w:gridCol w:w="4347"/>
              <w:gridCol w:w="1387"/>
            </w:tblGrid>
            <w:tr w14:paraId="5A73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tcBorders>
                    <w:tl2br w:val="nil"/>
                    <w:tr2bl w:val="nil"/>
                  </w:tcBorders>
                  <w:noWrap w:val="0"/>
                  <w:vAlign w:val="center"/>
                </w:tcPr>
                <w:p w14:paraId="416F603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bCs/>
                      <w:i w:val="0"/>
                      <w:color w:val="auto"/>
                      <w:kern w:val="0"/>
                      <w:sz w:val="18"/>
                      <w:szCs w:val="18"/>
                      <w:u w:val="none"/>
                      <w:lang w:val="en-US" w:eastAsia="zh-CN" w:bidi="ar"/>
                    </w:rPr>
                  </w:pPr>
                  <w:r>
                    <w:rPr>
                      <w:rFonts w:hint="default" w:ascii="Times New Roman" w:hAnsi="Times New Roman" w:eastAsia="宋体" w:cs="Times New Roman"/>
                      <w:b/>
                      <w:bCs/>
                      <w:i w:val="0"/>
                      <w:color w:val="auto"/>
                      <w:kern w:val="0"/>
                      <w:sz w:val="18"/>
                      <w:szCs w:val="18"/>
                      <w:u w:val="none"/>
                      <w:lang w:val="en-US" w:eastAsia="zh-CN" w:bidi="ar"/>
                    </w:rPr>
                    <w:t>阶段</w:t>
                  </w:r>
                </w:p>
              </w:tc>
              <w:tc>
                <w:tcPr>
                  <w:tcW w:w="1596" w:type="dxa"/>
                  <w:gridSpan w:val="2"/>
                  <w:tcBorders>
                    <w:tl2br w:val="nil"/>
                    <w:tr2bl w:val="nil"/>
                  </w:tcBorders>
                  <w:noWrap w:val="0"/>
                  <w:vAlign w:val="center"/>
                </w:tcPr>
                <w:p w14:paraId="414A4E8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bCs/>
                      <w:i w:val="0"/>
                      <w:color w:val="auto"/>
                      <w:kern w:val="0"/>
                      <w:sz w:val="18"/>
                      <w:szCs w:val="18"/>
                      <w:u w:val="none"/>
                      <w:lang w:val="en-US" w:eastAsia="zh-CN" w:bidi="ar"/>
                    </w:rPr>
                  </w:pPr>
                  <w:r>
                    <w:rPr>
                      <w:rFonts w:hint="default" w:ascii="Times New Roman" w:hAnsi="Times New Roman" w:eastAsia="宋体" w:cs="Times New Roman"/>
                      <w:b/>
                      <w:bCs/>
                      <w:i w:val="0"/>
                      <w:color w:val="auto"/>
                      <w:kern w:val="0"/>
                      <w:sz w:val="18"/>
                      <w:szCs w:val="18"/>
                      <w:u w:val="none"/>
                      <w:lang w:val="en-US" w:eastAsia="zh-CN" w:bidi="ar"/>
                    </w:rPr>
                    <w:t>环境污染因子</w:t>
                  </w:r>
                </w:p>
              </w:tc>
              <w:tc>
                <w:tcPr>
                  <w:tcW w:w="4347" w:type="dxa"/>
                  <w:tcBorders>
                    <w:tl2br w:val="nil"/>
                    <w:tr2bl w:val="nil"/>
                  </w:tcBorders>
                  <w:noWrap w:val="0"/>
                  <w:vAlign w:val="center"/>
                </w:tcPr>
                <w:p w14:paraId="3662B1D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bCs/>
                      <w:i w:val="0"/>
                      <w:color w:val="auto"/>
                      <w:kern w:val="0"/>
                      <w:sz w:val="18"/>
                      <w:szCs w:val="18"/>
                      <w:u w:val="none"/>
                      <w:lang w:val="en-US" w:eastAsia="zh-CN" w:bidi="ar"/>
                    </w:rPr>
                  </w:pPr>
                  <w:r>
                    <w:rPr>
                      <w:rFonts w:hint="default" w:ascii="Times New Roman" w:hAnsi="Times New Roman" w:eastAsia="宋体" w:cs="Times New Roman"/>
                      <w:b/>
                      <w:bCs/>
                      <w:i w:val="0"/>
                      <w:color w:val="auto"/>
                      <w:kern w:val="0"/>
                      <w:sz w:val="18"/>
                      <w:szCs w:val="18"/>
                      <w:u w:val="none"/>
                      <w:lang w:val="en-US" w:eastAsia="zh-CN" w:bidi="ar"/>
                    </w:rPr>
                    <w:t>项目及措施</w:t>
                  </w:r>
                </w:p>
              </w:tc>
              <w:tc>
                <w:tcPr>
                  <w:tcW w:w="1387" w:type="dxa"/>
                  <w:tcBorders>
                    <w:tl2br w:val="nil"/>
                    <w:tr2bl w:val="nil"/>
                  </w:tcBorders>
                  <w:noWrap w:val="0"/>
                  <w:vAlign w:val="center"/>
                </w:tcPr>
                <w:p w14:paraId="3B8DCE1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bCs/>
                      <w:i w:val="0"/>
                      <w:color w:val="auto"/>
                      <w:kern w:val="0"/>
                      <w:sz w:val="18"/>
                      <w:szCs w:val="18"/>
                      <w:u w:val="none"/>
                      <w:lang w:val="en-US" w:eastAsia="zh-CN" w:bidi="ar"/>
                    </w:rPr>
                  </w:pPr>
                  <w:r>
                    <w:rPr>
                      <w:rFonts w:hint="default" w:ascii="Times New Roman" w:hAnsi="Times New Roman" w:eastAsia="宋体" w:cs="Times New Roman"/>
                      <w:b/>
                      <w:bCs/>
                      <w:i w:val="0"/>
                      <w:color w:val="auto"/>
                      <w:kern w:val="0"/>
                      <w:sz w:val="18"/>
                      <w:szCs w:val="18"/>
                      <w:u w:val="none"/>
                      <w:lang w:val="en-US" w:eastAsia="zh-CN" w:bidi="ar"/>
                    </w:rPr>
                    <w:t>金额</w:t>
                  </w:r>
                </w:p>
                <w:p w14:paraId="18FEFF9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bCs/>
                      <w:i w:val="0"/>
                      <w:color w:val="auto"/>
                      <w:kern w:val="0"/>
                      <w:sz w:val="18"/>
                      <w:szCs w:val="18"/>
                      <w:u w:val="none"/>
                      <w:lang w:val="en-US" w:eastAsia="zh-CN" w:bidi="ar"/>
                    </w:rPr>
                  </w:pPr>
                  <w:r>
                    <w:rPr>
                      <w:rFonts w:hint="default" w:ascii="Times New Roman" w:hAnsi="Times New Roman" w:eastAsia="宋体" w:cs="Times New Roman"/>
                      <w:b/>
                      <w:bCs/>
                      <w:i w:val="0"/>
                      <w:color w:val="auto"/>
                      <w:kern w:val="0"/>
                      <w:sz w:val="18"/>
                      <w:szCs w:val="18"/>
                      <w:u w:val="none"/>
                      <w:lang w:val="en-US" w:eastAsia="zh-CN" w:bidi="ar"/>
                    </w:rPr>
                    <w:t>（万元）</w:t>
                  </w:r>
                </w:p>
              </w:tc>
            </w:tr>
            <w:tr w14:paraId="28D3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vMerge w:val="restart"/>
                  <w:tcBorders>
                    <w:tl2br w:val="nil"/>
                    <w:tr2bl w:val="nil"/>
                  </w:tcBorders>
                  <w:noWrap w:val="0"/>
                  <w:vAlign w:val="center"/>
                </w:tcPr>
                <w:p w14:paraId="2A4FEEA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施工期</w:t>
                  </w:r>
                </w:p>
              </w:tc>
              <w:tc>
                <w:tcPr>
                  <w:tcW w:w="486" w:type="dxa"/>
                  <w:tcBorders>
                    <w:tl2br w:val="nil"/>
                    <w:tr2bl w:val="nil"/>
                  </w:tcBorders>
                  <w:noWrap w:val="0"/>
                  <w:vAlign w:val="center"/>
                </w:tcPr>
                <w:p w14:paraId="363E971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废气</w:t>
                  </w:r>
                </w:p>
              </w:tc>
              <w:tc>
                <w:tcPr>
                  <w:tcW w:w="1110" w:type="dxa"/>
                  <w:tcBorders>
                    <w:tl2br w:val="nil"/>
                    <w:tr2bl w:val="nil"/>
                  </w:tcBorders>
                  <w:noWrap w:val="0"/>
                  <w:vAlign w:val="center"/>
                </w:tcPr>
                <w:p w14:paraId="7189C66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施工扬尘</w:t>
                  </w:r>
                </w:p>
              </w:tc>
              <w:tc>
                <w:tcPr>
                  <w:tcW w:w="4347" w:type="dxa"/>
                  <w:tcBorders>
                    <w:tl2br w:val="nil"/>
                    <w:tr2bl w:val="nil"/>
                  </w:tcBorders>
                  <w:noWrap w:val="0"/>
                  <w:vAlign w:val="center"/>
                </w:tcPr>
                <w:p w14:paraId="2A37B84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粉状物料连盖运输、洒水降尘</w:t>
                  </w:r>
                </w:p>
              </w:tc>
              <w:tc>
                <w:tcPr>
                  <w:tcW w:w="1387" w:type="dxa"/>
                  <w:tcBorders>
                    <w:tl2br w:val="nil"/>
                    <w:tr2bl w:val="nil"/>
                  </w:tcBorders>
                  <w:noWrap w:val="0"/>
                  <w:vAlign w:val="center"/>
                </w:tcPr>
                <w:p w14:paraId="1F686C6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0.1</w:t>
                  </w:r>
                </w:p>
              </w:tc>
            </w:tr>
            <w:tr w14:paraId="4DF04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vMerge w:val="continue"/>
                  <w:tcBorders>
                    <w:tl2br w:val="nil"/>
                    <w:tr2bl w:val="nil"/>
                  </w:tcBorders>
                  <w:noWrap w:val="0"/>
                  <w:vAlign w:val="center"/>
                </w:tcPr>
                <w:p w14:paraId="12C6BBE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486" w:type="dxa"/>
                  <w:tcBorders>
                    <w:tl2br w:val="nil"/>
                    <w:tr2bl w:val="nil"/>
                  </w:tcBorders>
                  <w:noWrap w:val="0"/>
                  <w:vAlign w:val="center"/>
                </w:tcPr>
                <w:p w14:paraId="26DC671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废水</w:t>
                  </w:r>
                </w:p>
              </w:tc>
              <w:tc>
                <w:tcPr>
                  <w:tcW w:w="1110" w:type="dxa"/>
                  <w:tcBorders>
                    <w:tl2br w:val="nil"/>
                    <w:tr2bl w:val="nil"/>
                  </w:tcBorders>
                  <w:noWrap w:val="0"/>
                  <w:vAlign w:val="center"/>
                </w:tcPr>
                <w:p w14:paraId="6EEC048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施工废水</w:t>
                  </w:r>
                </w:p>
              </w:tc>
              <w:tc>
                <w:tcPr>
                  <w:tcW w:w="4347" w:type="dxa"/>
                  <w:tcBorders>
                    <w:tl2br w:val="nil"/>
                    <w:tr2bl w:val="nil"/>
                  </w:tcBorders>
                  <w:noWrap w:val="0"/>
                  <w:vAlign w:val="center"/>
                </w:tcPr>
                <w:p w14:paraId="1C4799B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依托已建卫生间及化粪池统一收集处置</w:t>
                  </w:r>
                </w:p>
              </w:tc>
              <w:tc>
                <w:tcPr>
                  <w:tcW w:w="1387" w:type="dxa"/>
                  <w:tcBorders>
                    <w:tl2br w:val="nil"/>
                    <w:tr2bl w:val="nil"/>
                  </w:tcBorders>
                  <w:noWrap w:val="0"/>
                  <w:vAlign w:val="center"/>
                </w:tcPr>
                <w:p w14:paraId="65340EA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w:t>
                  </w:r>
                </w:p>
              </w:tc>
            </w:tr>
            <w:tr w14:paraId="31FDD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vMerge w:val="continue"/>
                  <w:tcBorders>
                    <w:tl2br w:val="nil"/>
                    <w:tr2bl w:val="nil"/>
                  </w:tcBorders>
                  <w:noWrap w:val="0"/>
                  <w:vAlign w:val="center"/>
                </w:tcPr>
                <w:p w14:paraId="55BF50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486" w:type="dxa"/>
                  <w:tcBorders>
                    <w:tl2br w:val="nil"/>
                    <w:tr2bl w:val="nil"/>
                  </w:tcBorders>
                  <w:noWrap w:val="0"/>
                  <w:vAlign w:val="center"/>
                </w:tcPr>
                <w:p w14:paraId="5927823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噪声</w:t>
                  </w:r>
                </w:p>
              </w:tc>
              <w:tc>
                <w:tcPr>
                  <w:tcW w:w="1110" w:type="dxa"/>
                  <w:tcBorders>
                    <w:tl2br w:val="nil"/>
                    <w:tr2bl w:val="nil"/>
                  </w:tcBorders>
                  <w:noWrap w:val="0"/>
                  <w:vAlign w:val="center"/>
                </w:tcPr>
                <w:p w14:paraId="7F8AE2B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声环境</w:t>
                  </w:r>
                </w:p>
              </w:tc>
              <w:tc>
                <w:tcPr>
                  <w:tcW w:w="4347" w:type="dxa"/>
                  <w:tcBorders>
                    <w:tl2br w:val="nil"/>
                    <w:tr2bl w:val="nil"/>
                  </w:tcBorders>
                  <w:noWrap w:val="0"/>
                  <w:vAlign w:val="center"/>
                </w:tcPr>
                <w:p w14:paraId="16E1BF5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选择低噪声设备，加强施工机械的维修保养，合理安排施工时段</w:t>
                  </w:r>
                </w:p>
              </w:tc>
              <w:tc>
                <w:tcPr>
                  <w:tcW w:w="1387" w:type="dxa"/>
                  <w:tcBorders>
                    <w:tl2br w:val="nil"/>
                    <w:tr2bl w:val="nil"/>
                  </w:tcBorders>
                  <w:noWrap w:val="0"/>
                  <w:vAlign w:val="center"/>
                </w:tcPr>
                <w:p w14:paraId="6E76E2F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0.5</w:t>
                  </w:r>
                </w:p>
              </w:tc>
            </w:tr>
            <w:tr w14:paraId="02E58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vMerge w:val="continue"/>
                  <w:tcBorders>
                    <w:tl2br w:val="nil"/>
                    <w:tr2bl w:val="nil"/>
                  </w:tcBorders>
                  <w:noWrap w:val="0"/>
                  <w:vAlign w:val="center"/>
                </w:tcPr>
                <w:p w14:paraId="15F173C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486" w:type="dxa"/>
                  <w:tcBorders>
                    <w:tl2br w:val="nil"/>
                    <w:tr2bl w:val="nil"/>
                  </w:tcBorders>
                  <w:noWrap w:val="0"/>
                  <w:vAlign w:val="center"/>
                </w:tcPr>
                <w:p w14:paraId="56C6D9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固废</w:t>
                  </w:r>
                </w:p>
              </w:tc>
              <w:tc>
                <w:tcPr>
                  <w:tcW w:w="1110" w:type="dxa"/>
                  <w:tcBorders>
                    <w:tl2br w:val="nil"/>
                    <w:tr2bl w:val="nil"/>
                  </w:tcBorders>
                  <w:noWrap w:val="0"/>
                  <w:vAlign w:val="center"/>
                </w:tcPr>
                <w:p w14:paraId="46AE1B3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施工建筑垃圾</w:t>
                  </w:r>
                </w:p>
              </w:tc>
              <w:tc>
                <w:tcPr>
                  <w:tcW w:w="4347" w:type="dxa"/>
                  <w:tcBorders>
                    <w:tl2br w:val="nil"/>
                    <w:tr2bl w:val="nil"/>
                  </w:tcBorders>
                  <w:noWrap w:val="0"/>
                  <w:vAlign w:val="center"/>
                </w:tcPr>
                <w:p w14:paraId="107CE5C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收集、清运、处置</w:t>
                  </w:r>
                </w:p>
              </w:tc>
              <w:tc>
                <w:tcPr>
                  <w:tcW w:w="1387" w:type="dxa"/>
                  <w:tcBorders>
                    <w:tl2br w:val="nil"/>
                    <w:tr2bl w:val="nil"/>
                  </w:tcBorders>
                  <w:noWrap w:val="0"/>
                  <w:vAlign w:val="center"/>
                </w:tcPr>
                <w:p w14:paraId="357037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0.2</w:t>
                  </w:r>
                </w:p>
              </w:tc>
            </w:tr>
            <w:tr w14:paraId="04BC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vMerge w:val="restart"/>
                  <w:tcBorders>
                    <w:tl2br w:val="nil"/>
                    <w:tr2bl w:val="nil"/>
                  </w:tcBorders>
                  <w:noWrap w:val="0"/>
                  <w:vAlign w:val="center"/>
                </w:tcPr>
                <w:p w14:paraId="0859E7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运营期</w:t>
                  </w:r>
                </w:p>
              </w:tc>
              <w:tc>
                <w:tcPr>
                  <w:tcW w:w="486" w:type="dxa"/>
                  <w:vMerge w:val="restart"/>
                  <w:tcBorders>
                    <w:tl2br w:val="nil"/>
                    <w:tr2bl w:val="nil"/>
                  </w:tcBorders>
                  <w:noWrap w:val="0"/>
                  <w:vAlign w:val="center"/>
                </w:tcPr>
                <w:p w14:paraId="164EDFE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废气</w:t>
                  </w:r>
                </w:p>
              </w:tc>
              <w:tc>
                <w:tcPr>
                  <w:tcW w:w="1110" w:type="dxa"/>
                  <w:tcBorders>
                    <w:tl2br w:val="nil"/>
                    <w:tr2bl w:val="nil"/>
                  </w:tcBorders>
                  <w:noWrap w:val="0"/>
                  <w:vAlign w:val="center"/>
                </w:tcPr>
                <w:p w14:paraId="5BE77E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有机实验废气</w:t>
                  </w:r>
                </w:p>
              </w:tc>
              <w:tc>
                <w:tcPr>
                  <w:tcW w:w="4347" w:type="dxa"/>
                  <w:tcBorders>
                    <w:tl2br w:val="nil"/>
                    <w:tr2bl w:val="nil"/>
                  </w:tcBorders>
                  <w:noWrap w:val="0"/>
                  <w:vAlign w:val="center"/>
                </w:tcPr>
                <w:p w14:paraId="7A8B3A1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1台通风橱，若干集气罩，有机废气经通风橱、集气罩收集后引至1套活性炭吸附处理后经15m高排气筒排放（DA001）</w:t>
                  </w:r>
                </w:p>
              </w:tc>
              <w:tc>
                <w:tcPr>
                  <w:tcW w:w="1387" w:type="dxa"/>
                  <w:tcBorders>
                    <w:tl2br w:val="nil"/>
                    <w:tr2bl w:val="nil"/>
                  </w:tcBorders>
                  <w:noWrap w:val="0"/>
                  <w:vAlign w:val="center"/>
                </w:tcPr>
                <w:p w14:paraId="648A7E8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8</w:t>
                  </w:r>
                </w:p>
              </w:tc>
            </w:tr>
            <w:tr w14:paraId="1257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vMerge w:val="continue"/>
                  <w:tcBorders>
                    <w:tl2br w:val="nil"/>
                    <w:tr2bl w:val="nil"/>
                  </w:tcBorders>
                  <w:noWrap w:val="0"/>
                  <w:vAlign w:val="center"/>
                </w:tcPr>
                <w:p w14:paraId="63DDFE9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bookmarkStart w:id="4" w:name="_Hlk379804958"/>
                </w:p>
              </w:tc>
              <w:tc>
                <w:tcPr>
                  <w:tcW w:w="486" w:type="dxa"/>
                  <w:vMerge w:val="continue"/>
                  <w:tcBorders>
                    <w:tl2br w:val="nil"/>
                    <w:tr2bl w:val="nil"/>
                  </w:tcBorders>
                  <w:noWrap w:val="0"/>
                  <w:vAlign w:val="center"/>
                </w:tcPr>
                <w:p w14:paraId="0EF860A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1110" w:type="dxa"/>
                  <w:tcBorders>
                    <w:tl2br w:val="nil"/>
                    <w:tr2bl w:val="nil"/>
                  </w:tcBorders>
                  <w:noWrap w:val="0"/>
                  <w:vAlign w:val="center"/>
                </w:tcPr>
                <w:p w14:paraId="6F66E2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无机实验废气</w:t>
                  </w:r>
                </w:p>
              </w:tc>
              <w:tc>
                <w:tcPr>
                  <w:tcW w:w="4347" w:type="dxa"/>
                  <w:tcBorders>
                    <w:tl2br w:val="nil"/>
                    <w:tr2bl w:val="nil"/>
                  </w:tcBorders>
                  <w:noWrap w:val="0"/>
                  <w:vAlign w:val="center"/>
                </w:tcPr>
                <w:p w14:paraId="7E19F3F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rPr>
                    <w:t>1</w:t>
                  </w:r>
                  <w:r>
                    <w:rPr>
                      <w:rFonts w:hint="default" w:ascii="Times New Roman" w:hAnsi="Times New Roman" w:eastAsia="宋体" w:cs="Times New Roman"/>
                      <w:color w:val="auto"/>
                      <w:sz w:val="18"/>
                      <w:szCs w:val="18"/>
                    </w:rPr>
                    <w:t>台通风橱，</w:t>
                  </w:r>
                  <w:r>
                    <w:rPr>
                      <w:rFonts w:hint="default" w:ascii="Times New Roman" w:hAnsi="Times New Roman" w:eastAsia="宋体" w:cs="Times New Roman"/>
                      <w:color w:val="auto"/>
                      <w:sz w:val="18"/>
                      <w:szCs w:val="18"/>
                      <w:lang w:eastAsia="zh-CN"/>
                    </w:rPr>
                    <w:t>若干</w:t>
                  </w:r>
                  <w:r>
                    <w:rPr>
                      <w:rFonts w:hint="default" w:ascii="Times New Roman" w:hAnsi="Times New Roman" w:eastAsia="宋体" w:cs="Times New Roman"/>
                      <w:color w:val="auto"/>
                      <w:sz w:val="18"/>
                      <w:szCs w:val="18"/>
                    </w:rPr>
                    <w:t>集气罩，</w:t>
                  </w:r>
                  <w:r>
                    <w:rPr>
                      <w:rFonts w:hint="default" w:ascii="Times New Roman" w:hAnsi="Times New Roman" w:eastAsia="宋体" w:cs="Times New Roman"/>
                      <w:b w:val="0"/>
                      <w:bCs w:val="0"/>
                      <w:i w:val="0"/>
                      <w:color w:val="auto"/>
                      <w:kern w:val="0"/>
                      <w:sz w:val="18"/>
                      <w:szCs w:val="18"/>
                      <w:u w:val="none"/>
                      <w:lang w:val="en-US" w:eastAsia="zh-CN" w:bidi="ar"/>
                    </w:rPr>
                    <w:t>无机废气经通风橱、集气罩收集后引至</w:t>
                  </w:r>
                  <w:r>
                    <w:rPr>
                      <w:rFonts w:hint="default" w:ascii="Times New Roman" w:hAnsi="Times New Roman" w:eastAsia="宋体" w:cs="Times New Roman"/>
                      <w:color w:val="auto"/>
                      <w:sz w:val="18"/>
                      <w:szCs w:val="18"/>
                    </w:rPr>
                    <w:t>1套</w:t>
                  </w:r>
                  <w:r>
                    <w:rPr>
                      <w:rFonts w:hint="default" w:ascii="Times New Roman" w:hAnsi="Times New Roman" w:eastAsia="宋体" w:cs="Times New Roman"/>
                      <w:color w:val="auto"/>
                      <w:sz w:val="18"/>
                      <w:szCs w:val="18"/>
                      <w:lang w:val="en-US" w:eastAsia="zh-CN"/>
                    </w:rPr>
                    <w:t>碱液喷淋装置</w:t>
                  </w:r>
                  <w:r>
                    <w:rPr>
                      <w:rFonts w:hint="default" w:ascii="Times New Roman" w:hAnsi="Times New Roman" w:eastAsia="宋体" w:cs="Times New Roman"/>
                      <w:color w:val="auto"/>
                      <w:sz w:val="18"/>
                      <w:szCs w:val="18"/>
                    </w:rPr>
                    <w:t>处理后经</w:t>
                  </w:r>
                  <w:r>
                    <w:rPr>
                      <w:rFonts w:hint="default" w:ascii="Times New Roman" w:hAnsi="Times New Roman" w:eastAsia="宋体" w:cs="Times New Roman"/>
                      <w:color w:val="auto"/>
                      <w:sz w:val="18"/>
                      <w:szCs w:val="18"/>
                      <w:lang w:val="en-US"/>
                    </w:rPr>
                    <w:t>15</w:t>
                  </w:r>
                  <w:r>
                    <w:rPr>
                      <w:rFonts w:hint="default" w:ascii="Times New Roman" w:hAnsi="Times New Roman" w:eastAsia="宋体" w:cs="Times New Roman"/>
                      <w:color w:val="auto"/>
                      <w:sz w:val="18"/>
                      <w:szCs w:val="18"/>
                    </w:rPr>
                    <w:t>m排气筒排放（DA001）</w:t>
                  </w:r>
                </w:p>
              </w:tc>
              <w:tc>
                <w:tcPr>
                  <w:tcW w:w="1387" w:type="dxa"/>
                  <w:tcBorders>
                    <w:tl2br w:val="nil"/>
                    <w:tr2bl w:val="nil"/>
                  </w:tcBorders>
                  <w:noWrap w:val="0"/>
                  <w:vAlign w:val="center"/>
                </w:tcPr>
                <w:p w14:paraId="7499830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8</w:t>
                  </w:r>
                </w:p>
              </w:tc>
            </w:tr>
            <w:tr w14:paraId="6E4F5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68" w:type="dxa"/>
                  <w:vMerge w:val="continue"/>
                  <w:tcBorders>
                    <w:tl2br w:val="nil"/>
                    <w:tr2bl w:val="nil"/>
                  </w:tcBorders>
                  <w:noWrap w:val="0"/>
                  <w:vAlign w:val="center"/>
                </w:tcPr>
                <w:p w14:paraId="46D1B6B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486" w:type="dxa"/>
                  <w:vMerge w:val="restart"/>
                  <w:tcBorders>
                    <w:tl2br w:val="nil"/>
                    <w:tr2bl w:val="nil"/>
                  </w:tcBorders>
                  <w:noWrap w:val="0"/>
                  <w:vAlign w:val="center"/>
                </w:tcPr>
                <w:p w14:paraId="4DB0466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废水</w:t>
                  </w:r>
                </w:p>
              </w:tc>
              <w:tc>
                <w:tcPr>
                  <w:tcW w:w="1110" w:type="dxa"/>
                  <w:tcBorders>
                    <w:tl2br w:val="nil"/>
                    <w:tr2bl w:val="nil"/>
                  </w:tcBorders>
                  <w:noWrap w:val="0"/>
                  <w:vAlign w:val="center"/>
                </w:tcPr>
                <w:p w14:paraId="6C6D6AC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实验室废水</w:t>
                  </w:r>
                </w:p>
              </w:tc>
              <w:tc>
                <w:tcPr>
                  <w:tcW w:w="4347" w:type="dxa"/>
                  <w:tcBorders>
                    <w:tl2br w:val="nil"/>
                    <w:tr2bl w:val="nil"/>
                  </w:tcBorders>
                  <w:noWrap w:val="0"/>
                  <w:vAlign w:val="center"/>
                </w:tcPr>
                <w:p w14:paraId="4E528EE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中和沉淀池</w:t>
                  </w:r>
                  <w:r>
                    <w:rPr>
                      <w:rFonts w:hint="default" w:ascii="Times New Roman" w:hAnsi="Times New Roman" w:eastAsia="宋体" w:cs="Times New Roman"/>
                      <w:color w:val="auto"/>
                      <w:sz w:val="18"/>
                      <w:szCs w:val="18"/>
                    </w:rPr>
                    <w:t>1个，</w:t>
                  </w:r>
                  <w:r>
                    <w:rPr>
                      <w:rFonts w:hint="default" w:ascii="Times New Roman" w:hAnsi="Times New Roman" w:eastAsia="宋体" w:cs="Times New Roman"/>
                      <w:color w:val="auto"/>
                      <w:sz w:val="18"/>
                      <w:szCs w:val="18"/>
                      <w:lang w:val="en-US" w:eastAsia="zh-CN"/>
                    </w:rPr>
                    <w:t>1.5</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p>
              </w:tc>
              <w:tc>
                <w:tcPr>
                  <w:tcW w:w="1387" w:type="dxa"/>
                  <w:tcBorders>
                    <w:tl2br w:val="nil"/>
                    <w:tr2bl w:val="nil"/>
                  </w:tcBorders>
                  <w:noWrap w:val="0"/>
                  <w:vAlign w:val="center"/>
                </w:tcPr>
                <w:p w14:paraId="401ABF5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1</w:t>
                  </w:r>
                </w:p>
              </w:tc>
            </w:tr>
            <w:tr w14:paraId="049C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68" w:type="dxa"/>
                  <w:vMerge w:val="continue"/>
                  <w:tcBorders>
                    <w:tl2br w:val="nil"/>
                    <w:tr2bl w:val="nil"/>
                  </w:tcBorders>
                  <w:noWrap w:val="0"/>
                  <w:vAlign w:val="center"/>
                </w:tcPr>
                <w:p w14:paraId="73A3E98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486" w:type="dxa"/>
                  <w:vMerge w:val="continue"/>
                  <w:tcBorders>
                    <w:tl2br w:val="nil"/>
                    <w:tr2bl w:val="nil"/>
                  </w:tcBorders>
                  <w:noWrap w:val="0"/>
                  <w:vAlign w:val="center"/>
                </w:tcPr>
                <w:p w14:paraId="77955E88">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1110" w:type="dxa"/>
                  <w:tcBorders>
                    <w:tl2br w:val="nil"/>
                    <w:tr2bl w:val="nil"/>
                  </w:tcBorders>
                  <w:noWrap w:val="0"/>
                  <w:vAlign w:val="center"/>
                </w:tcPr>
                <w:p w14:paraId="24A7243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办公生活污水</w:t>
                  </w:r>
                </w:p>
              </w:tc>
              <w:tc>
                <w:tcPr>
                  <w:tcW w:w="4347" w:type="dxa"/>
                  <w:tcBorders>
                    <w:tl2br w:val="nil"/>
                    <w:tr2bl w:val="nil"/>
                  </w:tcBorders>
                  <w:noWrap w:val="0"/>
                  <w:vAlign w:val="center"/>
                </w:tcPr>
                <w:p w14:paraId="3B96E7B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依托</w:t>
                  </w:r>
                  <w:r>
                    <w:rPr>
                      <w:rFonts w:hint="eastAsia" w:cs="Times New Roman"/>
                      <w:color w:val="auto"/>
                      <w:sz w:val="18"/>
                      <w:szCs w:val="18"/>
                      <w:lang w:val="en-US" w:eastAsia="zh-CN"/>
                    </w:rPr>
                    <w:t>牛栏江</w:t>
                  </w:r>
                  <w:r>
                    <w:rPr>
                      <w:rFonts w:hint="default" w:ascii="Times New Roman" w:hAnsi="Times New Roman" w:eastAsia="宋体" w:cs="Times New Roman"/>
                      <w:color w:val="auto"/>
                      <w:sz w:val="18"/>
                      <w:szCs w:val="18"/>
                      <w:lang w:val="en-US" w:eastAsia="zh-CN"/>
                    </w:rPr>
                    <w:t>公司</w:t>
                  </w:r>
                  <w:r>
                    <w:rPr>
                      <w:rFonts w:hint="eastAsia" w:cs="Times New Roman"/>
                      <w:color w:val="auto"/>
                      <w:sz w:val="18"/>
                      <w:szCs w:val="18"/>
                      <w:lang w:val="en-US" w:eastAsia="zh-CN"/>
                    </w:rPr>
                    <w:t>办公楼</w:t>
                  </w:r>
                  <w:r>
                    <w:rPr>
                      <w:rFonts w:hint="default" w:ascii="Times New Roman" w:hAnsi="Times New Roman" w:eastAsia="宋体" w:cs="Times New Roman"/>
                      <w:color w:val="auto"/>
                      <w:sz w:val="18"/>
                      <w:szCs w:val="18"/>
                      <w:lang w:val="en-US" w:eastAsia="zh-CN"/>
                    </w:rPr>
                    <w:t>已建化粪池</w:t>
                  </w:r>
                  <w:r>
                    <w:rPr>
                      <w:rFonts w:hint="eastAsia" w:cs="Times New Roman"/>
                      <w:color w:val="auto"/>
                      <w:sz w:val="18"/>
                      <w:szCs w:val="18"/>
                      <w:lang w:val="en-US" w:eastAsia="zh-CN"/>
                    </w:rPr>
                    <w:t>2</w:t>
                  </w:r>
                  <w:r>
                    <w:rPr>
                      <w:rFonts w:hint="default" w:ascii="Times New Roman" w:hAnsi="Times New Roman" w:eastAsia="宋体" w:cs="Times New Roman"/>
                      <w:color w:val="auto"/>
                      <w:sz w:val="18"/>
                      <w:szCs w:val="18"/>
                      <w:lang w:val="en-US" w:eastAsia="zh-CN"/>
                    </w:rPr>
                    <w:t>0m</w:t>
                  </w:r>
                  <w:r>
                    <w:rPr>
                      <w:rFonts w:hint="default" w:ascii="Times New Roman" w:hAnsi="Times New Roman" w:eastAsia="宋体" w:cs="Times New Roman"/>
                      <w:color w:val="auto"/>
                      <w:sz w:val="18"/>
                      <w:szCs w:val="18"/>
                      <w:vertAlign w:val="superscript"/>
                      <w:lang w:val="en-US" w:eastAsia="zh-CN"/>
                    </w:rPr>
                    <w:t>3</w:t>
                  </w:r>
                </w:p>
              </w:tc>
              <w:tc>
                <w:tcPr>
                  <w:tcW w:w="1387" w:type="dxa"/>
                  <w:tcBorders>
                    <w:tl2br w:val="nil"/>
                    <w:tr2bl w:val="nil"/>
                  </w:tcBorders>
                  <w:noWrap w:val="0"/>
                  <w:vAlign w:val="center"/>
                </w:tcPr>
                <w:p w14:paraId="1E4E537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w:t>
                  </w:r>
                </w:p>
              </w:tc>
            </w:tr>
            <w:tr w14:paraId="466E7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vMerge w:val="continue"/>
                  <w:tcBorders>
                    <w:tl2br w:val="nil"/>
                    <w:tr2bl w:val="nil"/>
                  </w:tcBorders>
                  <w:noWrap w:val="0"/>
                  <w:vAlign w:val="center"/>
                </w:tcPr>
                <w:p w14:paraId="57C92C0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486" w:type="dxa"/>
                  <w:tcBorders>
                    <w:tl2br w:val="nil"/>
                    <w:tr2bl w:val="nil"/>
                  </w:tcBorders>
                  <w:noWrap w:val="0"/>
                  <w:vAlign w:val="center"/>
                </w:tcPr>
                <w:p w14:paraId="4D64B06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噪声</w:t>
                  </w:r>
                </w:p>
              </w:tc>
              <w:tc>
                <w:tcPr>
                  <w:tcW w:w="1110" w:type="dxa"/>
                  <w:tcBorders>
                    <w:tl2br w:val="nil"/>
                    <w:tr2bl w:val="nil"/>
                  </w:tcBorders>
                  <w:noWrap w:val="0"/>
                  <w:vAlign w:val="center"/>
                </w:tcPr>
                <w:p w14:paraId="1DA5261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噪声</w:t>
                  </w:r>
                </w:p>
              </w:tc>
              <w:tc>
                <w:tcPr>
                  <w:tcW w:w="4347" w:type="dxa"/>
                  <w:tcBorders>
                    <w:tl2br w:val="nil"/>
                    <w:tr2bl w:val="nil"/>
                  </w:tcBorders>
                  <w:noWrap w:val="0"/>
                  <w:vAlign w:val="center"/>
                </w:tcPr>
                <w:p w14:paraId="223FB7D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在设备选型上尽量选用低噪声设备；加强设备维护定期检修，保持设备运行正常；对高噪声设备加装减震垫，风机安装减震垫及消声器，厂房隔声降噪等措施。</w:t>
                  </w:r>
                </w:p>
              </w:tc>
              <w:tc>
                <w:tcPr>
                  <w:tcW w:w="1387" w:type="dxa"/>
                  <w:tcBorders>
                    <w:tl2br w:val="nil"/>
                    <w:tr2bl w:val="nil"/>
                  </w:tcBorders>
                  <w:noWrap w:val="0"/>
                  <w:vAlign w:val="center"/>
                </w:tcPr>
                <w:p w14:paraId="4741258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1</w:t>
                  </w:r>
                </w:p>
              </w:tc>
            </w:tr>
            <w:tr w14:paraId="74C76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vMerge w:val="continue"/>
                  <w:tcBorders>
                    <w:tl2br w:val="nil"/>
                    <w:tr2bl w:val="nil"/>
                  </w:tcBorders>
                  <w:noWrap w:val="0"/>
                  <w:vAlign w:val="center"/>
                </w:tcPr>
                <w:p w14:paraId="004E261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486" w:type="dxa"/>
                  <w:vMerge w:val="restart"/>
                  <w:tcBorders>
                    <w:tl2br w:val="nil"/>
                    <w:tr2bl w:val="nil"/>
                  </w:tcBorders>
                  <w:noWrap w:val="0"/>
                  <w:vAlign w:val="center"/>
                </w:tcPr>
                <w:p w14:paraId="32D8EBE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固废</w:t>
                  </w:r>
                </w:p>
              </w:tc>
              <w:tc>
                <w:tcPr>
                  <w:tcW w:w="1110" w:type="dxa"/>
                  <w:tcBorders>
                    <w:tl2br w:val="nil"/>
                    <w:tr2bl w:val="nil"/>
                  </w:tcBorders>
                  <w:noWrap w:val="0"/>
                  <w:vAlign w:val="center"/>
                </w:tcPr>
                <w:p w14:paraId="0FC7DB6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生活垃圾、一般固废</w:t>
                  </w:r>
                </w:p>
              </w:tc>
              <w:tc>
                <w:tcPr>
                  <w:tcW w:w="4347" w:type="dxa"/>
                  <w:tcBorders>
                    <w:tl2br w:val="nil"/>
                    <w:tr2bl w:val="nil"/>
                  </w:tcBorders>
                  <w:noWrap w:val="0"/>
                  <w:vAlign w:val="center"/>
                </w:tcPr>
                <w:p w14:paraId="03413F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color w:val="auto"/>
                      <w:sz w:val="18"/>
                      <w:szCs w:val="18"/>
                    </w:rPr>
                    <w:t>实验室按需分布若干个生活垃圾收集篓、桶</w:t>
                  </w:r>
                  <w:r>
                    <w:rPr>
                      <w:rFonts w:hint="default" w:ascii="Times New Roman" w:hAnsi="Times New Roman" w:eastAsia="宋体" w:cs="Times New Roman"/>
                      <w:b w:val="0"/>
                      <w:bCs w:val="0"/>
                      <w:i w:val="0"/>
                      <w:color w:val="auto"/>
                      <w:kern w:val="0"/>
                      <w:sz w:val="18"/>
                      <w:szCs w:val="18"/>
                      <w:u w:val="none"/>
                      <w:lang w:val="en-US" w:eastAsia="zh-CN" w:bidi="ar"/>
                    </w:rPr>
                    <w:t>，委托当地环卫部门定期清运处置。</w:t>
                  </w:r>
                </w:p>
              </w:tc>
              <w:tc>
                <w:tcPr>
                  <w:tcW w:w="1387" w:type="dxa"/>
                  <w:tcBorders>
                    <w:tl2br w:val="nil"/>
                    <w:tr2bl w:val="nil"/>
                  </w:tcBorders>
                  <w:noWrap w:val="0"/>
                  <w:vAlign w:val="center"/>
                </w:tcPr>
                <w:p w14:paraId="68FAB26C">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0.1</w:t>
                  </w:r>
                </w:p>
              </w:tc>
            </w:tr>
            <w:tr w14:paraId="7A9B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vMerge w:val="continue"/>
                  <w:tcBorders>
                    <w:tl2br w:val="nil"/>
                    <w:tr2bl w:val="nil"/>
                  </w:tcBorders>
                  <w:noWrap w:val="0"/>
                  <w:vAlign w:val="center"/>
                </w:tcPr>
                <w:p w14:paraId="625D9427">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486" w:type="dxa"/>
                  <w:vMerge w:val="continue"/>
                  <w:tcBorders>
                    <w:tl2br w:val="nil"/>
                    <w:tr2bl w:val="nil"/>
                  </w:tcBorders>
                  <w:noWrap w:val="0"/>
                  <w:vAlign w:val="center"/>
                </w:tcPr>
                <w:p w14:paraId="580DF4D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1110" w:type="dxa"/>
                  <w:tcBorders>
                    <w:tl2br w:val="nil"/>
                    <w:tr2bl w:val="nil"/>
                  </w:tcBorders>
                  <w:noWrap w:val="0"/>
                  <w:vAlign w:val="center"/>
                </w:tcPr>
                <w:p w14:paraId="4290A5C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危险废物</w:t>
                  </w:r>
                </w:p>
              </w:tc>
              <w:tc>
                <w:tcPr>
                  <w:tcW w:w="4347" w:type="dxa"/>
                  <w:tcBorders>
                    <w:tl2br w:val="nil"/>
                    <w:tr2bl w:val="nil"/>
                  </w:tcBorders>
                  <w:noWrap w:val="0"/>
                  <w:vAlign w:val="center"/>
                </w:tcPr>
                <w:p w14:paraId="3E2F614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color w:val="auto"/>
                      <w:sz w:val="18"/>
                      <w:szCs w:val="18"/>
                      <w:lang w:val="en-US" w:eastAsia="zh-CN"/>
                    </w:rPr>
                    <w:t>新建</w:t>
                  </w:r>
                  <w:r>
                    <w:rPr>
                      <w:rFonts w:hint="default" w:ascii="Times New Roman" w:hAnsi="Times New Roman" w:eastAsia="宋体" w:cs="Times New Roman"/>
                      <w:color w:val="auto"/>
                      <w:sz w:val="18"/>
                      <w:szCs w:val="18"/>
                    </w:rPr>
                    <w:t>1间</w:t>
                  </w:r>
                  <w:r>
                    <w:rPr>
                      <w:rFonts w:hint="default" w:ascii="Times New Roman" w:hAnsi="Times New Roman" w:eastAsia="宋体" w:cs="Times New Roman"/>
                      <w:color w:val="auto"/>
                      <w:sz w:val="18"/>
                      <w:szCs w:val="18"/>
                      <w:lang w:val="en-US" w:eastAsia="zh-CN"/>
                    </w:rPr>
                    <w:t>危废暂存间</w:t>
                  </w:r>
                  <w:r>
                    <w:rPr>
                      <w:rFonts w:hint="default" w:ascii="Times New Roman" w:hAnsi="Times New Roman" w:eastAsia="宋体" w:cs="Times New Roman"/>
                      <w:color w:val="auto"/>
                      <w:sz w:val="18"/>
                      <w:szCs w:val="18"/>
                    </w:rPr>
                    <w:t>，</w:t>
                  </w:r>
                  <w:r>
                    <w:rPr>
                      <w:rFonts w:hint="eastAsia" w:cs="Times New Roman"/>
                      <w:color w:val="auto"/>
                      <w:sz w:val="18"/>
                      <w:szCs w:val="18"/>
                      <w:lang w:val="en-US" w:eastAsia="zh-CN"/>
                    </w:rPr>
                    <w:t>建筑面积</w:t>
                  </w:r>
                  <w:r>
                    <w:rPr>
                      <w:rFonts w:hint="default" w:ascii="Times New Roman" w:hAnsi="Times New Roman" w:eastAsia="宋体" w:cs="Times New Roman"/>
                      <w:color w:val="auto"/>
                      <w:sz w:val="18"/>
                      <w:szCs w:val="18"/>
                      <w:lang w:val="en-US"/>
                    </w:rPr>
                    <w:t>8</w:t>
                  </w:r>
                  <w:r>
                    <w:rPr>
                      <w:rFonts w:hint="default" w:ascii="Times New Roman" w:hAnsi="Times New Roman" w:eastAsia="宋体" w:cs="Times New Roman"/>
                      <w:color w:val="auto"/>
                      <w:sz w:val="18"/>
                      <w:szCs w:val="18"/>
                      <w:lang w:val="en-US" w:eastAsia="zh-CN"/>
                    </w:rPr>
                    <w:t>.9</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2</w:t>
                  </w:r>
                </w:p>
              </w:tc>
              <w:tc>
                <w:tcPr>
                  <w:tcW w:w="1387" w:type="dxa"/>
                  <w:tcBorders>
                    <w:tl2br w:val="nil"/>
                    <w:tr2bl w:val="nil"/>
                  </w:tcBorders>
                  <w:noWrap w:val="0"/>
                  <w:vAlign w:val="center"/>
                </w:tcPr>
                <w:p w14:paraId="67C2015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2</w:t>
                  </w:r>
                </w:p>
              </w:tc>
            </w:tr>
            <w:tr w14:paraId="6223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vMerge w:val="continue"/>
                  <w:tcBorders>
                    <w:tl2br w:val="nil"/>
                    <w:tr2bl w:val="nil"/>
                  </w:tcBorders>
                  <w:noWrap w:val="0"/>
                  <w:vAlign w:val="center"/>
                </w:tcPr>
                <w:p w14:paraId="5F684BB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486" w:type="dxa"/>
                  <w:vMerge w:val="continue"/>
                  <w:tcBorders>
                    <w:tl2br w:val="nil"/>
                    <w:tr2bl w:val="nil"/>
                  </w:tcBorders>
                  <w:noWrap w:val="0"/>
                  <w:vAlign w:val="center"/>
                </w:tcPr>
                <w:p w14:paraId="3D6AFEF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1110" w:type="dxa"/>
                  <w:tcBorders>
                    <w:tl2br w:val="nil"/>
                    <w:tr2bl w:val="nil"/>
                  </w:tcBorders>
                  <w:noWrap w:val="0"/>
                  <w:vAlign w:val="center"/>
                </w:tcPr>
                <w:p w14:paraId="08A19BAF">
                  <w:pPr>
                    <w:keepNext w:val="0"/>
                    <w:keepLines w:val="0"/>
                    <w:pageBreakBefore w:val="0"/>
                    <w:kinsoku/>
                    <w:wordWrap/>
                    <w:overflowPunct/>
                    <w:topLinePunct w:val="0"/>
                    <w:bidi w:val="0"/>
                    <w:adjustRightInd w:val="0"/>
                    <w:snapToGrid w:val="0"/>
                    <w:spacing w:line="360" w:lineRule="exact"/>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color w:val="auto"/>
                      <w:sz w:val="18"/>
                      <w:szCs w:val="18"/>
                    </w:rPr>
                    <w:t>高温蒸汽灭菌锅</w:t>
                  </w:r>
                </w:p>
              </w:tc>
              <w:tc>
                <w:tcPr>
                  <w:tcW w:w="4347" w:type="dxa"/>
                  <w:tcBorders>
                    <w:tl2br w:val="nil"/>
                    <w:tr2bl w:val="nil"/>
                  </w:tcBorders>
                  <w:noWrap w:val="0"/>
                  <w:vAlign w:val="center"/>
                </w:tcPr>
                <w:p w14:paraId="035B9AA5">
                  <w:pPr>
                    <w:keepNext w:val="0"/>
                    <w:keepLines w:val="0"/>
                    <w:pageBreakBefore w:val="0"/>
                    <w:kinsoku/>
                    <w:wordWrap/>
                    <w:overflowPunct/>
                    <w:topLinePunct w:val="0"/>
                    <w:bidi w:val="0"/>
                    <w:adjustRightInd w:val="0"/>
                    <w:snapToGrid w:val="0"/>
                    <w:spacing w:line="360" w:lineRule="exact"/>
                    <w:jc w:val="left"/>
                    <w:outlineLvl w:val="9"/>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微生物培养基等沾染微生物废物经高温灭菌锅灭活处理</w:t>
                  </w:r>
                  <w:r>
                    <w:rPr>
                      <w:rFonts w:hint="eastAsia" w:ascii="Times New Roman" w:hAnsi="Times New Roman" w:eastAsia="宋体" w:cs="Times New Roman"/>
                      <w:color w:val="auto"/>
                      <w:sz w:val="18"/>
                      <w:szCs w:val="18"/>
                      <w:lang w:eastAsia="zh-CN"/>
                    </w:rPr>
                    <w:t>。</w:t>
                  </w:r>
                </w:p>
              </w:tc>
              <w:tc>
                <w:tcPr>
                  <w:tcW w:w="1387" w:type="dxa"/>
                  <w:tcBorders>
                    <w:tl2br w:val="nil"/>
                    <w:tr2bl w:val="nil"/>
                  </w:tcBorders>
                  <w:noWrap w:val="0"/>
                  <w:vAlign w:val="center"/>
                </w:tcPr>
                <w:p w14:paraId="5FCC5275">
                  <w:pPr>
                    <w:keepNext w:val="0"/>
                    <w:keepLines w:val="0"/>
                    <w:pageBreakBefore w:val="0"/>
                    <w:kinsoku/>
                    <w:wordWrap/>
                    <w:overflowPunct/>
                    <w:topLinePunct w:val="0"/>
                    <w:bidi w:val="0"/>
                    <w:adjustRightInd w:val="0"/>
                    <w:snapToGrid w:val="0"/>
                    <w:spacing w:line="360" w:lineRule="exact"/>
                    <w:jc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color w:val="auto"/>
                      <w:sz w:val="18"/>
                      <w:szCs w:val="18"/>
                    </w:rPr>
                    <w:t>1</w:t>
                  </w:r>
                </w:p>
              </w:tc>
            </w:tr>
            <w:tr w14:paraId="6E66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68" w:type="dxa"/>
                  <w:vMerge w:val="continue"/>
                  <w:tcBorders>
                    <w:tl2br w:val="nil"/>
                    <w:tr2bl w:val="nil"/>
                  </w:tcBorders>
                  <w:noWrap w:val="0"/>
                  <w:vAlign w:val="center"/>
                </w:tcPr>
                <w:p w14:paraId="7F949DC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p>
              </w:tc>
              <w:tc>
                <w:tcPr>
                  <w:tcW w:w="1596" w:type="dxa"/>
                  <w:gridSpan w:val="2"/>
                  <w:tcBorders>
                    <w:tl2br w:val="nil"/>
                    <w:tr2bl w:val="nil"/>
                  </w:tcBorders>
                  <w:noWrap w:val="0"/>
                  <w:vAlign w:val="center"/>
                </w:tcPr>
                <w:p w14:paraId="2D7468D8">
                  <w:pPr>
                    <w:keepNext w:val="0"/>
                    <w:keepLines w:val="0"/>
                    <w:pageBreakBefore w:val="0"/>
                    <w:kinsoku/>
                    <w:wordWrap/>
                    <w:overflowPunct/>
                    <w:topLinePunct w:val="0"/>
                    <w:bidi w:val="0"/>
                    <w:spacing w:line="360" w:lineRule="exact"/>
                    <w:ind w:firstLine="0" w:firstLineChars="0"/>
                    <w:jc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color w:val="auto"/>
                      <w:sz w:val="18"/>
                      <w:szCs w:val="18"/>
                      <w:highlight w:val="none"/>
                      <w:lang w:val="en-US" w:eastAsia="zh-CN"/>
                    </w:rPr>
                    <w:t>地下水和土壤</w:t>
                  </w:r>
                </w:p>
              </w:tc>
              <w:tc>
                <w:tcPr>
                  <w:tcW w:w="4347" w:type="dxa"/>
                  <w:tcBorders>
                    <w:tl2br w:val="nil"/>
                    <w:tr2bl w:val="nil"/>
                  </w:tcBorders>
                  <w:noWrap w:val="0"/>
                  <w:vAlign w:val="center"/>
                </w:tcPr>
                <w:p w14:paraId="3240663A">
                  <w:pPr>
                    <w:keepNext w:val="0"/>
                    <w:keepLines w:val="0"/>
                    <w:pageBreakBefore w:val="0"/>
                    <w:kinsoku/>
                    <w:wordWrap/>
                    <w:overflowPunct/>
                    <w:topLinePunct w:val="0"/>
                    <w:bidi w:val="0"/>
                    <w:spacing w:line="360" w:lineRule="exact"/>
                    <w:ind w:firstLine="0" w:firstLineChars="0"/>
                    <w:jc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color w:val="auto"/>
                      <w:sz w:val="18"/>
                      <w:szCs w:val="18"/>
                      <w:highlight w:val="none"/>
                      <w:lang w:val="en-US" w:eastAsia="zh-CN"/>
                    </w:rPr>
                    <w:t>厂区分区防渗</w:t>
                  </w:r>
                </w:p>
              </w:tc>
              <w:tc>
                <w:tcPr>
                  <w:tcW w:w="1387" w:type="dxa"/>
                  <w:tcBorders>
                    <w:tl2br w:val="nil"/>
                    <w:tr2bl w:val="nil"/>
                  </w:tcBorders>
                  <w:noWrap w:val="0"/>
                  <w:vAlign w:val="center"/>
                </w:tcPr>
                <w:p w14:paraId="67BF51C7">
                  <w:pPr>
                    <w:keepNext w:val="0"/>
                    <w:keepLines w:val="0"/>
                    <w:pageBreakBefore w:val="0"/>
                    <w:kinsoku/>
                    <w:wordWrap/>
                    <w:overflowPunct/>
                    <w:topLinePunct w:val="0"/>
                    <w:bidi w:val="0"/>
                    <w:spacing w:line="360" w:lineRule="exact"/>
                    <w:ind w:firstLine="0" w:firstLineChars="0"/>
                    <w:jc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3</w:t>
                  </w:r>
                </w:p>
              </w:tc>
            </w:tr>
            <w:bookmarkEnd w:id="4"/>
            <w:tr w14:paraId="78CC7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11" w:type="dxa"/>
                  <w:gridSpan w:val="4"/>
                  <w:tcBorders>
                    <w:tl2br w:val="nil"/>
                    <w:tr2bl w:val="nil"/>
                  </w:tcBorders>
                  <w:noWrap w:val="0"/>
                  <w:vAlign w:val="center"/>
                </w:tcPr>
                <w:p w14:paraId="0A529AC1">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default" w:ascii="Times New Roman" w:hAnsi="Times New Roman" w:eastAsia="宋体" w:cs="Times New Roman"/>
                      <w:b w:val="0"/>
                      <w:bCs w:val="0"/>
                      <w:i w:val="0"/>
                      <w:color w:val="auto"/>
                      <w:kern w:val="0"/>
                      <w:sz w:val="18"/>
                      <w:szCs w:val="18"/>
                      <w:u w:val="none"/>
                      <w:lang w:val="en-US" w:eastAsia="zh-CN" w:bidi="ar"/>
                    </w:rPr>
                    <w:t>合计</w:t>
                  </w:r>
                </w:p>
              </w:tc>
              <w:tc>
                <w:tcPr>
                  <w:tcW w:w="1387" w:type="dxa"/>
                  <w:tcBorders>
                    <w:tl2br w:val="nil"/>
                    <w:tr2bl w:val="nil"/>
                  </w:tcBorders>
                  <w:noWrap w:val="0"/>
                  <w:vAlign w:val="center"/>
                </w:tcPr>
                <w:p w14:paraId="3AA7941D">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default" w:ascii="Times New Roman" w:hAnsi="Times New Roman" w:eastAsia="宋体" w:cs="Times New Roman"/>
                      <w:b w:val="0"/>
                      <w:bCs w:val="0"/>
                      <w:i w:val="0"/>
                      <w:color w:val="auto"/>
                      <w:kern w:val="0"/>
                      <w:sz w:val="18"/>
                      <w:szCs w:val="18"/>
                      <w:u w:val="none"/>
                      <w:lang w:val="en-US" w:eastAsia="zh-CN" w:bidi="ar"/>
                    </w:rPr>
                  </w:pPr>
                  <w:r>
                    <w:rPr>
                      <w:rFonts w:hint="eastAsia" w:ascii="Times New Roman" w:hAnsi="Times New Roman" w:eastAsia="宋体" w:cs="Times New Roman"/>
                      <w:b w:val="0"/>
                      <w:bCs w:val="0"/>
                      <w:i w:val="0"/>
                      <w:color w:val="auto"/>
                      <w:kern w:val="0"/>
                      <w:sz w:val="18"/>
                      <w:szCs w:val="18"/>
                      <w:u w:val="none"/>
                      <w:lang w:val="en-US" w:eastAsia="zh-CN" w:bidi="ar"/>
                    </w:rPr>
                    <w:t>24.9</w:t>
                  </w:r>
                </w:p>
              </w:tc>
            </w:tr>
          </w:tbl>
          <w:p w14:paraId="61A1E3F2">
            <w:pPr>
              <w:keepNext w:val="0"/>
              <w:keepLines w:val="0"/>
              <w:widowControl/>
              <w:suppressLineNumbers w:val="0"/>
              <w:spacing w:line="360" w:lineRule="auto"/>
              <w:jc w:val="both"/>
              <w:textAlignment w:val="center"/>
              <w:outlineLvl w:val="9"/>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10、水平衡</w:t>
            </w:r>
          </w:p>
          <w:p w14:paraId="1E8985FF">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20" w:firstLineChars="200"/>
              <w:jc w:val="left"/>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val="0"/>
                <w:bCs/>
                <w:color w:val="auto"/>
                <w:sz w:val="21"/>
                <w:szCs w:val="21"/>
                <w:lang w:val="en-US" w:eastAsia="zh-CN"/>
              </w:rPr>
              <w:t>本项目用水由市政管网供水，项目运营期产生的废水主要是</w:t>
            </w:r>
            <w:r>
              <w:rPr>
                <w:rFonts w:hint="default" w:ascii="Times New Roman" w:hAnsi="Times New Roman" w:eastAsia="宋体" w:cs="Times New Roman"/>
                <w:color w:val="auto"/>
                <w:sz w:val="21"/>
                <w:szCs w:val="21"/>
                <w:lang w:eastAsia="zh-CN"/>
              </w:rPr>
              <w:t>员工办公生活污水、</w:t>
            </w:r>
            <w:r>
              <w:rPr>
                <w:rFonts w:hint="default" w:ascii="Times New Roman" w:hAnsi="Times New Roman" w:eastAsia="宋体" w:cs="Times New Roman"/>
                <w:color w:val="auto"/>
                <w:sz w:val="21"/>
                <w:szCs w:val="21"/>
              </w:rPr>
              <w:t>实验器皿清洗</w:t>
            </w:r>
            <w:r>
              <w:rPr>
                <w:rFonts w:hint="default" w:ascii="Times New Roman" w:hAnsi="Times New Roman" w:eastAsia="宋体" w:cs="Times New Roman"/>
                <w:color w:val="auto"/>
                <w:sz w:val="21"/>
                <w:szCs w:val="21"/>
                <w:lang w:val="en-US" w:eastAsia="zh-CN"/>
              </w:rPr>
              <w:t>废水</w:t>
            </w:r>
            <w:r>
              <w:rPr>
                <w:rFonts w:hint="default" w:ascii="Times New Roman" w:hAnsi="Times New Roman" w:eastAsia="宋体" w:cs="Times New Roman"/>
                <w:color w:val="auto"/>
                <w:sz w:val="21"/>
                <w:szCs w:val="21"/>
                <w:lang w:eastAsia="zh-CN"/>
              </w:rPr>
              <w:t>、纯水制备</w:t>
            </w:r>
            <w:r>
              <w:rPr>
                <w:rFonts w:hint="default" w:ascii="Times New Roman" w:hAnsi="Times New Roman" w:eastAsia="宋体" w:cs="Times New Roman"/>
                <w:color w:val="auto"/>
                <w:sz w:val="21"/>
                <w:szCs w:val="21"/>
                <w:lang w:val="en-US" w:eastAsia="zh-CN"/>
              </w:rPr>
              <w:t>浓水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rPr>
              <w:t>地面清洁</w:t>
            </w:r>
            <w:r>
              <w:rPr>
                <w:rFonts w:hint="default" w:ascii="Times New Roman" w:hAnsi="Times New Roman" w:eastAsia="宋体" w:cs="Times New Roman"/>
                <w:color w:val="auto"/>
                <w:kern w:val="0"/>
                <w:sz w:val="21"/>
                <w:szCs w:val="21"/>
                <w:lang w:val="en-US" w:eastAsia="zh-CN"/>
              </w:rPr>
              <w:t>废水、</w:t>
            </w:r>
            <w:r>
              <w:rPr>
                <w:rFonts w:hint="default" w:ascii="Times New Roman" w:hAnsi="Times New Roman" w:eastAsia="宋体" w:cs="Times New Roman"/>
                <w:color w:val="auto"/>
                <w:sz w:val="21"/>
                <w:szCs w:val="21"/>
                <w:lang w:val="en-US" w:eastAsia="zh-CN"/>
              </w:rPr>
              <w:t>喷淋废水</w:t>
            </w:r>
            <w:r>
              <w:rPr>
                <w:rFonts w:hint="default" w:ascii="Times New Roman" w:hAnsi="Times New Roman" w:eastAsia="宋体" w:cs="Times New Roman"/>
                <w:b w:val="0"/>
                <w:bCs/>
                <w:color w:val="auto"/>
                <w:sz w:val="21"/>
                <w:szCs w:val="21"/>
                <w:lang w:val="en-US" w:eastAsia="zh-CN"/>
              </w:rPr>
              <w:t>等。</w:t>
            </w:r>
            <w:r>
              <w:rPr>
                <w:rFonts w:hint="default" w:ascii="Times New Roman" w:hAnsi="Times New Roman" w:eastAsia="宋体" w:cs="Times New Roman"/>
                <w:color w:val="auto"/>
                <w:sz w:val="21"/>
                <w:szCs w:val="21"/>
                <w:lang w:eastAsia="zh-CN"/>
              </w:rPr>
              <w:t>员工办公生活污水</w:t>
            </w:r>
            <w:r>
              <w:rPr>
                <w:rFonts w:hint="default"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kern w:val="0"/>
                <w:sz w:val="21"/>
                <w:szCs w:val="21"/>
              </w:rPr>
              <w:t>地面清洁</w:t>
            </w:r>
            <w:r>
              <w:rPr>
                <w:rFonts w:hint="default" w:ascii="Times New Roman" w:hAnsi="Times New Roman" w:eastAsia="宋体" w:cs="Times New Roman"/>
                <w:color w:val="auto"/>
                <w:kern w:val="0"/>
                <w:sz w:val="21"/>
                <w:szCs w:val="21"/>
                <w:lang w:val="en-US" w:eastAsia="zh-CN"/>
              </w:rPr>
              <w:t>废水依托</w:t>
            </w:r>
            <w:r>
              <w:rPr>
                <w:rFonts w:hint="default" w:ascii="Times New Roman" w:hAnsi="Times New Roman" w:eastAsia="宋体" w:cs="Times New Roman"/>
                <w:color w:val="auto"/>
                <w:kern w:val="0"/>
                <w:sz w:val="21"/>
                <w:szCs w:val="21"/>
                <w:lang w:val="en-US" w:eastAsia="zh-CN" w:bidi="ar"/>
              </w:rPr>
              <w:t>云南水投牛栏江滇池补水工程有限公司现有的化粪池，经化粪池处理后排入市政管网；</w:t>
            </w:r>
            <w:r>
              <w:rPr>
                <w:rFonts w:hint="default" w:ascii="Times New Roman" w:hAnsi="Times New Roman" w:eastAsia="宋体" w:cs="Times New Roman"/>
                <w:color w:val="auto"/>
                <w:sz w:val="21"/>
                <w:szCs w:val="21"/>
                <w:highlight w:val="none"/>
                <w:lang w:val="en-US" w:eastAsia="zh-CN"/>
              </w:rPr>
              <w:t>实验器皿前两道清洗废水</w:t>
            </w:r>
            <w:r>
              <w:rPr>
                <w:rFonts w:hint="default" w:ascii="Times New Roman" w:hAnsi="Times New Roman" w:eastAsia="宋体" w:cs="Times New Roman"/>
                <w:color w:val="auto"/>
                <w:sz w:val="21"/>
                <w:szCs w:val="21"/>
                <w:highlight w:val="none"/>
              </w:rPr>
              <w:t>作为危废处置，其余清洗废水</w:t>
            </w:r>
            <w:r>
              <w:rPr>
                <w:rFonts w:hint="default" w:ascii="Times New Roman" w:hAnsi="Times New Roman" w:eastAsia="宋体" w:cs="Times New Roman"/>
                <w:color w:val="auto"/>
                <w:sz w:val="21"/>
                <w:szCs w:val="21"/>
                <w:highlight w:val="none"/>
                <w:lang w:val="en-US" w:eastAsia="zh-CN"/>
              </w:rPr>
              <w:t>与纯水制备浓水</w:t>
            </w:r>
            <w:r>
              <w:rPr>
                <w:rFonts w:hint="default" w:ascii="Times New Roman" w:hAnsi="Times New Roman" w:eastAsia="宋体" w:cs="Times New Roman"/>
                <w:color w:val="auto"/>
                <w:sz w:val="21"/>
                <w:szCs w:val="21"/>
                <w:highlight w:val="none"/>
              </w:rPr>
              <w:t>经</w:t>
            </w:r>
            <w:r>
              <w:rPr>
                <w:rFonts w:hint="default" w:ascii="Times New Roman" w:hAnsi="Times New Roman" w:eastAsia="宋体" w:cs="Times New Roman"/>
                <w:color w:val="auto"/>
                <w:sz w:val="21"/>
                <w:szCs w:val="21"/>
                <w:highlight w:val="none"/>
                <w:lang w:val="en-US" w:eastAsia="zh-CN"/>
              </w:rPr>
              <w:t>中和沉淀池</w:t>
            </w:r>
            <w:r>
              <w:rPr>
                <w:rFonts w:hint="default" w:ascii="Times New Roman" w:hAnsi="Times New Roman" w:eastAsia="宋体" w:cs="Times New Roman"/>
                <w:color w:val="auto"/>
                <w:sz w:val="21"/>
                <w:szCs w:val="21"/>
                <w:highlight w:val="none"/>
              </w:rPr>
              <w:t>处理后排入市政污水管网，最终进入</w:t>
            </w:r>
            <w:r>
              <w:rPr>
                <w:rFonts w:hint="default" w:ascii="Times New Roman" w:hAnsi="Times New Roman" w:eastAsia="宋体" w:cs="Times New Roman"/>
                <w:color w:val="auto"/>
                <w:sz w:val="21"/>
                <w:szCs w:val="21"/>
                <w:highlight w:val="none"/>
                <w:lang w:eastAsia="zh-CN"/>
              </w:rPr>
              <w:t>昆明市第十四水质净化厂</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vertAlign w:val="baseline"/>
                <w:lang w:val="en-US" w:eastAsia="zh-CN"/>
              </w:rPr>
              <w:t>喷淋水循环回用，不外排，定期补充新鲜水。</w:t>
            </w:r>
          </w:p>
          <w:p w14:paraId="79F3776D">
            <w:pPr>
              <w:keepNext w:val="0"/>
              <w:keepLines w:val="0"/>
              <w:pageBreakBefore w:val="0"/>
              <w:widowControl w:val="0"/>
              <w:kinsoku/>
              <w:wordWrap/>
              <w:overflowPunct/>
              <w:topLinePunct w:val="0"/>
              <w:bidi w:val="0"/>
              <w:spacing w:line="360" w:lineRule="auto"/>
              <w:ind w:firstLine="420" w:firstLineChars="200"/>
              <w:textAlignment w:val="auto"/>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项目运营期用水量和废水产生量如下表：</w:t>
            </w:r>
          </w:p>
          <w:p w14:paraId="0DD5F3DC">
            <w:pPr>
              <w:pStyle w:val="42"/>
              <w:jc w:val="center"/>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表2-</w:t>
            </w:r>
            <w:r>
              <w:rPr>
                <w:rFonts w:hint="eastAsia" w:cs="Times New Roman"/>
                <w:b/>
                <w:bCs/>
                <w:color w:val="auto"/>
                <w:sz w:val="18"/>
                <w:szCs w:val="18"/>
                <w:lang w:val="en-US" w:eastAsia="zh-CN"/>
              </w:rPr>
              <w:t xml:space="preserve">5  </w:t>
            </w:r>
            <w:r>
              <w:rPr>
                <w:rFonts w:hint="default" w:ascii="Times New Roman" w:hAnsi="Times New Roman" w:eastAsia="宋体" w:cs="Times New Roman"/>
                <w:b/>
                <w:bCs/>
                <w:color w:val="auto"/>
                <w:sz w:val="18"/>
                <w:szCs w:val="18"/>
                <w:lang w:val="en-US" w:eastAsia="zh-CN"/>
              </w:rPr>
              <w:t>水量核算结果</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1436"/>
              <w:gridCol w:w="1645"/>
              <w:gridCol w:w="1196"/>
              <w:gridCol w:w="964"/>
              <w:gridCol w:w="1652"/>
            </w:tblGrid>
            <w:tr w14:paraId="16C3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vAlign w:val="center"/>
                </w:tcPr>
                <w:p w14:paraId="4FC8627A">
                  <w:pPr>
                    <w:pStyle w:val="52"/>
                    <w:spacing w:before="36"/>
                    <w:outlineLvl w:val="9"/>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rPr>
                    <w:t>用水</w:t>
                  </w:r>
                  <w:r>
                    <w:rPr>
                      <w:rFonts w:hint="default" w:ascii="Times New Roman" w:hAnsi="Times New Roman" w:eastAsia="宋体" w:cs="Times New Roman"/>
                      <w:b/>
                      <w:bCs/>
                      <w:color w:val="auto"/>
                      <w:sz w:val="18"/>
                      <w:szCs w:val="18"/>
                      <w:lang w:val="en-US" w:eastAsia="zh-CN"/>
                    </w:rPr>
                    <w:t>单元</w:t>
                  </w:r>
                </w:p>
              </w:tc>
              <w:tc>
                <w:tcPr>
                  <w:tcW w:w="874" w:type="pct"/>
                  <w:vAlign w:val="center"/>
                </w:tcPr>
                <w:p w14:paraId="0633AA3F">
                  <w:pPr>
                    <w:pStyle w:val="52"/>
                    <w:spacing w:before="36"/>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规模</w:t>
                  </w:r>
                </w:p>
              </w:tc>
              <w:tc>
                <w:tcPr>
                  <w:tcW w:w="1002" w:type="pct"/>
                  <w:vAlign w:val="center"/>
                </w:tcPr>
                <w:p w14:paraId="111F2E2A">
                  <w:pPr>
                    <w:pStyle w:val="52"/>
                    <w:spacing w:before="36"/>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用水定额</w:t>
                  </w:r>
                </w:p>
              </w:tc>
              <w:tc>
                <w:tcPr>
                  <w:tcW w:w="728" w:type="pct"/>
                  <w:vAlign w:val="center"/>
                </w:tcPr>
                <w:p w14:paraId="75B2A057">
                  <w:pPr>
                    <w:pStyle w:val="52"/>
                    <w:spacing w:before="36"/>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用水量（m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/d）</w:t>
                  </w:r>
                </w:p>
              </w:tc>
              <w:tc>
                <w:tcPr>
                  <w:tcW w:w="587" w:type="pct"/>
                  <w:vAlign w:val="center"/>
                </w:tcPr>
                <w:p w14:paraId="2BE2817C">
                  <w:pPr>
                    <w:pStyle w:val="52"/>
                    <w:spacing w:before="36"/>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废水产生系数</w:t>
                  </w:r>
                </w:p>
              </w:tc>
              <w:tc>
                <w:tcPr>
                  <w:tcW w:w="1006" w:type="pct"/>
                  <w:vAlign w:val="center"/>
                </w:tcPr>
                <w:p w14:paraId="145659EE">
                  <w:pPr>
                    <w:pStyle w:val="52"/>
                    <w:spacing w:before="36"/>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废水产生量（m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/d）</w:t>
                  </w:r>
                </w:p>
              </w:tc>
            </w:tr>
            <w:tr w14:paraId="2282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vAlign w:val="center"/>
                </w:tcPr>
                <w:p w14:paraId="2E333959">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eastAsia="zh-CN"/>
                    </w:rPr>
                    <w:t>员工办公生活</w:t>
                  </w:r>
                </w:p>
              </w:tc>
              <w:tc>
                <w:tcPr>
                  <w:tcW w:w="874" w:type="pct"/>
                  <w:vAlign w:val="center"/>
                </w:tcPr>
                <w:p w14:paraId="06BEB58B">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11人</w:t>
                  </w:r>
                </w:p>
              </w:tc>
              <w:tc>
                <w:tcPr>
                  <w:tcW w:w="1002" w:type="pct"/>
                  <w:vAlign w:val="center"/>
                </w:tcPr>
                <w:p w14:paraId="69CFACC7">
                  <w:pPr>
                    <w:pStyle w:val="52"/>
                    <w:spacing w:before="36"/>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Cs/>
                      <w:color w:val="auto"/>
                      <w:sz w:val="18"/>
                      <w:szCs w:val="18"/>
                      <w:lang w:val="en-US" w:eastAsia="zh-CN"/>
                    </w:rPr>
                    <w:t>40</w:t>
                  </w:r>
                  <w:r>
                    <w:rPr>
                      <w:rFonts w:hint="default" w:ascii="Times New Roman" w:hAnsi="Times New Roman" w:eastAsia="宋体" w:cs="Times New Roman"/>
                      <w:color w:val="auto"/>
                      <w:sz w:val="18"/>
                      <w:szCs w:val="18"/>
                    </w:rPr>
                    <w:t>L/（人•d）</w:t>
                  </w:r>
                </w:p>
              </w:tc>
              <w:tc>
                <w:tcPr>
                  <w:tcW w:w="728" w:type="pct"/>
                  <w:vAlign w:val="center"/>
                </w:tcPr>
                <w:p w14:paraId="27261AB9">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0.44</w:t>
                  </w:r>
                </w:p>
              </w:tc>
              <w:tc>
                <w:tcPr>
                  <w:tcW w:w="587" w:type="pct"/>
                  <w:vAlign w:val="center"/>
                </w:tcPr>
                <w:p w14:paraId="3D0580F3">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0.8</w:t>
                  </w:r>
                </w:p>
              </w:tc>
              <w:tc>
                <w:tcPr>
                  <w:tcW w:w="1006" w:type="pct"/>
                  <w:vAlign w:val="center"/>
                </w:tcPr>
                <w:p w14:paraId="6F0A9C03">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0.352</w:t>
                  </w:r>
                </w:p>
              </w:tc>
            </w:tr>
            <w:tr w14:paraId="5EC4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vAlign w:val="center"/>
                </w:tcPr>
                <w:p w14:paraId="56730600">
                  <w:pPr>
                    <w:pStyle w:val="52"/>
                    <w:spacing w:before="36"/>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实验器皿</w:t>
                  </w:r>
                  <w:r>
                    <w:rPr>
                      <w:rFonts w:hint="default" w:ascii="Times New Roman" w:hAnsi="Times New Roman" w:eastAsia="宋体" w:cs="Times New Roman"/>
                      <w:color w:val="auto"/>
                      <w:sz w:val="18"/>
                      <w:szCs w:val="18"/>
                      <w:lang w:val="en-US" w:eastAsia="zh-CN"/>
                    </w:rPr>
                    <w:t>润洗</w:t>
                  </w:r>
                </w:p>
              </w:tc>
              <w:tc>
                <w:tcPr>
                  <w:tcW w:w="874" w:type="pct"/>
                  <w:vAlign w:val="center"/>
                </w:tcPr>
                <w:p w14:paraId="3CF3B8E7">
                  <w:pPr>
                    <w:pStyle w:val="52"/>
                    <w:spacing w:before="36"/>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eastAsia="zh-CN"/>
                    </w:rPr>
                    <w:t>3500样次/年</w:t>
                  </w:r>
                </w:p>
              </w:tc>
              <w:tc>
                <w:tcPr>
                  <w:tcW w:w="1002" w:type="pct"/>
                  <w:vAlign w:val="center"/>
                </w:tcPr>
                <w:p w14:paraId="3D6B85EC">
                  <w:pPr>
                    <w:pStyle w:val="52"/>
                    <w:spacing w:before="36"/>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highlight w:val="none"/>
                      <w:lang w:val="en-US" w:eastAsia="zh-CN"/>
                    </w:rPr>
                    <w:t>10</w:t>
                  </w:r>
                  <w:r>
                    <w:rPr>
                      <w:rFonts w:hint="default" w:ascii="Times New Roman" w:hAnsi="Times New Roman" w:eastAsia="宋体" w:cs="Times New Roman"/>
                      <w:color w:val="auto"/>
                      <w:sz w:val="18"/>
                      <w:szCs w:val="18"/>
                      <w:highlight w:val="none"/>
                    </w:rPr>
                    <w:t>0mL/</w:t>
                  </w:r>
                  <w:r>
                    <w:rPr>
                      <w:rFonts w:hint="default" w:ascii="Times New Roman" w:hAnsi="Times New Roman" w:eastAsia="宋体" w:cs="Times New Roman"/>
                      <w:color w:val="auto"/>
                      <w:sz w:val="18"/>
                      <w:szCs w:val="18"/>
                      <w:highlight w:val="none"/>
                      <w:lang w:val="en-US" w:eastAsia="zh-CN"/>
                    </w:rPr>
                    <w:t>样次</w:t>
                  </w:r>
                </w:p>
              </w:tc>
              <w:tc>
                <w:tcPr>
                  <w:tcW w:w="728" w:type="pct"/>
                  <w:vAlign w:val="center"/>
                </w:tcPr>
                <w:p w14:paraId="789AF6C9">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0.0014（纯水，不计入新鲜水）</w:t>
                  </w:r>
                </w:p>
              </w:tc>
              <w:tc>
                <w:tcPr>
                  <w:tcW w:w="587" w:type="pct"/>
                  <w:vAlign w:val="center"/>
                </w:tcPr>
                <w:p w14:paraId="1764C136">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0.9</w:t>
                  </w:r>
                </w:p>
              </w:tc>
              <w:tc>
                <w:tcPr>
                  <w:tcW w:w="1006" w:type="pct"/>
                  <w:vAlign w:val="center"/>
                </w:tcPr>
                <w:p w14:paraId="20FCC257">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0.00126</w:t>
                  </w:r>
                </w:p>
              </w:tc>
            </w:tr>
            <w:tr w14:paraId="6046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vAlign w:val="center"/>
                </w:tcPr>
                <w:p w14:paraId="12399990">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rPr>
                    <w:t>实验器皿</w:t>
                  </w:r>
                  <w:r>
                    <w:rPr>
                      <w:rFonts w:hint="default" w:ascii="Times New Roman" w:hAnsi="Times New Roman" w:eastAsia="宋体" w:cs="Times New Roman"/>
                      <w:color w:val="auto"/>
                      <w:sz w:val="18"/>
                      <w:szCs w:val="18"/>
                      <w:lang w:val="en-US" w:eastAsia="zh-CN"/>
                    </w:rPr>
                    <w:t>前两道清洗</w:t>
                  </w:r>
                </w:p>
              </w:tc>
              <w:tc>
                <w:tcPr>
                  <w:tcW w:w="874" w:type="pct"/>
                  <w:vAlign w:val="center"/>
                </w:tcPr>
                <w:p w14:paraId="050A92EF">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3500样次/年</w:t>
                  </w:r>
                </w:p>
              </w:tc>
              <w:tc>
                <w:tcPr>
                  <w:tcW w:w="1002" w:type="pct"/>
                  <w:vAlign w:val="center"/>
                </w:tcPr>
                <w:p w14:paraId="6CE5BCEC">
                  <w:pPr>
                    <w:pStyle w:val="52"/>
                    <w:spacing w:before="36"/>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40</w:t>
                  </w:r>
                  <w:r>
                    <w:rPr>
                      <w:rFonts w:hint="default" w:ascii="Times New Roman" w:hAnsi="Times New Roman" w:eastAsia="宋体" w:cs="Times New Roman"/>
                      <w:color w:val="auto"/>
                      <w:sz w:val="18"/>
                      <w:szCs w:val="18"/>
                      <w:highlight w:val="none"/>
                    </w:rPr>
                    <w:t>0mL/</w:t>
                  </w:r>
                  <w:r>
                    <w:rPr>
                      <w:rFonts w:hint="default" w:ascii="Times New Roman" w:hAnsi="Times New Roman" w:eastAsia="宋体" w:cs="Times New Roman"/>
                      <w:color w:val="auto"/>
                      <w:sz w:val="18"/>
                      <w:szCs w:val="18"/>
                      <w:highlight w:val="none"/>
                      <w:lang w:val="en-US" w:eastAsia="zh-CN"/>
                    </w:rPr>
                    <w:t>样次</w:t>
                  </w:r>
                </w:p>
              </w:tc>
              <w:tc>
                <w:tcPr>
                  <w:tcW w:w="728" w:type="pct"/>
                  <w:vAlign w:val="center"/>
                </w:tcPr>
                <w:p w14:paraId="51973081">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0.0056</w:t>
                  </w:r>
                </w:p>
              </w:tc>
              <w:tc>
                <w:tcPr>
                  <w:tcW w:w="587" w:type="pct"/>
                  <w:vAlign w:val="center"/>
                </w:tcPr>
                <w:p w14:paraId="544528BA">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0.9</w:t>
                  </w:r>
                </w:p>
              </w:tc>
              <w:tc>
                <w:tcPr>
                  <w:tcW w:w="1006" w:type="pct"/>
                  <w:vAlign w:val="center"/>
                </w:tcPr>
                <w:p w14:paraId="06AA3CED">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0.00504</w:t>
                  </w:r>
                  <w:r>
                    <w:rPr>
                      <w:rFonts w:hint="eastAsia" w:ascii="Times New Roman" w:hAnsi="Times New Roman" w:eastAsia="宋体" w:cs="Times New Roman"/>
                      <w:color w:val="auto"/>
                      <w:sz w:val="18"/>
                      <w:szCs w:val="18"/>
                      <w:highlight w:val="none"/>
                      <w:lang w:val="en-US" w:eastAsia="zh-CN"/>
                    </w:rPr>
                    <w:t>（作危废，不外排）</w:t>
                  </w:r>
                </w:p>
              </w:tc>
            </w:tr>
            <w:tr w14:paraId="6CD8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vAlign w:val="center"/>
                </w:tcPr>
                <w:p w14:paraId="5A912BB2">
                  <w:pPr>
                    <w:pStyle w:val="52"/>
                    <w:spacing w:before="36"/>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rPr>
                    <w:t>实验器皿</w:t>
                  </w:r>
                  <w:r>
                    <w:rPr>
                      <w:rFonts w:hint="default" w:ascii="Times New Roman" w:hAnsi="Times New Roman" w:eastAsia="宋体" w:cs="Times New Roman"/>
                      <w:color w:val="auto"/>
                      <w:sz w:val="18"/>
                      <w:szCs w:val="18"/>
                      <w:lang w:val="en-US" w:eastAsia="zh-CN"/>
                    </w:rPr>
                    <w:t>前后续清洗</w:t>
                  </w:r>
                </w:p>
              </w:tc>
              <w:tc>
                <w:tcPr>
                  <w:tcW w:w="874" w:type="pct"/>
                  <w:vAlign w:val="center"/>
                </w:tcPr>
                <w:p w14:paraId="586A8AEE">
                  <w:pPr>
                    <w:pStyle w:val="52"/>
                    <w:spacing w:before="36"/>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lang w:val="en-US" w:eastAsia="zh-CN"/>
                    </w:rPr>
                    <w:t>3500样次/年</w:t>
                  </w:r>
                </w:p>
              </w:tc>
              <w:tc>
                <w:tcPr>
                  <w:tcW w:w="1002" w:type="pct"/>
                  <w:vAlign w:val="center"/>
                </w:tcPr>
                <w:p w14:paraId="1AC5C22C">
                  <w:pPr>
                    <w:pStyle w:val="52"/>
                    <w:spacing w:before="36"/>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100</w:t>
                  </w:r>
                  <w:r>
                    <w:rPr>
                      <w:rFonts w:hint="default" w:ascii="Times New Roman" w:hAnsi="Times New Roman" w:eastAsia="宋体" w:cs="Times New Roman"/>
                      <w:color w:val="auto"/>
                      <w:sz w:val="18"/>
                      <w:szCs w:val="18"/>
                      <w:highlight w:val="none"/>
                    </w:rPr>
                    <w:t>0mL/</w:t>
                  </w:r>
                  <w:r>
                    <w:rPr>
                      <w:rFonts w:hint="default" w:ascii="Times New Roman" w:hAnsi="Times New Roman" w:eastAsia="宋体" w:cs="Times New Roman"/>
                      <w:color w:val="auto"/>
                      <w:sz w:val="18"/>
                      <w:szCs w:val="18"/>
                      <w:highlight w:val="none"/>
                      <w:lang w:val="en-US" w:eastAsia="zh-CN"/>
                    </w:rPr>
                    <w:t>样次</w:t>
                  </w:r>
                </w:p>
              </w:tc>
              <w:tc>
                <w:tcPr>
                  <w:tcW w:w="728" w:type="pct"/>
                  <w:vAlign w:val="center"/>
                </w:tcPr>
                <w:p w14:paraId="276D0D61">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0.014</w:t>
                  </w:r>
                </w:p>
              </w:tc>
              <w:tc>
                <w:tcPr>
                  <w:tcW w:w="587" w:type="pct"/>
                  <w:vAlign w:val="center"/>
                </w:tcPr>
                <w:p w14:paraId="14F01188">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0.9</w:t>
                  </w:r>
                </w:p>
              </w:tc>
              <w:tc>
                <w:tcPr>
                  <w:tcW w:w="1006" w:type="pct"/>
                  <w:vAlign w:val="center"/>
                </w:tcPr>
                <w:p w14:paraId="33BC68A7">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0.0126</w:t>
                  </w:r>
                </w:p>
              </w:tc>
            </w:tr>
            <w:tr w14:paraId="02D1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00" w:type="pct"/>
                  <w:vAlign w:val="center"/>
                </w:tcPr>
                <w:p w14:paraId="3DE50118">
                  <w:pPr>
                    <w:pStyle w:val="52"/>
                    <w:spacing w:before="36"/>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lang w:eastAsia="zh-CN"/>
                    </w:rPr>
                    <w:t>纯水制备</w:t>
                  </w:r>
                  <w:r>
                    <w:rPr>
                      <w:rFonts w:hint="default" w:ascii="Times New Roman" w:hAnsi="Times New Roman" w:eastAsia="宋体" w:cs="Times New Roman"/>
                      <w:color w:val="auto"/>
                      <w:sz w:val="18"/>
                      <w:szCs w:val="18"/>
                      <w:lang w:val="en-US" w:eastAsia="zh-CN"/>
                    </w:rPr>
                    <w:t>浓水</w:t>
                  </w:r>
                </w:p>
              </w:tc>
              <w:tc>
                <w:tcPr>
                  <w:tcW w:w="874" w:type="pct"/>
                  <w:vAlign w:val="center"/>
                </w:tcPr>
                <w:p w14:paraId="4C9F8776">
                  <w:pPr>
                    <w:pStyle w:val="52"/>
                    <w:spacing w:before="36"/>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c>
                <w:tcPr>
                  <w:tcW w:w="1002" w:type="pct"/>
                  <w:vAlign w:val="center"/>
                </w:tcPr>
                <w:p w14:paraId="4AC6B6EF">
                  <w:pPr>
                    <w:pStyle w:val="52"/>
                    <w:spacing w:before="36"/>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lang w:val="en-US" w:eastAsia="zh-CN"/>
                    </w:rPr>
                    <w:t>/</w:t>
                  </w:r>
                </w:p>
              </w:tc>
              <w:tc>
                <w:tcPr>
                  <w:tcW w:w="728" w:type="pct"/>
                  <w:vAlign w:val="center"/>
                </w:tcPr>
                <w:p w14:paraId="1A4E4FC2">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0.169</w:t>
                  </w:r>
                </w:p>
              </w:tc>
              <w:tc>
                <w:tcPr>
                  <w:tcW w:w="587" w:type="pct"/>
                  <w:vAlign w:val="center"/>
                </w:tcPr>
                <w:p w14:paraId="7E51021A">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w:t>
                  </w:r>
                </w:p>
              </w:tc>
              <w:tc>
                <w:tcPr>
                  <w:tcW w:w="1006" w:type="pct"/>
                  <w:vAlign w:val="center"/>
                </w:tcPr>
                <w:p w14:paraId="6DAF7806">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0.0676</w:t>
                  </w:r>
                </w:p>
              </w:tc>
            </w:tr>
            <w:tr w14:paraId="66CF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00" w:type="pct"/>
                  <w:vAlign w:val="center"/>
                </w:tcPr>
                <w:p w14:paraId="435BD209">
                  <w:pPr>
                    <w:pStyle w:val="52"/>
                    <w:spacing w:before="36"/>
                    <w:outlineLvl w:val="9"/>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kern w:val="0"/>
                      <w:sz w:val="18"/>
                      <w:szCs w:val="18"/>
                    </w:rPr>
                    <w:t>地面清洁</w:t>
                  </w:r>
                </w:p>
              </w:tc>
              <w:tc>
                <w:tcPr>
                  <w:tcW w:w="874" w:type="pct"/>
                  <w:vAlign w:val="center"/>
                </w:tcPr>
                <w:p w14:paraId="0548B60F">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0"/>
                      <w:sz w:val="18"/>
                      <w:szCs w:val="18"/>
                      <w:lang w:val="en-US" w:eastAsia="zh-CN"/>
                    </w:rPr>
                    <w:t>734.1m</w:t>
                  </w:r>
                  <w:r>
                    <w:rPr>
                      <w:rFonts w:hint="default" w:ascii="Times New Roman" w:hAnsi="Times New Roman" w:eastAsia="宋体" w:cs="Times New Roman"/>
                      <w:color w:val="auto"/>
                      <w:kern w:val="0"/>
                      <w:sz w:val="18"/>
                      <w:szCs w:val="18"/>
                      <w:vertAlign w:val="superscript"/>
                      <w:lang w:val="en-US" w:eastAsia="zh-CN"/>
                    </w:rPr>
                    <w:t>2</w:t>
                  </w:r>
                </w:p>
              </w:tc>
              <w:tc>
                <w:tcPr>
                  <w:tcW w:w="1002" w:type="pct"/>
                  <w:vAlign w:val="center"/>
                </w:tcPr>
                <w:p w14:paraId="0AB1BC03">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kern w:val="0"/>
                      <w:sz w:val="18"/>
                      <w:szCs w:val="18"/>
                      <w:lang w:val="en-US" w:eastAsia="zh-CN"/>
                    </w:rPr>
                    <w:t>0.5</w:t>
                  </w:r>
                  <w:r>
                    <w:rPr>
                      <w:rFonts w:hint="default" w:ascii="Times New Roman" w:hAnsi="Times New Roman" w:eastAsia="宋体" w:cs="Times New Roman"/>
                      <w:color w:val="auto"/>
                      <w:kern w:val="0"/>
                      <w:sz w:val="18"/>
                      <w:szCs w:val="18"/>
                    </w:rPr>
                    <w:t>L/m</w:t>
                  </w:r>
                  <w:r>
                    <w:rPr>
                      <w:rFonts w:hint="default" w:ascii="Times New Roman" w:hAnsi="Times New Roman" w:eastAsia="宋体" w:cs="Times New Roman"/>
                      <w:color w:val="auto"/>
                      <w:kern w:val="0"/>
                      <w:sz w:val="18"/>
                      <w:szCs w:val="18"/>
                      <w:vertAlign w:val="superscript"/>
                    </w:rPr>
                    <w:t>2</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次，每 2d 清洁一次</w:t>
                  </w:r>
                </w:p>
              </w:tc>
              <w:tc>
                <w:tcPr>
                  <w:tcW w:w="728" w:type="pct"/>
                  <w:vAlign w:val="center"/>
                </w:tcPr>
                <w:p w14:paraId="681688EA">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0.184</w:t>
                  </w:r>
                </w:p>
              </w:tc>
              <w:tc>
                <w:tcPr>
                  <w:tcW w:w="587" w:type="pct"/>
                  <w:vAlign w:val="center"/>
                </w:tcPr>
                <w:p w14:paraId="5F7A0DA3">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0.8</w:t>
                  </w:r>
                </w:p>
              </w:tc>
              <w:tc>
                <w:tcPr>
                  <w:tcW w:w="1006" w:type="pct"/>
                  <w:vAlign w:val="center"/>
                </w:tcPr>
                <w:p w14:paraId="64134932">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0.1472</w:t>
                  </w:r>
                </w:p>
              </w:tc>
            </w:tr>
            <w:tr w14:paraId="5DEE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vAlign w:val="center"/>
                </w:tcPr>
                <w:p w14:paraId="7415912C">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喷淋水</w:t>
                  </w:r>
                </w:p>
              </w:tc>
              <w:tc>
                <w:tcPr>
                  <w:tcW w:w="874" w:type="pct"/>
                  <w:vAlign w:val="center"/>
                </w:tcPr>
                <w:p w14:paraId="5FB697CF">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002" w:type="pct"/>
                  <w:vAlign w:val="center"/>
                </w:tcPr>
                <w:p w14:paraId="61ECE928">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28" w:type="pct"/>
                  <w:vAlign w:val="center"/>
                </w:tcPr>
                <w:p w14:paraId="28D82734">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w:t>
                  </w:r>
                </w:p>
              </w:tc>
              <w:tc>
                <w:tcPr>
                  <w:tcW w:w="587" w:type="pct"/>
                  <w:vAlign w:val="center"/>
                </w:tcPr>
                <w:p w14:paraId="402FA087">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1006" w:type="pct"/>
                  <w:vAlign w:val="center"/>
                </w:tcPr>
                <w:p w14:paraId="48DD6B59">
                  <w:pPr>
                    <w:pStyle w:val="52"/>
                    <w:spacing w:before="36"/>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r>
            <w:tr w14:paraId="027D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0" w:type="pct"/>
                  <w:vAlign w:val="center"/>
                </w:tcPr>
                <w:p w14:paraId="11528739">
                  <w:pPr>
                    <w:pStyle w:val="52"/>
                    <w:spacing w:before="36"/>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合计</w:t>
                  </w:r>
                </w:p>
              </w:tc>
              <w:tc>
                <w:tcPr>
                  <w:tcW w:w="874" w:type="pct"/>
                  <w:vAlign w:val="center"/>
                </w:tcPr>
                <w:p w14:paraId="3564E014">
                  <w:pPr>
                    <w:pStyle w:val="52"/>
                    <w:spacing w:before="36"/>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1002" w:type="pct"/>
                  <w:vAlign w:val="center"/>
                </w:tcPr>
                <w:p w14:paraId="71809241">
                  <w:pPr>
                    <w:pStyle w:val="52"/>
                    <w:spacing w:before="36"/>
                    <w:outlineLvl w:val="9"/>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w:t>
                  </w:r>
                </w:p>
              </w:tc>
              <w:tc>
                <w:tcPr>
                  <w:tcW w:w="728" w:type="pct"/>
                  <w:vAlign w:val="center"/>
                </w:tcPr>
                <w:p w14:paraId="40C2A268">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1.4126</w:t>
                  </w:r>
                </w:p>
              </w:tc>
              <w:tc>
                <w:tcPr>
                  <w:tcW w:w="587" w:type="pct"/>
                  <w:vAlign w:val="center"/>
                </w:tcPr>
                <w:p w14:paraId="7BE8C2A6">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006" w:type="pct"/>
                  <w:vAlign w:val="center"/>
                </w:tcPr>
                <w:p w14:paraId="220987C7">
                  <w:pPr>
                    <w:pStyle w:val="52"/>
                    <w:spacing w:before="36"/>
                    <w:outlineLvl w:val="9"/>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0.58066</w:t>
                  </w:r>
                </w:p>
              </w:tc>
            </w:tr>
          </w:tbl>
          <w:p w14:paraId="2E72C2C2">
            <w:pPr>
              <w:keepNext w:val="0"/>
              <w:keepLines w:val="0"/>
              <w:pageBreakBefore w:val="0"/>
              <w:widowControl w:val="0"/>
              <w:kinsoku/>
              <w:wordWrap/>
              <w:overflowPunct/>
              <w:topLinePunct w:val="0"/>
              <w:autoSpaceDE/>
              <w:autoSpaceDN/>
              <w:bidi w:val="0"/>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综上所述，项目水平衡如下图所示。</w:t>
            </w:r>
          </w:p>
          <w:p w14:paraId="037B7805">
            <w:pPr>
              <w:bidi w:val="0"/>
              <w:outlineLvl w:val="9"/>
              <w:rPr>
                <w:rFonts w:hint="default"/>
                <w:color w:val="auto"/>
                <w:lang w:val="en-US" w:eastAsia="zh-CN"/>
              </w:rPr>
            </w:pPr>
            <w:r>
              <w:rPr>
                <w:rFonts w:hint="default"/>
                <w:color w:val="auto"/>
                <w:lang w:val="en-US" w:eastAsia="zh-CN"/>
              </w:rPr>
              <w:object>
                <v:shape id="_x0000_i1025" o:spt="75" type="#_x0000_t75" style="height:429.65pt;width:410.85pt;" o:ole="t" filled="f" o:preferrelative="t" stroked="f" coordsize="21600,21600">
                  <v:path/>
                  <v:fill on="f" focussize="0,0"/>
                  <v:stroke on="f"/>
                  <v:imagedata r:id="rId16" o:title=""/>
                  <o:lock v:ext="edit" aspectratio="f"/>
                  <w10:wrap type="none"/>
                  <w10:anchorlock/>
                </v:shape>
                <o:OLEObject Type="Embed" ProgID="Visio.Drawing.15" ShapeID="_x0000_i1025" DrawAspect="Content" ObjectID="_1468075725" r:id="rId15">
                  <o:LockedField>false</o:LockedField>
                </o:OLEObject>
              </w:object>
            </w:r>
          </w:p>
          <w:p w14:paraId="0C078196">
            <w:pPr>
              <w:bidi w:val="0"/>
              <w:jc w:val="center"/>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图2-1  项目水量平衡图 单位：m</w:t>
            </w:r>
            <w:r>
              <w:rPr>
                <w:rFonts w:hint="default" w:ascii="Times New Roman" w:hAnsi="Times New Roman" w:eastAsia="宋体" w:cs="Times New Roman"/>
                <w:b/>
                <w:bCs/>
                <w:color w:val="auto"/>
                <w:sz w:val="18"/>
                <w:szCs w:val="18"/>
                <w:vertAlign w:val="superscript"/>
                <w:lang w:val="en-US" w:eastAsia="zh-CN"/>
              </w:rPr>
              <w:t>3</w:t>
            </w:r>
            <w:r>
              <w:rPr>
                <w:rFonts w:hint="default" w:ascii="Times New Roman" w:hAnsi="Times New Roman" w:eastAsia="宋体" w:cs="Times New Roman"/>
                <w:b/>
                <w:bCs/>
                <w:color w:val="auto"/>
                <w:sz w:val="18"/>
                <w:szCs w:val="18"/>
                <w:lang w:val="en-US" w:eastAsia="zh-CN"/>
              </w:rPr>
              <w:t>/d</w:t>
            </w:r>
          </w:p>
          <w:p w14:paraId="623DA05A">
            <w:pPr>
              <w:pStyle w:val="3"/>
              <w:outlineLvl w:val="9"/>
              <w:rPr>
                <w:rFonts w:hint="default"/>
                <w:color w:val="auto"/>
                <w:lang w:val="en-US" w:eastAsia="zh-CN"/>
              </w:rPr>
            </w:pPr>
          </w:p>
        </w:tc>
      </w:tr>
      <w:tr w14:paraId="3752DC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703" w:type="dxa"/>
            <w:noWrap w:val="0"/>
            <w:vAlign w:val="center"/>
          </w:tcPr>
          <w:p w14:paraId="68291CDF">
            <w:pPr>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工艺流程和产排污环节</w:t>
            </w:r>
          </w:p>
        </w:tc>
        <w:tc>
          <w:tcPr>
            <w:tcW w:w="8435" w:type="dxa"/>
            <w:noWrap w:val="0"/>
            <w:vAlign w:val="top"/>
          </w:tcPr>
          <w:p w14:paraId="5ED76564">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1、施工期工艺流程及产污节点</w:t>
            </w:r>
          </w:p>
          <w:p w14:paraId="3BC6C63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本项目租用</w:t>
            </w:r>
            <w:r>
              <w:rPr>
                <w:rFonts w:hint="default" w:ascii="Times New Roman" w:hAnsi="Times New Roman" w:eastAsia="宋体" w:cs="Times New Roman"/>
                <w:color w:val="auto"/>
                <w:lang w:val="en-US" w:eastAsia="zh-CN"/>
              </w:rPr>
              <w:t>云南水投牛栏江滇池补水工程有限公司负2楼地下室进行实验室建设</w:t>
            </w:r>
            <w:r>
              <w:rPr>
                <w:rFonts w:hint="default" w:ascii="Times New Roman" w:hAnsi="Times New Roman" w:eastAsia="宋体" w:cs="Times New Roman"/>
                <w:color w:val="auto"/>
              </w:rPr>
              <w:t>，施工期不涉及</w:t>
            </w:r>
            <w:r>
              <w:rPr>
                <w:rFonts w:hint="default" w:ascii="Times New Roman" w:hAnsi="Times New Roman" w:eastAsia="宋体" w:cs="Times New Roman"/>
                <w:color w:val="auto"/>
                <w:lang w:val="en-US" w:eastAsia="zh-CN"/>
              </w:rPr>
              <w:t>构筑物</w:t>
            </w:r>
            <w:r>
              <w:rPr>
                <w:rFonts w:hint="default" w:ascii="Times New Roman" w:hAnsi="Times New Roman" w:eastAsia="宋体" w:cs="Times New Roman"/>
                <w:color w:val="auto"/>
              </w:rPr>
              <w:t>建设，仅为内部</w:t>
            </w:r>
            <w:r>
              <w:rPr>
                <w:rFonts w:hint="default" w:ascii="Times New Roman" w:hAnsi="Times New Roman" w:eastAsia="宋体" w:cs="Times New Roman"/>
                <w:color w:val="auto"/>
                <w:lang w:eastAsia="zh-CN"/>
              </w:rPr>
              <w:t>改造</w:t>
            </w:r>
            <w:r>
              <w:rPr>
                <w:rFonts w:hint="default" w:ascii="Times New Roman" w:hAnsi="Times New Roman" w:eastAsia="宋体" w:cs="Times New Roman"/>
                <w:color w:val="auto"/>
              </w:rPr>
              <w:t>和设备安装，施工期施工人员均不在项目内食宿。施工期产生的污染主要有施工废气</w:t>
            </w:r>
            <w:r>
              <w:rPr>
                <w:rFonts w:hint="default" w:ascii="Times New Roman" w:hAnsi="Times New Roman" w:eastAsia="宋体" w:cs="Times New Roman"/>
                <w:color w:val="auto"/>
                <w:lang w:eastAsia="zh-CN"/>
              </w:rPr>
              <w:t>（扬尘、装修）、</w:t>
            </w:r>
            <w:r>
              <w:rPr>
                <w:rFonts w:hint="default" w:ascii="Times New Roman" w:hAnsi="Times New Roman" w:eastAsia="宋体" w:cs="Times New Roman"/>
                <w:color w:val="auto"/>
              </w:rPr>
              <w:t>施工噪声、生活污水及建筑垃圾等。</w:t>
            </w: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rPr>
              <w:t>施工时间</w:t>
            </w:r>
            <w:r>
              <w:rPr>
                <w:rFonts w:hint="eastAsia" w:cs="Times New Roman"/>
                <w:color w:val="auto"/>
                <w:lang w:val="en-US" w:eastAsia="zh-CN"/>
              </w:rPr>
              <w:t>较短</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项目施工期对环境影响具有短暂性，工程结束后施工产生的废气、废水、噪声对环境影响随之消失。项目施工期工艺流程及产污节点见图 2-2。</w:t>
            </w:r>
          </w:p>
          <w:p w14:paraId="65779A5E">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drawing>
                <wp:inline distT="0" distB="0" distL="114300" distR="114300">
                  <wp:extent cx="5274945" cy="1367790"/>
                  <wp:effectExtent l="0" t="0" r="1905" b="3810"/>
                  <wp:docPr id="2" name="图片 2" descr="52f6647f5f42e124edcaae0bfbf0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2f6647f5f42e124edcaae0bfbf0f18"/>
                          <pic:cNvPicPr>
                            <a:picLocks noChangeAspect="1"/>
                          </pic:cNvPicPr>
                        </pic:nvPicPr>
                        <pic:blipFill>
                          <a:blip r:embed="rId17"/>
                          <a:stretch>
                            <a:fillRect/>
                          </a:stretch>
                        </pic:blipFill>
                        <pic:spPr>
                          <a:xfrm>
                            <a:off x="0" y="0"/>
                            <a:ext cx="5274945" cy="1367790"/>
                          </a:xfrm>
                          <a:prstGeom prst="rect">
                            <a:avLst/>
                          </a:prstGeom>
                        </pic:spPr>
                      </pic:pic>
                    </a:graphicData>
                  </a:graphic>
                </wp:inline>
              </w:drawing>
            </w:r>
          </w:p>
          <w:p w14:paraId="77F0642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图2-</w:t>
            </w:r>
            <w:r>
              <w:rPr>
                <w:rFonts w:hint="default" w:ascii="Times New Roman" w:hAnsi="Times New Roman" w:eastAsia="宋体" w:cs="Times New Roman"/>
                <w:b/>
                <w:bCs/>
                <w:color w:val="auto"/>
                <w:sz w:val="18"/>
                <w:szCs w:val="18"/>
                <w:lang w:val="en-US" w:eastAsia="zh-CN"/>
              </w:rPr>
              <w:t xml:space="preserve">2 </w:t>
            </w:r>
            <w:r>
              <w:rPr>
                <w:rFonts w:hint="default" w:ascii="Times New Roman" w:hAnsi="Times New Roman" w:eastAsia="宋体" w:cs="Times New Roman"/>
                <w:b/>
                <w:bCs/>
                <w:color w:val="auto"/>
                <w:sz w:val="18"/>
                <w:szCs w:val="18"/>
              </w:rPr>
              <w:t xml:space="preserve"> 项目施工期工艺流程及产污节点图</w:t>
            </w:r>
          </w:p>
          <w:p w14:paraId="1E70827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2、运营期工艺流程</w:t>
            </w:r>
          </w:p>
          <w:p w14:paraId="61EEA6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本项目主要从事</w:t>
            </w:r>
            <w:r>
              <w:rPr>
                <w:rFonts w:hint="eastAsia" w:cs="Times New Roman"/>
                <w:color w:val="auto"/>
                <w:lang w:val="en-US" w:eastAsia="zh-CN"/>
              </w:rPr>
              <w:t>水质检测</w:t>
            </w:r>
            <w:r>
              <w:rPr>
                <w:rFonts w:hint="default" w:ascii="Times New Roman" w:hAnsi="Times New Roman" w:eastAsia="宋体" w:cs="Times New Roman"/>
                <w:color w:val="auto"/>
              </w:rPr>
              <w:t>服务</w:t>
            </w:r>
            <w:r>
              <w:rPr>
                <w:rFonts w:hint="eastAsia" w:cs="Times New Roman"/>
                <w:color w:val="auto"/>
                <w:lang w:eastAsia="zh-CN"/>
              </w:rPr>
              <w:t>，</w:t>
            </w:r>
            <w:r>
              <w:rPr>
                <w:rFonts w:hint="eastAsia" w:cs="Times New Roman"/>
                <w:color w:val="auto"/>
                <w:lang w:val="en-US" w:eastAsia="zh-CN"/>
              </w:rPr>
              <w:t>具体检测试验主要分为有机、无机2个大类</w:t>
            </w:r>
            <w:r>
              <w:rPr>
                <w:rFonts w:hint="default" w:ascii="Times New Roman" w:hAnsi="Times New Roman" w:eastAsia="宋体" w:cs="Times New Roman"/>
                <w:color w:val="auto"/>
              </w:rPr>
              <w:t>。工艺流程及产污环节示意图详见下图。</w:t>
            </w:r>
          </w:p>
          <w:p w14:paraId="2048B79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outlineLvl w:val="9"/>
              <w:rPr>
                <w:rFonts w:hint="eastAsia"/>
                <w:b/>
                <w:bCs/>
                <w:color w:val="auto"/>
                <w:lang w:val="en-US" w:eastAsia="zh-CN"/>
              </w:rPr>
            </w:pPr>
            <w:r>
              <w:rPr>
                <w:rFonts w:hint="eastAsia" w:ascii="Times New Roman" w:hAnsi="Times New Roman" w:eastAsia="宋体" w:cs="Times New Roman"/>
                <w:b/>
                <w:bCs/>
                <w:color w:val="auto"/>
                <w:kern w:val="2"/>
                <w:sz w:val="21"/>
                <w:szCs w:val="24"/>
                <w:lang w:val="en-US" w:eastAsia="zh-CN" w:bidi="ar-SA"/>
              </w:rPr>
              <w:t>（1）</w:t>
            </w:r>
            <w:r>
              <w:rPr>
                <w:rFonts w:hint="eastAsia"/>
                <w:b/>
                <w:bCs/>
                <w:color w:val="auto"/>
                <w:lang w:val="en-US" w:eastAsia="zh-CN"/>
              </w:rPr>
              <w:t>有机实验流程</w:t>
            </w:r>
          </w:p>
          <w:p w14:paraId="615BF97C">
            <w:pPr>
              <w:bidi w:val="0"/>
              <w:outlineLvl w:val="9"/>
              <w:rPr>
                <w:rFonts w:hint="default"/>
                <w:color w:val="auto"/>
              </w:rPr>
            </w:pPr>
            <w:r>
              <w:rPr>
                <w:rFonts w:hint="default"/>
                <w:color w:val="auto"/>
              </w:rPr>
              <w:object>
                <v:shape id="_x0000_i1026" o:spt="75" type="#_x0000_t75" style="height:224.45pt;width:410.7pt;" o:ole="t" filled="f" o:preferrelative="t" stroked="f" coordsize="21600,21600">
                  <v:path/>
                  <v:fill on="f" focussize="0,0"/>
                  <v:stroke on="f"/>
                  <v:imagedata r:id="rId19" o:title=""/>
                  <o:lock v:ext="edit" aspectratio="f"/>
                  <w10:wrap type="none"/>
                  <w10:anchorlock/>
                </v:shape>
                <o:OLEObject Type="Embed" ProgID="Visio.Drawing.15" ShapeID="_x0000_i1026" DrawAspect="Content" ObjectID="_1468075726" r:id="rId18">
                  <o:LockedField>false</o:LockedField>
                </o:OLEObject>
              </w:object>
            </w:r>
          </w:p>
          <w:p w14:paraId="77F92F4E">
            <w:pPr>
              <w:bidi w:val="0"/>
              <w:jc w:val="center"/>
              <w:outlineLvl w:val="9"/>
              <w:rPr>
                <w:rFonts w:hint="default" w:eastAsia="宋体"/>
                <w:b/>
                <w:bCs/>
                <w:color w:val="auto"/>
                <w:sz w:val="18"/>
                <w:szCs w:val="18"/>
                <w:lang w:val="en-US" w:eastAsia="zh-CN"/>
              </w:rPr>
            </w:pPr>
            <w:r>
              <w:rPr>
                <w:rFonts w:hint="eastAsia"/>
                <w:b/>
                <w:bCs/>
                <w:color w:val="auto"/>
                <w:sz w:val="18"/>
                <w:szCs w:val="18"/>
                <w:lang w:val="en-US" w:eastAsia="zh-CN"/>
              </w:rPr>
              <w:t>图2-3  项目运营期有机实验工艺流程及产污节点图</w:t>
            </w:r>
          </w:p>
          <w:p w14:paraId="585D1C8E">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eastAsia" w:eastAsia="宋体"/>
                <w:b/>
                <w:bCs/>
                <w:color w:val="auto"/>
                <w:lang w:val="en-US" w:eastAsia="zh-CN"/>
              </w:rPr>
            </w:pPr>
            <w:r>
              <w:rPr>
                <w:rFonts w:hint="eastAsia"/>
                <w:b/>
                <w:bCs/>
                <w:color w:val="auto"/>
                <w:lang w:val="en-US" w:eastAsia="zh-CN"/>
              </w:rPr>
              <w:t>主要工艺流程简介：</w:t>
            </w:r>
          </w:p>
          <w:p w14:paraId="3FAE3567">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接受委托</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建设单位接受客户委托</w:t>
            </w:r>
            <w:r>
              <w:rPr>
                <w:rFonts w:hint="eastAsia" w:ascii="Times New Roman" w:hAnsi="Times New Roman" w:eastAsia="宋体" w:cs="Times New Roman"/>
                <w:color w:val="auto"/>
                <w:sz w:val="21"/>
                <w:szCs w:val="21"/>
                <w:lang w:eastAsia="zh-CN"/>
              </w:rPr>
              <w:t>；</w:t>
            </w:r>
          </w:p>
          <w:p w14:paraId="5C495D6A">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拟定方案</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建设单位相关负责人根据客户要求拟定方案</w:t>
            </w:r>
            <w:r>
              <w:rPr>
                <w:rFonts w:hint="eastAsia" w:ascii="Times New Roman" w:hAnsi="Times New Roman" w:eastAsia="宋体" w:cs="Times New Roman"/>
                <w:color w:val="auto"/>
                <w:sz w:val="21"/>
                <w:szCs w:val="21"/>
                <w:lang w:eastAsia="zh-CN"/>
              </w:rPr>
              <w:t>；</w:t>
            </w:r>
          </w:p>
          <w:p w14:paraId="7682DECD">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现场采样及检测</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根据监测方案，进行现场采样，需现场进行检测的指标在现场进行检测</w:t>
            </w:r>
            <w:r>
              <w:rPr>
                <w:rFonts w:hint="eastAsia" w:ascii="Times New Roman" w:hAnsi="Times New Roman" w:eastAsia="宋体" w:cs="Times New Roman"/>
                <w:color w:val="auto"/>
                <w:sz w:val="21"/>
                <w:szCs w:val="21"/>
                <w:lang w:eastAsia="zh-CN"/>
              </w:rPr>
              <w:t>；</w:t>
            </w:r>
          </w:p>
          <w:p w14:paraId="5A2F093E">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称样</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在天平室内，用天平量取被测样品</w:t>
            </w:r>
            <w:r>
              <w:rPr>
                <w:rFonts w:hint="eastAsia" w:ascii="Times New Roman" w:hAnsi="Times New Roman" w:eastAsia="宋体" w:cs="Times New Roman"/>
                <w:color w:val="auto"/>
                <w:sz w:val="21"/>
                <w:szCs w:val="21"/>
                <w:lang w:eastAsia="zh-CN"/>
              </w:rPr>
              <w:t>；</w:t>
            </w:r>
          </w:p>
          <w:p w14:paraId="25BDDC99">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萃取</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在有机前处理室内设置的通风橱内操作，用有机试剂提取被测组分，在有机试剂取样过程中有少量有机气体挥发，由通风橱收集经活性炭吸附装置吸附后经</w:t>
            </w:r>
            <w:r>
              <w:rPr>
                <w:rFonts w:hint="eastAsia" w:ascii="Times New Roman" w:hAnsi="Times New Roman" w:eastAsia="宋体" w:cs="Times New Roman"/>
                <w:color w:val="auto"/>
                <w:sz w:val="21"/>
                <w:szCs w:val="21"/>
                <w:lang w:val="en-US" w:eastAsia="zh-CN"/>
              </w:rPr>
              <w:t>DA001</w:t>
            </w:r>
            <w:r>
              <w:rPr>
                <w:rFonts w:hint="eastAsia" w:ascii="Times New Roman" w:hAnsi="Times New Roman" w:eastAsia="宋体" w:cs="Times New Roman"/>
                <w:color w:val="auto"/>
                <w:sz w:val="21"/>
                <w:szCs w:val="21"/>
                <w:lang w:eastAsia="zh-CN"/>
              </w:rPr>
              <w:t>排气筒</w:t>
            </w:r>
            <w:r>
              <w:rPr>
                <w:rFonts w:hint="default" w:ascii="Times New Roman" w:hAnsi="Times New Roman" w:eastAsia="宋体" w:cs="Times New Roman"/>
                <w:color w:val="auto"/>
                <w:sz w:val="21"/>
                <w:szCs w:val="21"/>
              </w:rPr>
              <w:t>排放</w:t>
            </w:r>
            <w:r>
              <w:rPr>
                <w:rFonts w:hint="eastAsia" w:ascii="Times New Roman" w:hAnsi="Times New Roman" w:eastAsia="宋体" w:cs="Times New Roman"/>
                <w:color w:val="auto"/>
                <w:sz w:val="21"/>
                <w:szCs w:val="21"/>
                <w:lang w:eastAsia="zh-CN"/>
              </w:rPr>
              <w:t>；</w:t>
            </w:r>
          </w:p>
          <w:p w14:paraId="53DC5072">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浓缩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在有机前处理室操作，脱水作业之一。用加热等方法使溶液中的溶剂蒸发而增加溶液的浓度</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过程中有少量有机气体挥发，由通风橱收集经活性炭吸附装置吸附后经</w:t>
            </w:r>
            <w:r>
              <w:rPr>
                <w:rFonts w:hint="eastAsia" w:ascii="Times New Roman" w:hAnsi="Times New Roman" w:eastAsia="宋体" w:cs="Times New Roman"/>
                <w:color w:val="auto"/>
                <w:sz w:val="21"/>
                <w:szCs w:val="21"/>
                <w:lang w:val="en-US" w:eastAsia="zh-CN"/>
              </w:rPr>
              <w:t>DA001</w:t>
            </w:r>
            <w:r>
              <w:rPr>
                <w:rFonts w:hint="default" w:ascii="Times New Roman" w:hAnsi="Times New Roman" w:eastAsia="宋体" w:cs="Times New Roman"/>
                <w:color w:val="auto"/>
                <w:sz w:val="21"/>
                <w:szCs w:val="21"/>
              </w:rPr>
              <w:t>排气筒排放</w:t>
            </w:r>
            <w:r>
              <w:rPr>
                <w:rFonts w:hint="eastAsia" w:ascii="Times New Roman" w:hAnsi="Times New Roman" w:eastAsia="宋体" w:cs="Times New Roman"/>
                <w:color w:val="auto"/>
                <w:sz w:val="21"/>
                <w:szCs w:val="21"/>
                <w:lang w:eastAsia="zh-CN"/>
              </w:rPr>
              <w:t>；</w:t>
            </w:r>
          </w:p>
          <w:p w14:paraId="5DABDA47">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定容</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在有机前处理室操作，使用容量瓶配制准确浓度溶液</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过程中有少量有机气体挥发，由通风橱收集经活性炭吸附装置吸附后经</w:t>
            </w:r>
            <w:r>
              <w:rPr>
                <w:rFonts w:hint="eastAsia" w:ascii="Times New Roman" w:hAnsi="Times New Roman" w:eastAsia="宋体" w:cs="Times New Roman"/>
                <w:color w:val="auto"/>
                <w:sz w:val="21"/>
                <w:szCs w:val="21"/>
                <w:lang w:val="en-US" w:eastAsia="zh-CN"/>
              </w:rPr>
              <w:t>DA001</w:t>
            </w:r>
            <w:r>
              <w:rPr>
                <w:rFonts w:hint="eastAsia" w:ascii="Times New Roman" w:hAnsi="Times New Roman" w:eastAsia="宋体" w:cs="Times New Roman"/>
                <w:color w:val="auto"/>
                <w:sz w:val="21"/>
                <w:szCs w:val="21"/>
                <w:lang w:eastAsia="zh-CN"/>
              </w:rPr>
              <w:t>排气筒</w:t>
            </w:r>
            <w:r>
              <w:rPr>
                <w:rFonts w:hint="default" w:ascii="Times New Roman" w:hAnsi="Times New Roman" w:eastAsia="宋体" w:cs="Times New Roman"/>
                <w:color w:val="auto"/>
                <w:sz w:val="21"/>
                <w:szCs w:val="21"/>
              </w:rPr>
              <w:t>排放</w:t>
            </w:r>
            <w:r>
              <w:rPr>
                <w:rFonts w:hint="eastAsia" w:ascii="Times New Roman" w:hAnsi="Times New Roman" w:eastAsia="宋体" w:cs="Times New Roman"/>
                <w:color w:val="auto"/>
                <w:sz w:val="21"/>
                <w:szCs w:val="21"/>
                <w:lang w:eastAsia="zh-CN"/>
              </w:rPr>
              <w:t>；</w:t>
            </w:r>
          </w:p>
          <w:p w14:paraId="76BEADC7">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上机检测</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在有机仪器室操作，将消解后的样品进行上机检测，得到数据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检测过程中有少量有机气体挥发，由仪器上方的集气罩收集经活性炭吸附装置吸附后经 DA001 </w:t>
            </w:r>
            <w:r>
              <w:rPr>
                <w:rFonts w:hint="eastAsia" w:ascii="Times New Roman" w:hAnsi="Times New Roman" w:eastAsia="宋体" w:cs="Times New Roman"/>
                <w:color w:val="auto"/>
                <w:sz w:val="21"/>
                <w:szCs w:val="21"/>
                <w:lang w:eastAsia="zh-CN"/>
              </w:rPr>
              <w:t>排气筒</w:t>
            </w:r>
            <w:r>
              <w:rPr>
                <w:rFonts w:hint="default" w:ascii="Times New Roman" w:hAnsi="Times New Roman" w:eastAsia="宋体" w:cs="Times New Roman"/>
                <w:color w:val="auto"/>
                <w:sz w:val="21"/>
                <w:szCs w:val="21"/>
              </w:rPr>
              <w:t>排放</w:t>
            </w:r>
            <w:r>
              <w:rPr>
                <w:rFonts w:hint="eastAsia" w:ascii="Times New Roman" w:hAnsi="Times New Roman" w:eastAsia="宋体" w:cs="Times New Roman"/>
                <w:color w:val="auto"/>
                <w:sz w:val="21"/>
                <w:szCs w:val="21"/>
                <w:lang w:eastAsia="zh-CN"/>
              </w:rPr>
              <w:t>；</w:t>
            </w:r>
          </w:p>
          <w:p w14:paraId="193A9A5A">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计算</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在仪器操作间内进行，对检测得到的数据进行计算</w:t>
            </w:r>
            <w:r>
              <w:rPr>
                <w:rFonts w:hint="eastAsia" w:ascii="Times New Roman" w:hAnsi="Times New Roman" w:eastAsia="宋体" w:cs="Times New Roman"/>
                <w:color w:val="auto"/>
                <w:sz w:val="21"/>
                <w:szCs w:val="21"/>
                <w:lang w:eastAsia="zh-CN"/>
              </w:rPr>
              <w:t>；</w:t>
            </w:r>
          </w:p>
          <w:p w14:paraId="1A73E125">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编制报告</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将实验结果编制成检测报告</w:t>
            </w:r>
            <w:r>
              <w:rPr>
                <w:rFonts w:hint="eastAsia" w:ascii="Times New Roman" w:hAnsi="Times New Roman" w:eastAsia="宋体" w:cs="Times New Roman"/>
                <w:color w:val="auto"/>
                <w:sz w:val="21"/>
                <w:szCs w:val="21"/>
                <w:lang w:eastAsia="zh-CN"/>
              </w:rPr>
              <w:t>；</w:t>
            </w:r>
          </w:p>
          <w:p w14:paraId="61A83A2A">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数据审核</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技术负责人对报告中的数据进行审核</w:t>
            </w:r>
            <w:r>
              <w:rPr>
                <w:rFonts w:hint="eastAsia" w:ascii="Times New Roman" w:hAnsi="Times New Roman" w:eastAsia="宋体" w:cs="Times New Roman"/>
                <w:color w:val="auto"/>
                <w:sz w:val="21"/>
                <w:szCs w:val="21"/>
                <w:lang w:eastAsia="zh-CN"/>
              </w:rPr>
              <w:t>；</w:t>
            </w:r>
          </w:p>
          <w:p w14:paraId="3A97FD64">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出具报告</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出具报告给客户。</w:t>
            </w:r>
          </w:p>
          <w:p w14:paraId="444B570A">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有机实验过程中会产生实验废液及器皿第一、二道清洗废液。属于危险废物，暂存于危险废物暂存间定期委托资质单位清运处置。其余清洗废水经废水中和处理</w:t>
            </w:r>
            <w:r>
              <w:rPr>
                <w:rFonts w:hint="eastAsia" w:cs="Times New Roman"/>
                <w:color w:val="auto"/>
                <w:sz w:val="21"/>
                <w:szCs w:val="21"/>
                <w:lang w:val="en-US" w:eastAsia="zh-CN"/>
              </w:rPr>
              <w:t>池</w:t>
            </w:r>
            <w:r>
              <w:rPr>
                <w:rFonts w:hint="default" w:ascii="Times New Roman" w:hAnsi="Times New Roman" w:eastAsia="宋体" w:cs="Times New Roman"/>
                <w:color w:val="auto"/>
                <w:sz w:val="21"/>
                <w:szCs w:val="21"/>
                <w:lang w:val="en-US" w:eastAsia="zh-CN"/>
              </w:rPr>
              <w:t>处理后排入市政污水管网，最终进入</w:t>
            </w:r>
            <w:r>
              <w:rPr>
                <w:rFonts w:hint="eastAsia" w:cs="Times New Roman"/>
                <w:color w:val="auto"/>
                <w:sz w:val="21"/>
                <w:szCs w:val="21"/>
                <w:lang w:val="en-US" w:eastAsia="zh-CN"/>
              </w:rPr>
              <w:t>昆明市第十四水质净化厂</w:t>
            </w:r>
            <w:r>
              <w:rPr>
                <w:rFonts w:hint="default" w:ascii="Times New Roman" w:hAnsi="Times New Roman" w:eastAsia="宋体" w:cs="Times New Roman"/>
                <w:color w:val="auto"/>
                <w:sz w:val="21"/>
                <w:szCs w:val="21"/>
                <w:lang w:val="en-US" w:eastAsia="zh-CN"/>
              </w:rPr>
              <w:t>处理。</w:t>
            </w:r>
          </w:p>
          <w:p w14:paraId="6B49B172">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422" w:firstLineChars="200"/>
              <w:textAlignment w:val="auto"/>
              <w:outlineLvl w:val="9"/>
              <w:rPr>
                <w:rFonts w:hint="eastAsia"/>
                <w:b/>
                <w:bCs/>
                <w:color w:val="auto"/>
                <w:lang w:val="en-US" w:eastAsia="zh-CN"/>
              </w:rPr>
            </w:pPr>
            <w:r>
              <w:rPr>
                <w:rFonts w:hint="eastAsia"/>
                <w:b/>
                <w:bCs/>
                <w:color w:val="auto"/>
                <w:lang w:val="en-US" w:eastAsia="zh-CN"/>
              </w:rPr>
              <w:t>无机实验流程</w:t>
            </w:r>
          </w:p>
          <w:p w14:paraId="35D20C97">
            <w:pPr>
              <w:numPr>
                <w:ilvl w:val="0"/>
                <w:numId w:val="0"/>
              </w:numPr>
              <w:bidi w:val="0"/>
              <w:outlineLvl w:val="9"/>
              <w:rPr>
                <w:rFonts w:hint="eastAsia"/>
                <w:color w:val="auto"/>
                <w:lang w:val="en-US" w:eastAsia="zh-CN"/>
              </w:rPr>
            </w:pPr>
            <w:r>
              <w:rPr>
                <w:rFonts w:hint="eastAsia"/>
                <w:color w:val="auto"/>
                <w:lang w:val="en-US" w:eastAsia="zh-CN"/>
              </w:rPr>
              <w:object>
                <v:shape id="_x0000_i1027" o:spt="75" type="#_x0000_t75" style="height:226.85pt;width:410.9pt;" o:ole="t" filled="f" o:preferrelative="t" stroked="f" coordsize="21600,21600">
                  <v:path/>
                  <v:fill on="f" focussize="0,0"/>
                  <v:stroke on="f"/>
                  <v:imagedata r:id="rId21" o:title=""/>
                  <o:lock v:ext="edit" aspectratio="f"/>
                  <w10:wrap type="none"/>
                  <w10:anchorlock/>
                </v:shape>
                <o:OLEObject Type="Embed" ProgID="Visio.Drawing.15" ShapeID="_x0000_i1027" DrawAspect="Content" ObjectID="_1468075727" r:id="rId20">
                  <o:LockedField>false</o:LockedField>
                </o:OLEObject>
              </w:object>
            </w:r>
          </w:p>
          <w:p w14:paraId="05114BA8">
            <w:pPr>
              <w:bidi w:val="0"/>
              <w:jc w:val="center"/>
              <w:outlineLvl w:val="9"/>
              <w:rPr>
                <w:rFonts w:hint="default" w:eastAsia="宋体"/>
                <w:b/>
                <w:bCs/>
                <w:color w:val="auto"/>
                <w:sz w:val="18"/>
                <w:szCs w:val="18"/>
                <w:lang w:val="en-US" w:eastAsia="zh-CN"/>
              </w:rPr>
            </w:pPr>
            <w:r>
              <w:rPr>
                <w:rFonts w:hint="eastAsia"/>
                <w:b/>
                <w:bCs/>
                <w:color w:val="auto"/>
                <w:sz w:val="18"/>
                <w:szCs w:val="18"/>
                <w:lang w:val="en-US" w:eastAsia="zh-CN"/>
              </w:rPr>
              <w:t>图2-4  项目运营期无机实验工艺流程及产污节点图</w:t>
            </w:r>
          </w:p>
          <w:p w14:paraId="2BB7B6F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eastAsia" w:eastAsia="宋体"/>
                <w:b/>
                <w:bCs/>
                <w:color w:val="auto"/>
                <w:lang w:val="en-US" w:eastAsia="zh-CN"/>
              </w:rPr>
            </w:pPr>
            <w:r>
              <w:rPr>
                <w:rFonts w:hint="eastAsia"/>
                <w:b/>
                <w:bCs/>
                <w:color w:val="auto"/>
                <w:lang w:val="en-US" w:eastAsia="zh-CN"/>
              </w:rPr>
              <w:t>主要工艺流程简介：</w:t>
            </w:r>
          </w:p>
          <w:p w14:paraId="3BB25941">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接受委托</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建设单位接受客户委托</w:t>
            </w:r>
            <w:r>
              <w:rPr>
                <w:rFonts w:hint="eastAsia" w:ascii="Times New Roman" w:hAnsi="Times New Roman" w:eastAsia="宋体" w:cs="Times New Roman"/>
                <w:color w:val="auto"/>
                <w:sz w:val="21"/>
                <w:szCs w:val="21"/>
                <w:lang w:eastAsia="zh-CN"/>
              </w:rPr>
              <w:t>；</w:t>
            </w:r>
          </w:p>
          <w:p w14:paraId="2EA285C3">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拟定方案</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建设单位相关负责人根据客户要求拟定方案</w:t>
            </w:r>
            <w:r>
              <w:rPr>
                <w:rFonts w:hint="eastAsia" w:ascii="Times New Roman" w:hAnsi="Times New Roman" w:eastAsia="宋体" w:cs="Times New Roman"/>
                <w:color w:val="auto"/>
                <w:sz w:val="21"/>
                <w:szCs w:val="21"/>
                <w:lang w:eastAsia="zh-CN"/>
              </w:rPr>
              <w:t>；</w:t>
            </w:r>
          </w:p>
          <w:p w14:paraId="591268D5">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现场采样及检测</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根据监测方案，进行现场采样，需现场进行检测的指标在现场进行检测</w:t>
            </w:r>
            <w:r>
              <w:rPr>
                <w:rFonts w:hint="eastAsia" w:ascii="Times New Roman" w:hAnsi="Times New Roman" w:eastAsia="宋体" w:cs="Times New Roman"/>
                <w:color w:val="auto"/>
                <w:sz w:val="21"/>
                <w:szCs w:val="21"/>
                <w:lang w:eastAsia="zh-CN"/>
              </w:rPr>
              <w:t>；</w:t>
            </w:r>
          </w:p>
          <w:p w14:paraId="6140B7F8">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取</w:t>
            </w:r>
            <w:r>
              <w:rPr>
                <w:rFonts w:hint="default" w:ascii="Times New Roman" w:hAnsi="Times New Roman" w:eastAsia="宋体" w:cs="Times New Roman"/>
                <w:color w:val="auto"/>
                <w:sz w:val="21"/>
                <w:szCs w:val="21"/>
              </w:rPr>
              <w:t>样</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在天平室操作，使用天平按照实验量取被测样品</w:t>
            </w:r>
            <w:r>
              <w:rPr>
                <w:rFonts w:hint="eastAsia" w:cs="Times New Roman"/>
                <w:color w:val="auto"/>
                <w:sz w:val="21"/>
                <w:szCs w:val="21"/>
                <w:lang w:eastAsia="zh-CN"/>
              </w:rPr>
              <w:t>；</w:t>
            </w:r>
          </w:p>
          <w:p w14:paraId="64EC04F9">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cs="Times New Roman"/>
                <w:color w:val="auto"/>
                <w:sz w:val="21"/>
                <w:szCs w:val="21"/>
                <w:lang w:eastAsia="zh-CN"/>
              </w:rPr>
            </w:pPr>
            <w:r>
              <w:rPr>
                <w:rFonts w:hint="default" w:ascii="Times New Roman" w:hAnsi="Times New Roman" w:eastAsia="宋体" w:cs="Times New Roman"/>
                <w:color w:val="auto"/>
                <w:sz w:val="21"/>
                <w:szCs w:val="21"/>
              </w:rPr>
              <w:t>消解</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在无机前处理室通风橱内操作，在进行样品中的无机元素的测定时，需要对样品进行消解处理。消解处理的作用是破坏有机物、溶解颗粒物，并将各种价态的待测元素氧化成单一高价态或转换成易于分解的无机化合物。在此过程中由于加入盐酸、硝酸或硫酸等物质，在此过程中会有少量的酸性气体产生，由通风橱收集后</w:t>
            </w:r>
            <w:r>
              <w:rPr>
                <w:rFonts w:hint="eastAsia" w:cs="Times New Roman"/>
                <w:color w:val="auto"/>
                <w:sz w:val="21"/>
                <w:szCs w:val="21"/>
                <w:lang w:val="en-US" w:eastAsia="zh-CN"/>
              </w:rPr>
              <w:t>经</w:t>
            </w:r>
            <w:r>
              <w:rPr>
                <w:rFonts w:hint="default" w:ascii="Times New Roman" w:hAnsi="Times New Roman" w:eastAsia="宋体" w:cs="Times New Roman"/>
                <w:color w:val="auto"/>
                <w:sz w:val="21"/>
                <w:szCs w:val="21"/>
              </w:rPr>
              <w:t>碱液喷淋塔处理后由DA00</w:t>
            </w:r>
            <w:r>
              <w:rPr>
                <w:rFonts w:hint="eastAsia" w:cs="Times New Roman"/>
                <w:color w:val="auto"/>
                <w:sz w:val="21"/>
                <w:szCs w:val="21"/>
                <w:lang w:val="en-US" w:eastAsia="zh-CN"/>
              </w:rPr>
              <w:t>1</w:t>
            </w:r>
            <w:r>
              <w:rPr>
                <w:rFonts w:hint="eastAsia" w:cs="Times New Roman"/>
                <w:color w:val="auto"/>
                <w:sz w:val="21"/>
                <w:szCs w:val="21"/>
                <w:lang w:eastAsia="zh-CN"/>
              </w:rPr>
              <w:t>排气筒</w:t>
            </w:r>
            <w:r>
              <w:rPr>
                <w:rFonts w:hint="default" w:ascii="Times New Roman" w:hAnsi="Times New Roman" w:eastAsia="宋体" w:cs="Times New Roman"/>
                <w:color w:val="auto"/>
                <w:sz w:val="21"/>
                <w:szCs w:val="21"/>
              </w:rPr>
              <w:t>排放</w:t>
            </w:r>
            <w:r>
              <w:rPr>
                <w:rFonts w:hint="eastAsia" w:cs="Times New Roman"/>
                <w:color w:val="auto"/>
                <w:sz w:val="21"/>
                <w:szCs w:val="21"/>
                <w:lang w:eastAsia="zh-CN"/>
              </w:rPr>
              <w:t>；</w:t>
            </w:r>
          </w:p>
          <w:p w14:paraId="0A5A2456">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上机检测</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主要在无机仪器室操作，将消解后的样品进行上机检测，得到数据检测过程中有少量酸性气体挥发，由仪器上方的集气罩收集经碱液喷淋装置处理后经 DA00</w:t>
            </w:r>
            <w:r>
              <w:rPr>
                <w:rFonts w:hint="eastAsia" w:cs="Times New Roman"/>
                <w:color w:val="auto"/>
                <w:sz w:val="21"/>
                <w:szCs w:val="21"/>
                <w:lang w:val="en-US" w:eastAsia="zh-CN"/>
              </w:rPr>
              <w:t>1</w:t>
            </w:r>
            <w:r>
              <w:rPr>
                <w:rFonts w:hint="eastAsia" w:cs="Times New Roman"/>
                <w:color w:val="auto"/>
                <w:sz w:val="21"/>
                <w:szCs w:val="21"/>
                <w:lang w:eastAsia="zh-CN"/>
              </w:rPr>
              <w:t>排气筒</w:t>
            </w:r>
            <w:r>
              <w:rPr>
                <w:rFonts w:hint="default" w:ascii="Times New Roman" w:hAnsi="Times New Roman" w:eastAsia="宋体" w:cs="Times New Roman"/>
                <w:color w:val="auto"/>
                <w:sz w:val="21"/>
                <w:szCs w:val="21"/>
              </w:rPr>
              <w:t>排放</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检测完毕后废液集中收集后暂存于危险废物暂存间，委托资质单位清运处置</w:t>
            </w:r>
            <w:r>
              <w:rPr>
                <w:rFonts w:hint="eastAsia" w:cs="Times New Roman"/>
                <w:color w:val="auto"/>
                <w:sz w:val="21"/>
                <w:szCs w:val="21"/>
                <w:lang w:eastAsia="zh-CN"/>
              </w:rPr>
              <w:t>；</w:t>
            </w:r>
          </w:p>
          <w:p w14:paraId="7DBC52BE">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计算</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在上机检测所对应的实验室内进行，对检测得到的数据进行计算</w:t>
            </w:r>
            <w:r>
              <w:rPr>
                <w:rFonts w:hint="eastAsia" w:ascii="Times New Roman" w:hAnsi="Times New Roman" w:eastAsia="宋体" w:cs="Times New Roman"/>
                <w:color w:val="auto"/>
                <w:sz w:val="21"/>
                <w:szCs w:val="21"/>
                <w:lang w:eastAsia="zh-CN"/>
              </w:rPr>
              <w:t>；</w:t>
            </w:r>
          </w:p>
          <w:p w14:paraId="21E4059B">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编制报告</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将实验结果编制成检测报告</w:t>
            </w:r>
            <w:r>
              <w:rPr>
                <w:rFonts w:hint="eastAsia" w:ascii="Times New Roman" w:hAnsi="Times New Roman" w:eastAsia="宋体" w:cs="Times New Roman"/>
                <w:color w:val="auto"/>
                <w:sz w:val="21"/>
                <w:szCs w:val="21"/>
                <w:lang w:eastAsia="zh-CN"/>
              </w:rPr>
              <w:t>；</w:t>
            </w:r>
          </w:p>
          <w:p w14:paraId="2F6F9AC1">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数据审核</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技术负责人对报告中的数据进行审核</w:t>
            </w:r>
            <w:r>
              <w:rPr>
                <w:rFonts w:hint="eastAsia" w:ascii="Times New Roman" w:hAnsi="Times New Roman" w:eastAsia="宋体" w:cs="Times New Roman"/>
                <w:color w:val="auto"/>
                <w:sz w:val="21"/>
                <w:szCs w:val="21"/>
                <w:lang w:eastAsia="zh-CN"/>
              </w:rPr>
              <w:t>；</w:t>
            </w:r>
          </w:p>
          <w:p w14:paraId="5373FEC0">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出具报告</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出具报告给客户。</w:t>
            </w:r>
          </w:p>
          <w:p w14:paraId="7203A429">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无机实验过程中会产生实验废液(酸碱废液)及器皿第一、二道清洗废液。属于危险废物，暂存于危险废物暂存间定期委托资质单位清运处置。</w:t>
            </w:r>
            <w:r>
              <w:rPr>
                <w:rFonts w:hint="default" w:ascii="Times New Roman" w:hAnsi="Times New Roman" w:eastAsia="宋体" w:cs="Times New Roman"/>
                <w:color w:val="auto"/>
                <w:sz w:val="21"/>
                <w:szCs w:val="21"/>
                <w:lang w:val="en-US" w:eastAsia="zh-CN"/>
              </w:rPr>
              <w:t>其余清洗废水经废水中和处理</w:t>
            </w:r>
            <w:r>
              <w:rPr>
                <w:rFonts w:hint="eastAsia" w:cs="Times New Roman"/>
                <w:color w:val="auto"/>
                <w:sz w:val="21"/>
                <w:szCs w:val="21"/>
                <w:lang w:val="en-US" w:eastAsia="zh-CN"/>
              </w:rPr>
              <w:t>池</w:t>
            </w:r>
            <w:r>
              <w:rPr>
                <w:rFonts w:hint="default" w:ascii="Times New Roman" w:hAnsi="Times New Roman" w:eastAsia="宋体" w:cs="Times New Roman"/>
                <w:color w:val="auto"/>
                <w:sz w:val="21"/>
                <w:szCs w:val="21"/>
                <w:lang w:val="en-US" w:eastAsia="zh-CN"/>
              </w:rPr>
              <w:t>处理后排入市政污水管网，最终进入</w:t>
            </w:r>
            <w:r>
              <w:rPr>
                <w:rFonts w:hint="eastAsia" w:cs="Times New Roman"/>
                <w:color w:val="auto"/>
                <w:sz w:val="21"/>
                <w:szCs w:val="21"/>
                <w:lang w:val="en-US" w:eastAsia="zh-CN"/>
              </w:rPr>
              <w:t>昆明市第十四水质净化厂</w:t>
            </w:r>
            <w:r>
              <w:rPr>
                <w:rFonts w:hint="default" w:ascii="Times New Roman" w:hAnsi="Times New Roman" w:eastAsia="宋体" w:cs="Times New Roman"/>
                <w:color w:val="auto"/>
                <w:sz w:val="21"/>
                <w:szCs w:val="21"/>
                <w:lang w:val="en-US" w:eastAsia="zh-CN"/>
              </w:rPr>
              <w:t>处理。</w:t>
            </w:r>
          </w:p>
          <w:p w14:paraId="0B1CA22F">
            <w:pPr>
              <w:bidi w:val="0"/>
              <w:spacing w:line="360" w:lineRule="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3、产排污环节</w:t>
            </w:r>
          </w:p>
          <w:p w14:paraId="3FCB119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项目主要产排污环节见表2-</w:t>
            </w:r>
            <w:r>
              <w:rPr>
                <w:rFonts w:hint="default" w:ascii="Times New Roman" w:hAnsi="Times New Roman" w:eastAsia="宋体" w:cs="Times New Roman"/>
                <w:bCs/>
                <w:color w:val="auto"/>
                <w:sz w:val="21"/>
                <w:szCs w:val="21"/>
                <w:lang w:val="en-US" w:eastAsia="zh-CN"/>
              </w:rPr>
              <w:t>5</w:t>
            </w:r>
            <w:r>
              <w:rPr>
                <w:rFonts w:hint="default" w:ascii="Times New Roman" w:hAnsi="Times New Roman" w:eastAsia="宋体" w:cs="Times New Roman"/>
                <w:bCs/>
                <w:color w:val="auto"/>
                <w:sz w:val="21"/>
                <w:szCs w:val="21"/>
              </w:rPr>
              <w:t>所示。</w:t>
            </w:r>
          </w:p>
          <w:p w14:paraId="2F622D3A">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表</w:t>
            </w:r>
            <w:r>
              <w:rPr>
                <w:rFonts w:hint="eastAsia" w:ascii="Times New Roman" w:hAnsi="Times New Roman" w:eastAsia="宋体" w:cs="Times New Roman"/>
                <w:b/>
                <w:color w:val="auto"/>
                <w:sz w:val="18"/>
                <w:szCs w:val="18"/>
                <w:lang w:val="en-US" w:eastAsia="zh-CN"/>
              </w:rPr>
              <w:t xml:space="preserve">2-5  </w:t>
            </w:r>
            <w:r>
              <w:rPr>
                <w:rFonts w:hint="default" w:ascii="Times New Roman" w:hAnsi="Times New Roman" w:eastAsia="宋体" w:cs="Times New Roman"/>
                <w:b/>
                <w:color w:val="auto"/>
                <w:sz w:val="18"/>
                <w:szCs w:val="18"/>
              </w:rPr>
              <w:t>主要产污环节一览表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881"/>
              <w:gridCol w:w="1180"/>
              <w:gridCol w:w="2238"/>
              <w:gridCol w:w="1150"/>
              <w:gridCol w:w="1931"/>
            </w:tblGrid>
            <w:tr w14:paraId="19BE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noWrap w:val="0"/>
                  <w:vAlign w:val="center"/>
                </w:tcPr>
                <w:p w14:paraId="0B3BF940">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污染类别</w:t>
                  </w:r>
                </w:p>
              </w:tc>
              <w:tc>
                <w:tcPr>
                  <w:tcW w:w="1255" w:type="pct"/>
                  <w:gridSpan w:val="2"/>
                  <w:noWrap w:val="0"/>
                  <w:vAlign w:val="center"/>
                </w:tcPr>
                <w:p w14:paraId="6EE40EB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产污环节</w:t>
                  </w:r>
                </w:p>
              </w:tc>
              <w:tc>
                <w:tcPr>
                  <w:tcW w:w="1363" w:type="pct"/>
                  <w:noWrap w:val="0"/>
                  <w:vAlign w:val="center"/>
                </w:tcPr>
                <w:p w14:paraId="7B4D8A09">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污染物名称</w:t>
                  </w:r>
                </w:p>
              </w:tc>
              <w:tc>
                <w:tcPr>
                  <w:tcW w:w="700" w:type="pct"/>
                  <w:noWrap w:val="0"/>
                  <w:vAlign w:val="center"/>
                </w:tcPr>
                <w:p w14:paraId="09EEB61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性质</w:t>
                  </w:r>
                </w:p>
              </w:tc>
              <w:tc>
                <w:tcPr>
                  <w:tcW w:w="1176" w:type="pct"/>
                  <w:noWrap w:val="0"/>
                  <w:vAlign w:val="center"/>
                </w:tcPr>
                <w:p w14:paraId="74564C4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主要污染因子</w:t>
                  </w:r>
                </w:p>
              </w:tc>
            </w:tr>
            <w:tr w14:paraId="09428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restart"/>
                  <w:noWrap w:val="0"/>
                  <w:vAlign w:val="center"/>
                </w:tcPr>
                <w:p w14:paraId="4F19D003">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废气</w:t>
                  </w:r>
                </w:p>
              </w:tc>
              <w:tc>
                <w:tcPr>
                  <w:tcW w:w="536" w:type="pct"/>
                  <w:vMerge w:val="restart"/>
                  <w:noWrap w:val="0"/>
                  <w:vAlign w:val="center"/>
                </w:tcPr>
                <w:p w14:paraId="20C81F14">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施工期</w:t>
                  </w:r>
                </w:p>
              </w:tc>
              <w:tc>
                <w:tcPr>
                  <w:tcW w:w="718" w:type="pct"/>
                  <w:noWrap w:val="0"/>
                  <w:vAlign w:val="center"/>
                </w:tcPr>
                <w:p w14:paraId="58302365">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施工场地</w:t>
                  </w:r>
                </w:p>
              </w:tc>
              <w:tc>
                <w:tcPr>
                  <w:tcW w:w="1363" w:type="pct"/>
                  <w:noWrap w:val="0"/>
                  <w:vAlign w:val="center"/>
                </w:tcPr>
                <w:p w14:paraId="4E50E52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粉尘</w:t>
                  </w:r>
                </w:p>
              </w:tc>
              <w:tc>
                <w:tcPr>
                  <w:tcW w:w="700" w:type="pct"/>
                  <w:vMerge w:val="restart"/>
                  <w:noWrap w:val="0"/>
                  <w:vAlign w:val="center"/>
                </w:tcPr>
                <w:p w14:paraId="63C0B27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无组织</w:t>
                  </w:r>
                </w:p>
              </w:tc>
              <w:tc>
                <w:tcPr>
                  <w:tcW w:w="1176" w:type="pct"/>
                  <w:noWrap w:val="0"/>
                  <w:vAlign w:val="center"/>
                </w:tcPr>
                <w:p w14:paraId="77FCE3F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颗粒物</w:t>
                  </w:r>
                </w:p>
              </w:tc>
            </w:tr>
            <w:tr w14:paraId="1581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1CBDCD78">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536" w:type="pct"/>
                  <w:vMerge w:val="continue"/>
                  <w:noWrap w:val="0"/>
                  <w:vAlign w:val="center"/>
                </w:tcPr>
                <w:p w14:paraId="13E98FCF">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noWrap w:val="0"/>
                  <w:vAlign w:val="center"/>
                </w:tcPr>
                <w:p w14:paraId="6EA220A6">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施工机械</w:t>
                  </w:r>
                </w:p>
              </w:tc>
              <w:tc>
                <w:tcPr>
                  <w:tcW w:w="1363" w:type="pct"/>
                  <w:noWrap w:val="0"/>
                  <w:vAlign w:val="center"/>
                </w:tcPr>
                <w:p w14:paraId="5DFD277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燃油尾气</w:t>
                  </w:r>
                </w:p>
              </w:tc>
              <w:tc>
                <w:tcPr>
                  <w:tcW w:w="700" w:type="pct"/>
                  <w:vMerge w:val="continue"/>
                  <w:noWrap w:val="0"/>
                  <w:vAlign w:val="center"/>
                </w:tcPr>
                <w:p w14:paraId="1A2309B1">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176" w:type="pct"/>
                  <w:noWrap w:val="0"/>
                  <w:vAlign w:val="center"/>
                </w:tcPr>
                <w:p w14:paraId="07510C6B">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总烃、CO、NOx</w:t>
                  </w:r>
                </w:p>
              </w:tc>
            </w:tr>
            <w:tr w14:paraId="49863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504" w:type="pct"/>
                  <w:vMerge w:val="continue"/>
                  <w:noWrap w:val="0"/>
                  <w:vAlign w:val="center"/>
                </w:tcPr>
                <w:p w14:paraId="33CA9BD2">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536" w:type="pct"/>
                  <w:noWrap w:val="0"/>
                  <w:vAlign w:val="center"/>
                </w:tcPr>
                <w:p w14:paraId="03ABDFA3">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运营期</w:t>
                  </w:r>
                </w:p>
              </w:tc>
              <w:tc>
                <w:tcPr>
                  <w:tcW w:w="718" w:type="pct"/>
                  <w:noWrap w:val="0"/>
                  <w:vAlign w:val="center"/>
                </w:tcPr>
                <w:p w14:paraId="4CF93EA4">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预</w:t>
                  </w:r>
                  <w:r>
                    <w:rPr>
                      <w:rFonts w:hint="default" w:ascii="Times New Roman" w:hAnsi="Times New Roman" w:eastAsia="宋体" w:cs="Times New Roman"/>
                      <w:color w:val="auto"/>
                      <w:sz w:val="18"/>
                      <w:szCs w:val="18"/>
                    </w:rPr>
                    <w:t>处理、实验分析</w:t>
                  </w:r>
                </w:p>
              </w:tc>
              <w:tc>
                <w:tcPr>
                  <w:tcW w:w="1363" w:type="pct"/>
                  <w:noWrap w:val="0"/>
                  <w:vAlign w:val="center"/>
                </w:tcPr>
                <w:p w14:paraId="2F9BF3E0">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有机气态污染物、无机气态污染物</w:t>
                  </w:r>
                </w:p>
              </w:tc>
              <w:tc>
                <w:tcPr>
                  <w:tcW w:w="700" w:type="pct"/>
                  <w:noWrap w:val="0"/>
                  <w:vAlign w:val="center"/>
                </w:tcPr>
                <w:p w14:paraId="2AACB12B">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有组织、无组织</w:t>
                  </w:r>
                </w:p>
              </w:tc>
              <w:tc>
                <w:tcPr>
                  <w:tcW w:w="1176" w:type="pct"/>
                  <w:noWrap w:val="0"/>
                  <w:vAlign w:val="center"/>
                </w:tcPr>
                <w:p w14:paraId="24CFECD9">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有机气态污染物（以非甲烷总烃计）、无机气态污染物（硫酸雾、硝酸雾（以NOx计）、盐酸雾）。</w:t>
                  </w:r>
                </w:p>
              </w:tc>
            </w:tr>
            <w:tr w14:paraId="7018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restart"/>
                  <w:noWrap w:val="0"/>
                  <w:vAlign w:val="center"/>
                </w:tcPr>
                <w:p w14:paraId="3638109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废水</w:t>
                  </w:r>
                </w:p>
              </w:tc>
              <w:tc>
                <w:tcPr>
                  <w:tcW w:w="536" w:type="pct"/>
                  <w:vMerge w:val="restart"/>
                  <w:noWrap w:val="0"/>
                  <w:vAlign w:val="center"/>
                </w:tcPr>
                <w:p w14:paraId="1F4CF650">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施工期</w:t>
                  </w:r>
                </w:p>
              </w:tc>
              <w:tc>
                <w:tcPr>
                  <w:tcW w:w="718" w:type="pct"/>
                  <w:vMerge w:val="restart"/>
                  <w:noWrap w:val="0"/>
                  <w:vAlign w:val="center"/>
                </w:tcPr>
                <w:p w14:paraId="15A3D056">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废水</w:t>
                  </w:r>
                </w:p>
              </w:tc>
              <w:tc>
                <w:tcPr>
                  <w:tcW w:w="1363" w:type="pct"/>
                  <w:noWrap w:val="0"/>
                  <w:vAlign w:val="center"/>
                </w:tcPr>
                <w:p w14:paraId="02632C42">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施工废水</w:t>
                  </w:r>
                </w:p>
              </w:tc>
              <w:tc>
                <w:tcPr>
                  <w:tcW w:w="700" w:type="pct"/>
                  <w:noWrap w:val="0"/>
                  <w:vAlign w:val="center"/>
                </w:tcPr>
                <w:p w14:paraId="25B037CA">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短期</w:t>
                  </w:r>
                </w:p>
              </w:tc>
              <w:tc>
                <w:tcPr>
                  <w:tcW w:w="1176" w:type="pct"/>
                  <w:noWrap w:val="0"/>
                  <w:vAlign w:val="center"/>
                </w:tcPr>
                <w:p w14:paraId="0707398E">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SS等</w:t>
                  </w:r>
                </w:p>
              </w:tc>
            </w:tr>
            <w:tr w14:paraId="5C3E3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15BE06AF">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536" w:type="pct"/>
                  <w:vMerge w:val="continue"/>
                  <w:noWrap w:val="0"/>
                  <w:vAlign w:val="center"/>
                </w:tcPr>
                <w:p w14:paraId="770E847A">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7123ACA6">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401E3BDE">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施工人员生活污水</w:t>
                  </w:r>
                </w:p>
              </w:tc>
              <w:tc>
                <w:tcPr>
                  <w:tcW w:w="700" w:type="pct"/>
                  <w:noWrap w:val="0"/>
                  <w:vAlign w:val="center"/>
                </w:tcPr>
                <w:p w14:paraId="21948863">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短期</w:t>
                  </w:r>
                </w:p>
              </w:tc>
              <w:tc>
                <w:tcPr>
                  <w:tcW w:w="1176" w:type="pct"/>
                  <w:noWrap w:val="0"/>
                  <w:vAlign w:val="center"/>
                </w:tcPr>
                <w:p w14:paraId="7510B868">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COD、</w:t>
                  </w:r>
                  <w:r>
                    <w:rPr>
                      <w:rFonts w:hint="default" w:ascii="Times New Roman" w:hAnsi="Times New Roman" w:eastAsia="宋体" w:cs="Times New Roman"/>
                      <w:bCs/>
                      <w:color w:val="auto"/>
                      <w:sz w:val="18"/>
                      <w:szCs w:val="18"/>
                    </w:rPr>
                    <w:t>BOD</w:t>
                  </w:r>
                  <w:r>
                    <w:rPr>
                      <w:rFonts w:hint="default" w:ascii="Times New Roman" w:hAnsi="Times New Roman" w:eastAsia="宋体" w:cs="Times New Roman"/>
                      <w:bCs/>
                      <w:color w:val="auto"/>
                      <w:sz w:val="18"/>
                      <w:szCs w:val="18"/>
                      <w:vertAlign w:val="subscript"/>
                    </w:rPr>
                    <w:t>5</w:t>
                  </w:r>
                  <w:r>
                    <w:rPr>
                      <w:rFonts w:hint="default" w:ascii="Times New Roman" w:hAnsi="Times New Roman" w:eastAsia="宋体" w:cs="Times New Roman"/>
                      <w:bCs/>
                      <w:color w:val="auto"/>
                      <w:sz w:val="18"/>
                      <w:szCs w:val="18"/>
                    </w:rPr>
                    <w:t>、</w:t>
                  </w:r>
                  <w:r>
                    <w:rPr>
                      <w:rFonts w:hint="default" w:ascii="Times New Roman" w:hAnsi="Times New Roman" w:eastAsia="宋体" w:cs="Times New Roman"/>
                      <w:color w:val="auto"/>
                      <w:sz w:val="18"/>
                      <w:szCs w:val="18"/>
                    </w:rPr>
                    <w:t>SS、</w:t>
                  </w:r>
                  <w:r>
                    <w:rPr>
                      <w:rFonts w:hint="default" w:ascii="Times New Roman" w:hAnsi="Times New Roman" w:eastAsia="宋体" w:cs="Times New Roman"/>
                      <w:bCs/>
                      <w:color w:val="auto"/>
                      <w:sz w:val="18"/>
                      <w:szCs w:val="18"/>
                    </w:rPr>
                    <w:t>氨氮、总磷</w:t>
                  </w:r>
                  <w:r>
                    <w:rPr>
                      <w:rFonts w:hint="default" w:ascii="Times New Roman" w:hAnsi="Times New Roman" w:eastAsia="宋体" w:cs="Times New Roman"/>
                      <w:color w:val="auto"/>
                      <w:sz w:val="18"/>
                      <w:szCs w:val="18"/>
                    </w:rPr>
                    <w:t>等</w:t>
                  </w:r>
                </w:p>
              </w:tc>
            </w:tr>
            <w:tr w14:paraId="5B470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04" w:type="pct"/>
                  <w:vMerge w:val="continue"/>
                  <w:noWrap w:val="0"/>
                  <w:vAlign w:val="center"/>
                </w:tcPr>
                <w:p w14:paraId="303FB93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536" w:type="pct"/>
                  <w:vMerge w:val="restart"/>
                  <w:noWrap w:val="0"/>
                  <w:vAlign w:val="center"/>
                </w:tcPr>
                <w:p w14:paraId="57A9EBC0">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运营期</w:t>
                  </w:r>
                </w:p>
              </w:tc>
              <w:tc>
                <w:tcPr>
                  <w:tcW w:w="718" w:type="pct"/>
                  <w:noWrap w:val="0"/>
                  <w:vAlign w:val="center"/>
                </w:tcPr>
                <w:p w14:paraId="7663201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办公</w:t>
                  </w:r>
                  <w:r>
                    <w:rPr>
                      <w:rFonts w:hint="eastAsia" w:ascii="Times New Roman" w:hAnsi="Times New Roman" w:eastAsia="宋体" w:cs="Times New Roman"/>
                      <w:color w:val="auto"/>
                      <w:sz w:val="18"/>
                      <w:szCs w:val="18"/>
                      <w:lang w:val="en-US" w:eastAsia="zh-CN"/>
                    </w:rPr>
                    <w:t>生活污水</w:t>
                  </w:r>
                </w:p>
              </w:tc>
              <w:tc>
                <w:tcPr>
                  <w:tcW w:w="1363" w:type="pct"/>
                  <w:noWrap w:val="0"/>
                  <w:vAlign w:val="center"/>
                </w:tcPr>
                <w:p w14:paraId="7CED8AC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办公</w:t>
                  </w:r>
                  <w:r>
                    <w:rPr>
                      <w:rFonts w:hint="eastAsia" w:cs="Times New Roman"/>
                      <w:color w:val="auto"/>
                      <w:sz w:val="18"/>
                      <w:szCs w:val="18"/>
                      <w:lang w:val="en-US" w:eastAsia="zh-CN"/>
                    </w:rPr>
                    <w:t>生活污水</w:t>
                  </w:r>
                  <w:r>
                    <w:rPr>
                      <w:rFonts w:hint="eastAsia" w:cs="Times New Roman"/>
                      <w:color w:val="auto"/>
                      <w:sz w:val="18"/>
                      <w:szCs w:val="18"/>
                      <w:lang w:eastAsia="zh-CN"/>
                    </w:rPr>
                    <w:t>、</w:t>
                  </w:r>
                  <w:r>
                    <w:rPr>
                      <w:rFonts w:hint="default" w:ascii="Times New Roman" w:hAnsi="Times New Roman" w:eastAsia="宋体" w:cs="Times New Roman"/>
                      <w:color w:val="auto"/>
                      <w:sz w:val="18"/>
                      <w:szCs w:val="18"/>
                    </w:rPr>
                    <w:t>办公地面清洁废水</w:t>
                  </w:r>
                </w:p>
              </w:tc>
              <w:tc>
                <w:tcPr>
                  <w:tcW w:w="700" w:type="pct"/>
                  <w:noWrap w:val="0"/>
                  <w:vAlign w:val="center"/>
                </w:tcPr>
                <w:p w14:paraId="1662E259">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间断</w:t>
                  </w:r>
                </w:p>
              </w:tc>
              <w:tc>
                <w:tcPr>
                  <w:tcW w:w="1176" w:type="pct"/>
                  <w:noWrap w:val="0"/>
                  <w:vAlign w:val="center"/>
                </w:tcPr>
                <w:p w14:paraId="5F478A7D">
                  <w:pPr>
                    <w:pStyle w:val="9"/>
                    <w:keepNext w:val="0"/>
                    <w:keepLines w:val="0"/>
                    <w:pageBreakBefore w:val="0"/>
                    <w:tabs>
                      <w:tab w:val="left" w:pos="0"/>
                      <w:tab w:val="left" w:pos="1260"/>
                    </w:tabs>
                    <w:kinsoku/>
                    <w:wordWrap/>
                    <w:overflowPunct/>
                    <w:topLinePunct w:val="0"/>
                    <w:autoSpaceDE/>
                    <w:autoSpaceDN/>
                    <w:bidi w:val="0"/>
                    <w:adjustRightInd w:val="0"/>
                    <w:spacing w:before="0" w:after="0" w:line="360" w:lineRule="exact"/>
                    <w:textAlignment w:val="auto"/>
                    <w:outlineLvl w:val="9"/>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rPr>
                    <w:t>COD、BOD</w:t>
                  </w:r>
                  <w:r>
                    <w:rPr>
                      <w:rFonts w:hint="default" w:ascii="Times New Roman" w:hAnsi="Times New Roman" w:eastAsia="宋体" w:cs="Times New Roman"/>
                      <w:bCs/>
                      <w:color w:val="auto"/>
                      <w:sz w:val="18"/>
                      <w:szCs w:val="18"/>
                      <w:vertAlign w:val="subscript"/>
                    </w:rPr>
                    <w:t>5</w:t>
                  </w:r>
                  <w:r>
                    <w:rPr>
                      <w:rFonts w:hint="default" w:ascii="Times New Roman" w:hAnsi="Times New Roman" w:eastAsia="宋体" w:cs="Times New Roman"/>
                      <w:bCs/>
                      <w:color w:val="auto"/>
                      <w:sz w:val="18"/>
                      <w:szCs w:val="18"/>
                    </w:rPr>
                    <w:t>、SS、氨氮、总磷、</w:t>
                  </w:r>
                  <w:r>
                    <w:rPr>
                      <w:rFonts w:hint="eastAsia" w:ascii="Times New Roman" w:hAnsi="Times New Roman" w:eastAsia="宋体" w:cs="Times New Roman"/>
                      <w:bCs/>
                      <w:color w:val="auto"/>
                      <w:sz w:val="18"/>
                      <w:szCs w:val="18"/>
                      <w:lang w:val="en-US" w:eastAsia="zh-CN"/>
                    </w:rPr>
                    <w:t>总氮</w:t>
                  </w:r>
                </w:p>
              </w:tc>
            </w:tr>
            <w:tr w14:paraId="3B721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6318B928">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536" w:type="pct"/>
                  <w:vMerge w:val="continue"/>
                  <w:noWrap w:val="0"/>
                  <w:vAlign w:val="center"/>
                </w:tcPr>
                <w:p w14:paraId="3F18223C">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noWrap w:val="0"/>
                  <w:vAlign w:val="center"/>
                </w:tcPr>
                <w:p w14:paraId="27B3AA3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实验器皿清洗废水</w:t>
                  </w:r>
                </w:p>
              </w:tc>
              <w:tc>
                <w:tcPr>
                  <w:tcW w:w="1363" w:type="pct"/>
                  <w:noWrap w:val="0"/>
                  <w:vAlign w:val="center"/>
                </w:tcPr>
                <w:p w14:paraId="5B1A9D04">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实验器皿后续清洗废水</w:t>
                  </w:r>
                </w:p>
              </w:tc>
              <w:tc>
                <w:tcPr>
                  <w:tcW w:w="700" w:type="pct"/>
                  <w:noWrap w:val="0"/>
                  <w:vAlign w:val="center"/>
                </w:tcPr>
                <w:p w14:paraId="7643AAA6">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间断</w:t>
                  </w:r>
                </w:p>
              </w:tc>
              <w:tc>
                <w:tcPr>
                  <w:tcW w:w="1176" w:type="pct"/>
                  <w:noWrap w:val="0"/>
                  <w:vAlign w:val="center"/>
                </w:tcPr>
                <w:p w14:paraId="6272B81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eastAsia" w:cs="Times New Roman"/>
                      <w:bCs/>
                      <w:color w:val="auto"/>
                      <w:sz w:val="18"/>
                      <w:szCs w:val="18"/>
                      <w:lang w:val="en-US" w:eastAsia="zh-CN"/>
                    </w:rPr>
                    <w:t>pH、</w:t>
                  </w:r>
                  <w:r>
                    <w:rPr>
                      <w:rFonts w:hint="default" w:ascii="Times New Roman" w:hAnsi="Times New Roman" w:eastAsia="宋体" w:cs="Times New Roman"/>
                      <w:bCs/>
                      <w:color w:val="auto"/>
                      <w:sz w:val="18"/>
                      <w:szCs w:val="18"/>
                    </w:rPr>
                    <w:t>COD、BOD</w:t>
                  </w:r>
                  <w:r>
                    <w:rPr>
                      <w:rFonts w:hint="default" w:ascii="Times New Roman" w:hAnsi="Times New Roman" w:eastAsia="宋体" w:cs="Times New Roman"/>
                      <w:bCs/>
                      <w:color w:val="auto"/>
                      <w:sz w:val="18"/>
                      <w:szCs w:val="18"/>
                      <w:vertAlign w:val="subscript"/>
                    </w:rPr>
                    <w:t>5</w:t>
                  </w:r>
                  <w:r>
                    <w:rPr>
                      <w:rFonts w:hint="default" w:ascii="Times New Roman" w:hAnsi="Times New Roman" w:eastAsia="宋体" w:cs="Times New Roman"/>
                      <w:bCs/>
                      <w:color w:val="auto"/>
                      <w:sz w:val="18"/>
                      <w:szCs w:val="18"/>
                    </w:rPr>
                    <w:t>、SS、氨氮、总磷</w:t>
                  </w:r>
                </w:p>
              </w:tc>
            </w:tr>
            <w:tr w14:paraId="39EA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70A2706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536" w:type="pct"/>
                  <w:vMerge w:val="continue"/>
                  <w:noWrap w:val="0"/>
                  <w:vAlign w:val="center"/>
                </w:tcPr>
                <w:p w14:paraId="3D8226B9">
                  <w:pPr>
                    <w:keepNext w:val="0"/>
                    <w:keepLines w:val="0"/>
                    <w:pageBreakBefore w:val="0"/>
                    <w:widowControl/>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noWrap w:val="0"/>
                  <w:vAlign w:val="center"/>
                </w:tcPr>
                <w:p w14:paraId="44178DAA">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纯水制备</w:t>
                  </w:r>
                </w:p>
              </w:tc>
              <w:tc>
                <w:tcPr>
                  <w:tcW w:w="1363" w:type="pct"/>
                  <w:noWrap w:val="0"/>
                  <w:vAlign w:val="center"/>
                </w:tcPr>
                <w:p w14:paraId="4BF23E0C">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浓排水</w:t>
                  </w:r>
                </w:p>
              </w:tc>
              <w:tc>
                <w:tcPr>
                  <w:tcW w:w="700" w:type="pct"/>
                  <w:noWrap w:val="0"/>
                  <w:vAlign w:val="center"/>
                </w:tcPr>
                <w:p w14:paraId="6CF089CC">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间断</w:t>
                  </w:r>
                </w:p>
              </w:tc>
              <w:tc>
                <w:tcPr>
                  <w:tcW w:w="1176" w:type="pct"/>
                  <w:noWrap w:val="0"/>
                  <w:vAlign w:val="center"/>
                </w:tcPr>
                <w:p w14:paraId="50CC1EAC">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钙、镁盐类</w:t>
                  </w:r>
                </w:p>
              </w:tc>
            </w:tr>
            <w:tr w14:paraId="79F3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restart"/>
                  <w:noWrap w:val="0"/>
                  <w:vAlign w:val="center"/>
                </w:tcPr>
                <w:p w14:paraId="4B022AE5">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噪声</w:t>
                  </w:r>
                </w:p>
              </w:tc>
              <w:tc>
                <w:tcPr>
                  <w:tcW w:w="536" w:type="pct"/>
                  <w:noWrap w:val="0"/>
                  <w:vAlign w:val="center"/>
                </w:tcPr>
                <w:p w14:paraId="2CEC83E9">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施工期</w:t>
                  </w:r>
                </w:p>
              </w:tc>
              <w:tc>
                <w:tcPr>
                  <w:tcW w:w="718" w:type="pct"/>
                  <w:noWrap w:val="0"/>
                  <w:vAlign w:val="center"/>
                </w:tcPr>
                <w:p w14:paraId="0C74EAAC">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施工过程</w:t>
                  </w:r>
                </w:p>
              </w:tc>
              <w:tc>
                <w:tcPr>
                  <w:tcW w:w="1363" w:type="pct"/>
                  <w:noWrap w:val="0"/>
                  <w:vAlign w:val="center"/>
                </w:tcPr>
                <w:p w14:paraId="10F8A92B">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机械噪声</w:t>
                  </w:r>
                </w:p>
              </w:tc>
              <w:tc>
                <w:tcPr>
                  <w:tcW w:w="700" w:type="pct"/>
                  <w:noWrap w:val="0"/>
                  <w:vAlign w:val="center"/>
                </w:tcPr>
                <w:p w14:paraId="2C8EFB7A">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短期</w:t>
                  </w:r>
                </w:p>
              </w:tc>
              <w:tc>
                <w:tcPr>
                  <w:tcW w:w="1176" w:type="pct"/>
                  <w:noWrap w:val="0"/>
                  <w:vAlign w:val="center"/>
                </w:tcPr>
                <w:p w14:paraId="4225643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Leq（A）</w:t>
                  </w:r>
                </w:p>
              </w:tc>
            </w:tr>
            <w:tr w14:paraId="6E56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2B7C8510">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b/>
                      <w:color w:val="auto"/>
                      <w:sz w:val="18"/>
                      <w:szCs w:val="18"/>
                    </w:rPr>
                  </w:pPr>
                </w:p>
              </w:tc>
              <w:tc>
                <w:tcPr>
                  <w:tcW w:w="536" w:type="pct"/>
                  <w:noWrap w:val="0"/>
                  <w:vAlign w:val="center"/>
                </w:tcPr>
                <w:p w14:paraId="0218B493">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运营期</w:t>
                  </w:r>
                </w:p>
              </w:tc>
              <w:tc>
                <w:tcPr>
                  <w:tcW w:w="718" w:type="pct"/>
                  <w:noWrap w:val="0"/>
                  <w:vAlign w:val="center"/>
                </w:tcPr>
                <w:p w14:paraId="3D8B9A1C">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设备</w:t>
                  </w:r>
                </w:p>
              </w:tc>
              <w:tc>
                <w:tcPr>
                  <w:tcW w:w="1363" w:type="pct"/>
                  <w:noWrap w:val="0"/>
                  <w:vAlign w:val="center"/>
                </w:tcPr>
                <w:p w14:paraId="77EBBFFF">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噪声</w:t>
                  </w:r>
                </w:p>
              </w:tc>
              <w:tc>
                <w:tcPr>
                  <w:tcW w:w="700" w:type="pct"/>
                  <w:noWrap w:val="0"/>
                  <w:vAlign w:val="center"/>
                </w:tcPr>
                <w:p w14:paraId="540E8F3F">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间断</w:t>
                  </w:r>
                </w:p>
              </w:tc>
              <w:tc>
                <w:tcPr>
                  <w:tcW w:w="1176" w:type="pct"/>
                  <w:noWrap w:val="0"/>
                  <w:vAlign w:val="center"/>
                </w:tcPr>
                <w:p w14:paraId="1CB38596">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Leq（A）</w:t>
                  </w:r>
                </w:p>
              </w:tc>
            </w:tr>
            <w:tr w14:paraId="2FE3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restart"/>
                  <w:noWrap w:val="0"/>
                  <w:vAlign w:val="center"/>
                </w:tcPr>
                <w:p w14:paraId="3C33FD30">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固体</w:t>
                  </w:r>
                </w:p>
                <w:p w14:paraId="58708B94">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b/>
                      <w:color w:val="auto"/>
                      <w:sz w:val="18"/>
                      <w:szCs w:val="18"/>
                    </w:rPr>
                    <w:t>废物</w:t>
                  </w:r>
                </w:p>
              </w:tc>
              <w:tc>
                <w:tcPr>
                  <w:tcW w:w="536" w:type="pct"/>
                  <w:vMerge w:val="restart"/>
                  <w:noWrap w:val="0"/>
                  <w:vAlign w:val="center"/>
                </w:tcPr>
                <w:p w14:paraId="67177E6B">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施工期</w:t>
                  </w:r>
                </w:p>
              </w:tc>
              <w:tc>
                <w:tcPr>
                  <w:tcW w:w="718" w:type="pct"/>
                  <w:vMerge w:val="restart"/>
                  <w:noWrap w:val="0"/>
                  <w:vAlign w:val="center"/>
                </w:tcPr>
                <w:p w14:paraId="2D9C4559">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一般固体废物</w:t>
                  </w:r>
                </w:p>
              </w:tc>
              <w:tc>
                <w:tcPr>
                  <w:tcW w:w="1363" w:type="pct"/>
                  <w:noWrap w:val="0"/>
                  <w:vAlign w:val="center"/>
                </w:tcPr>
                <w:p w14:paraId="28FB72A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建筑垃圾</w:t>
                  </w:r>
                </w:p>
              </w:tc>
              <w:tc>
                <w:tcPr>
                  <w:tcW w:w="700" w:type="pct"/>
                  <w:noWrap w:val="0"/>
                  <w:vAlign w:val="center"/>
                </w:tcPr>
                <w:p w14:paraId="0B54D5AD">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color w:val="auto"/>
                      <w:sz w:val="18"/>
                      <w:szCs w:val="18"/>
                    </w:rPr>
                    <w:t>一般固废</w:t>
                  </w:r>
                </w:p>
              </w:tc>
              <w:tc>
                <w:tcPr>
                  <w:tcW w:w="1176" w:type="pct"/>
                  <w:noWrap w:val="0"/>
                  <w:vAlign w:val="center"/>
                </w:tcPr>
                <w:p w14:paraId="29C27D33">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2548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0E7E6C84">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2CF70516">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071E7D9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327DC649">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700" w:type="pct"/>
                  <w:noWrap w:val="0"/>
                  <w:vAlign w:val="center"/>
                </w:tcPr>
                <w:p w14:paraId="013A46F9">
                  <w:pPr>
                    <w:keepNext w:val="0"/>
                    <w:keepLines w:val="0"/>
                    <w:pageBreakBefore w:val="0"/>
                    <w:kinsoku/>
                    <w:wordWrap/>
                    <w:overflowPunct/>
                    <w:topLinePunct w:val="0"/>
                    <w:autoSpaceDE/>
                    <w:autoSpaceDN/>
                    <w:bidi w:val="0"/>
                    <w:adjustRightInd w:val="0"/>
                    <w:snapToGrid w:val="0"/>
                    <w:spacing w:line="360" w:lineRule="exact"/>
                    <w:textAlignment w:val="auto"/>
                    <w:outlineLvl w:val="9"/>
                    <w:rPr>
                      <w:rFonts w:hint="default" w:ascii="Times New Roman" w:hAnsi="Times New Roman" w:eastAsia="宋体" w:cs="Times New Roman"/>
                      <w:snapToGrid w:val="0"/>
                      <w:color w:val="auto"/>
                      <w:sz w:val="18"/>
                      <w:szCs w:val="18"/>
                    </w:rPr>
                  </w:pPr>
                  <w:r>
                    <w:rPr>
                      <w:rFonts w:hint="default" w:ascii="Times New Roman" w:hAnsi="Times New Roman" w:eastAsia="宋体" w:cs="Times New Roman"/>
                      <w:color w:val="auto"/>
                      <w:sz w:val="18"/>
                      <w:szCs w:val="18"/>
                    </w:rPr>
                    <w:t>一般固废</w:t>
                  </w:r>
                </w:p>
              </w:tc>
              <w:tc>
                <w:tcPr>
                  <w:tcW w:w="1176" w:type="pct"/>
                  <w:noWrap w:val="0"/>
                  <w:vAlign w:val="center"/>
                </w:tcPr>
                <w:p w14:paraId="5108FAC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6A0C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2EEFF742">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restart"/>
                  <w:noWrap w:val="0"/>
                  <w:vAlign w:val="center"/>
                </w:tcPr>
                <w:p w14:paraId="510831BE">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运营期</w:t>
                  </w:r>
                </w:p>
              </w:tc>
              <w:tc>
                <w:tcPr>
                  <w:tcW w:w="718" w:type="pct"/>
                  <w:vMerge w:val="restart"/>
                  <w:noWrap w:val="0"/>
                  <w:vAlign w:val="center"/>
                </w:tcPr>
                <w:p w14:paraId="562D2E27">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一般固体废物</w:t>
                  </w:r>
                </w:p>
              </w:tc>
              <w:tc>
                <w:tcPr>
                  <w:tcW w:w="1363" w:type="pct"/>
                  <w:noWrap w:val="0"/>
                  <w:vAlign w:val="center"/>
                </w:tcPr>
                <w:p w14:paraId="2EB527C3">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700" w:type="pct"/>
                  <w:noWrap w:val="0"/>
                  <w:vAlign w:val="center"/>
                </w:tcPr>
                <w:p w14:paraId="296BAF1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一般固废</w:t>
                  </w:r>
                </w:p>
              </w:tc>
              <w:tc>
                <w:tcPr>
                  <w:tcW w:w="1176" w:type="pct"/>
                  <w:noWrap w:val="0"/>
                  <w:vAlign w:val="center"/>
                </w:tcPr>
                <w:p w14:paraId="115C75E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0BE3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393CFCB4">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365A050C">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3086BAF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07D799A7">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破碎玻璃、一般废包装品</w:t>
                  </w:r>
                </w:p>
              </w:tc>
              <w:tc>
                <w:tcPr>
                  <w:tcW w:w="700" w:type="pct"/>
                  <w:noWrap w:val="0"/>
                  <w:vAlign w:val="center"/>
                </w:tcPr>
                <w:p w14:paraId="184AA258">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一般工业固体废物</w:t>
                  </w:r>
                </w:p>
              </w:tc>
              <w:tc>
                <w:tcPr>
                  <w:tcW w:w="1176" w:type="pct"/>
                  <w:noWrap w:val="0"/>
                  <w:vAlign w:val="center"/>
                </w:tcPr>
                <w:p w14:paraId="53EB30EE">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2455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17B2B873">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0898EE5F">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6731D6D2">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3A555DA0">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废培养基</w:t>
                  </w:r>
                </w:p>
              </w:tc>
              <w:tc>
                <w:tcPr>
                  <w:tcW w:w="700" w:type="pct"/>
                  <w:noWrap w:val="0"/>
                  <w:vAlign w:val="center"/>
                </w:tcPr>
                <w:p w14:paraId="0B6877D2">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一般工业固体废物</w:t>
                  </w:r>
                </w:p>
              </w:tc>
              <w:tc>
                <w:tcPr>
                  <w:tcW w:w="1176" w:type="pct"/>
                  <w:noWrap w:val="0"/>
                  <w:vAlign w:val="center"/>
                </w:tcPr>
                <w:p w14:paraId="2857DFA3">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33F6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5025AA68">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2B4D6780">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61FD7698">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7CA66ADB">
                  <w:pPr>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超</w:t>
                  </w:r>
                  <w:r>
                    <w:rPr>
                      <w:rFonts w:hint="default" w:ascii="Times New Roman" w:hAnsi="Times New Roman" w:eastAsia="宋体" w:cs="Times New Roman"/>
                      <w:color w:val="auto"/>
                      <w:sz w:val="18"/>
                      <w:szCs w:val="18"/>
                    </w:rPr>
                    <w:t>纯水机设备更换的废过滤膜、废活性炭</w:t>
                  </w:r>
                  <w:r>
                    <w:rPr>
                      <w:rFonts w:hint="eastAsia" w:cs="Times New Roman"/>
                      <w:color w:val="auto"/>
                      <w:sz w:val="18"/>
                      <w:szCs w:val="18"/>
                      <w:lang w:eastAsia="zh-CN"/>
                    </w:rPr>
                    <w:t>（</w:t>
                  </w:r>
                  <w:r>
                    <w:rPr>
                      <w:rFonts w:hint="eastAsia" w:cs="Times New Roman"/>
                      <w:color w:val="auto"/>
                      <w:sz w:val="18"/>
                      <w:szCs w:val="18"/>
                      <w:lang w:val="en-US" w:eastAsia="zh-CN"/>
                    </w:rPr>
                    <w:t>纯水制备</w:t>
                  </w:r>
                  <w:r>
                    <w:rPr>
                      <w:rFonts w:hint="eastAsia" w:cs="Times New Roman"/>
                      <w:color w:val="auto"/>
                      <w:sz w:val="18"/>
                      <w:szCs w:val="18"/>
                      <w:lang w:eastAsia="zh-CN"/>
                    </w:rPr>
                    <w:t>）</w:t>
                  </w:r>
                </w:p>
              </w:tc>
              <w:tc>
                <w:tcPr>
                  <w:tcW w:w="700" w:type="pct"/>
                  <w:noWrap w:val="0"/>
                  <w:vAlign w:val="center"/>
                </w:tcPr>
                <w:p w14:paraId="44835BD3">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一般工业固体废物</w:t>
                  </w:r>
                </w:p>
              </w:tc>
              <w:tc>
                <w:tcPr>
                  <w:tcW w:w="1176" w:type="pct"/>
                  <w:noWrap w:val="0"/>
                  <w:vAlign w:val="center"/>
                </w:tcPr>
                <w:p w14:paraId="58A10133">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0DBDB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71395AA7">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1C026960">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329E73D0">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28C8C024">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废弃</w:t>
                  </w:r>
                  <w:r>
                    <w:rPr>
                      <w:rFonts w:hint="default" w:ascii="Times New Roman" w:hAnsi="Times New Roman" w:eastAsia="宋体" w:cs="Times New Roman"/>
                      <w:color w:val="auto"/>
                      <w:sz w:val="18"/>
                      <w:szCs w:val="18"/>
                    </w:rPr>
                    <w:t>一次性手套</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口罩</w:t>
                  </w:r>
                  <w:r>
                    <w:rPr>
                      <w:rFonts w:hint="default" w:ascii="Times New Roman" w:hAnsi="Times New Roman" w:eastAsia="宋体" w:cs="Times New Roman"/>
                      <w:color w:val="auto"/>
                      <w:sz w:val="18"/>
                      <w:szCs w:val="18"/>
                    </w:rPr>
                    <w:t>等一次性用品</w:t>
                  </w:r>
                </w:p>
                <w:p w14:paraId="70AF3E1D">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18"/>
                      <w:szCs w:val="18"/>
                    </w:rPr>
                  </w:pPr>
                </w:p>
              </w:tc>
              <w:tc>
                <w:tcPr>
                  <w:tcW w:w="700" w:type="pct"/>
                  <w:noWrap w:val="0"/>
                  <w:vAlign w:val="center"/>
                </w:tcPr>
                <w:p w14:paraId="1B91A6FC">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一般工业固体废物</w:t>
                  </w:r>
                </w:p>
              </w:tc>
              <w:tc>
                <w:tcPr>
                  <w:tcW w:w="1176" w:type="pct"/>
                  <w:noWrap w:val="0"/>
                  <w:vAlign w:val="center"/>
                </w:tcPr>
                <w:p w14:paraId="08EC9427">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12191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58644ED7">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382CA11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restart"/>
                  <w:noWrap w:val="0"/>
                  <w:vAlign w:val="center"/>
                </w:tcPr>
                <w:p w14:paraId="4093C2A8">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w:t>
                  </w:r>
                </w:p>
              </w:tc>
              <w:tc>
                <w:tcPr>
                  <w:tcW w:w="1363" w:type="pct"/>
                  <w:noWrap w:val="0"/>
                  <w:vAlign w:val="center"/>
                </w:tcPr>
                <w:p w14:paraId="36A84C4D">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报废</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失效、</w:t>
                  </w:r>
                  <w:r>
                    <w:rPr>
                      <w:rFonts w:hint="default" w:ascii="Times New Roman" w:hAnsi="Times New Roman" w:eastAsia="宋体" w:cs="Times New Roman"/>
                      <w:color w:val="auto"/>
                      <w:sz w:val="18"/>
                      <w:szCs w:val="18"/>
                    </w:rPr>
                    <w:t>过期化学试剂</w:t>
                  </w:r>
                </w:p>
              </w:tc>
              <w:tc>
                <w:tcPr>
                  <w:tcW w:w="700" w:type="pct"/>
                  <w:noWrap w:val="0"/>
                  <w:vAlign w:val="center"/>
                </w:tcPr>
                <w:p w14:paraId="2DF9EC86">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w:t>
                  </w:r>
                </w:p>
              </w:tc>
              <w:tc>
                <w:tcPr>
                  <w:tcW w:w="1176" w:type="pct"/>
                  <w:noWrap w:val="0"/>
                  <w:vAlign w:val="center"/>
                </w:tcPr>
                <w:p w14:paraId="302BB201">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058BB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58C247BE">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39636E00">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758341AA">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41A5F9B9">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实验废液</w:t>
                  </w:r>
                </w:p>
              </w:tc>
              <w:tc>
                <w:tcPr>
                  <w:tcW w:w="700" w:type="pct"/>
                  <w:noWrap w:val="0"/>
                  <w:vAlign w:val="center"/>
                </w:tcPr>
                <w:p w14:paraId="57FD01DB">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w:t>
                  </w:r>
                </w:p>
              </w:tc>
              <w:tc>
                <w:tcPr>
                  <w:tcW w:w="1176" w:type="pct"/>
                  <w:noWrap w:val="0"/>
                  <w:vAlign w:val="center"/>
                </w:tcPr>
                <w:p w14:paraId="4204725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04F6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51768EAF">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0CBC0C3E">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11A5F36C">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15BBF5CE">
                  <w:pPr>
                    <w:keepLines w:val="0"/>
                    <w:pageBreakBefore w:val="0"/>
                    <w:widowControl w:val="0"/>
                    <w:kinsoku/>
                    <w:wordWrap/>
                    <w:overflowPunct/>
                    <w:topLinePunct w:val="0"/>
                    <w:autoSpaceDE/>
                    <w:autoSpaceDN/>
                    <w:bidi w:val="0"/>
                    <w:spacing w:line="360" w:lineRule="exact"/>
                    <w:jc w:val="center"/>
                    <w:textAlignment w:val="auto"/>
                    <w:outlineLvl w:val="9"/>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废活性炭</w:t>
                  </w:r>
                  <w:r>
                    <w:rPr>
                      <w:rFonts w:hint="eastAsia" w:cs="Times New Roman"/>
                      <w:color w:val="auto"/>
                      <w:sz w:val="18"/>
                      <w:szCs w:val="18"/>
                      <w:lang w:eastAsia="zh-CN"/>
                    </w:rPr>
                    <w:t>（</w:t>
                  </w:r>
                  <w:r>
                    <w:rPr>
                      <w:rFonts w:hint="eastAsia" w:cs="Times New Roman"/>
                      <w:color w:val="auto"/>
                      <w:sz w:val="18"/>
                      <w:szCs w:val="18"/>
                      <w:lang w:val="en-US" w:eastAsia="zh-CN"/>
                    </w:rPr>
                    <w:t>有机废气治理</w:t>
                  </w:r>
                  <w:r>
                    <w:rPr>
                      <w:rFonts w:hint="eastAsia" w:cs="Times New Roman"/>
                      <w:color w:val="auto"/>
                      <w:sz w:val="18"/>
                      <w:szCs w:val="18"/>
                      <w:lang w:eastAsia="zh-CN"/>
                    </w:rPr>
                    <w:t>）</w:t>
                  </w:r>
                </w:p>
              </w:tc>
              <w:tc>
                <w:tcPr>
                  <w:tcW w:w="700" w:type="pct"/>
                  <w:noWrap w:val="0"/>
                  <w:vAlign w:val="center"/>
                </w:tcPr>
                <w:p w14:paraId="2D44564E">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w:t>
                  </w:r>
                </w:p>
              </w:tc>
              <w:tc>
                <w:tcPr>
                  <w:tcW w:w="1176" w:type="pct"/>
                  <w:noWrap w:val="0"/>
                  <w:vAlign w:val="center"/>
                </w:tcPr>
                <w:p w14:paraId="726F10B1">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17E9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3C8BDADA">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3D636A8C">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77737D82">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57B426E6">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实验室废试剂包装</w:t>
                  </w:r>
                </w:p>
              </w:tc>
              <w:tc>
                <w:tcPr>
                  <w:tcW w:w="700" w:type="pct"/>
                  <w:noWrap w:val="0"/>
                  <w:vAlign w:val="center"/>
                </w:tcPr>
                <w:p w14:paraId="36D96BF7">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w:t>
                  </w:r>
                </w:p>
              </w:tc>
              <w:tc>
                <w:tcPr>
                  <w:tcW w:w="1176" w:type="pct"/>
                  <w:noWrap w:val="0"/>
                  <w:vAlign w:val="center"/>
                </w:tcPr>
                <w:p w14:paraId="2B37C30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77BB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29274FFE">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32A71D7D">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3DA4E6C3">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134B096A">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中和沉淀池残渣</w:t>
                  </w:r>
                </w:p>
              </w:tc>
              <w:tc>
                <w:tcPr>
                  <w:tcW w:w="700" w:type="pct"/>
                  <w:noWrap w:val="0"/>
                  <w:vAlign w:val="center"/>
                </w:tcPr>
                <w:p w14:paraId="7E1A615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w:t>
                  </w:r>
                </w:p>
              </w:tc>
              <w:tc>
                <w:tcPr>
                  <w:tcW w:w="1176" w:type="pct"/>
                  <w:noWrap w:val="0"/>
                  <w:vAlign w:val="center"/>
                </w:tcPr>
                <w:p w14:paraId="6945E687">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0EAD1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1AF1EC1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5E6B80E8">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511FB3B2">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6D31F523">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废紫外灯管</w:t>
                  </w:r>
                </w:p>
              </w:tc>
              <w:tc>
                <w:tcPr>
                  <w:tcW w:w="700" w:type="pct"/>
                  <w:noWrap w:val="0"/>
                  <w:vAlign w:val="center"/>
                </w:tcPr>
                <w:p w14:paraId="0CA3D985">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w:t>
                  </w:r>
                </w:p>
              </w:tc>
              <w:tc>
                <w:tcPr>
                  <w:tcW w:w="1176" w:type="pct"/>
                  <w:noWrap w:val="0"/>
                  <w:vAlign w:val="center"/>
                </w:tcPr>
                <w:p w14:paraId="6C47CE02">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r w14:paraId="0F8D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04" w:type="pct"/>
                  <w:vMerge w:val="continue"/>
                  <w:noWrap w:val="0"/>
                  <w:vAlign w:val="center"/>
                </w:tcPr>
                <w:p w14:paraId="3C59A356">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p>
              </w:tc>
              <w:tc>
                <w:tcPr>
                  <w:tcW w:w="536" w:type="pct"/>
                  <w:vMerge w:val="continue"/>
                  <w:noWrap w:val="0"/>
                  <w:vAlign w:val="center"/>
                </w:tcPr>
                <w:p w14:paraId="146AA338">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718" w:type="pct"/>
                  <w:vMerge w:val="continue"/>
                  <w:noWrap w:val="0"/>
                  <w:vAlign w:val="center"/>
                </w:tcPr>
                <w:p w14:paraId="2CCA39E0">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p>
              </w:tc>
              <w:tc>
                <w:tcPr>
                  <w:tcW w:w="1363" w:type="pct"/>
                  <w:noWrap w:val="0"/>
                  <w:vAlign w:val="center"/>
                </w:tcPr>
                <w:p w14:paraId="232C4866">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喷淋塔沉渣</w:t>
                  </w:r>
                </w:p>
              </w:tc>
              <w:tc>
                <w:tcPr>
                  <w:tcW w:w="700" w:type="pct"/>
                  <w:noWrap w:val="0"/>
                  <w:vAlign w:val="center"/>
                </w:tcPr>
                <w:p w14:paraId="470F87FB">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w:t>
                  </w:r>
                </w:p>
              </w:tc>
              <w:tc>
                <w:tcPr>
                  <w:tcW w:w="1176" w:type="pct"/>
                  <w:noWrap w:val="0"/>
                  <w:vAlign w:val="center"/>
                </w:tcPr>
                <w:p w14:paraId="4DBC1613">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r>
          </w:tbl>
          <w:p w14:paraId="6B4A7A74">
            <w:pPr>
              <w:bidi w:val="0"/>
              <w:spacing w:line="360" w:lineRule="auto"/>
              <w:outlineLvl w:val="9"/>
              <w:rPr>
                <w:rFonts w:hint="default" w:ascii="Times New Roman" w:hAnsi="Times New Roman" w:eastAsia="宋体" w:cs="Times New Roman"/>
                <w:color w:val="auto"/>
                <w:sz w:val="21"/>
                <w:szCs w:val="21"/>
                <w:lang w:val="en-US" w:eastAsia="zh-CN"/>
              </w:rPr>
            </w:pPr>
          </w:p>
          <w:p w14:paraId="7A145EA1">
            <w:pPr>
              <w:bidi w:val="0"/>
              <w:outlineLvl w:val="9"/>
              <w:rPr>
                <w:rFonts w:hint="default"/>
                <w:color w:val="auto"/>
                <w:lang w:val="en-US" w:eastAsia="zh-CN"/>
              </w:rPr>
            </w:pPr>
          </w:p>
          <w:p w14:paraId="459461C1">
            <w:pPr>
              <w:bidi w:val="0"/>
              <w:outlineLvl w:val="9"/>
              <w:rPr>
                <w:rFonts w:hint="default"/>
                <w:color w:val="auto"/>
                <w:lang w:val="en-US" w:eastAsia="zh-CN"/>
              </w:rPr>
            </w:pPr>
          </w:p>
          <w:p w14:paraId="663000F5">
            <w:pPr>
              <w:bidi w:val="0"/>
              <w:outlineLvl w:val="9"/>
              <w:rPr>
                <w:rFonts w:hint="default"/>
                <w:color w:val="auto"/>
                <w:lang w:val="en-US" w:eastAsia="zh-CN"/>
              </w:rPr>
            </w:pPr>
          </w:p>
          <w:p w14:paraId="3588A1FF">
            <w:pPr>
              <w:pStyle w:val="14"/>
              <w:outlineLvl w:val="9"/>
              <w:rPr>
                <w:rFonts w:hint="default"/>
                <w:color w:val="auto"/>
                <w:lang w:val="en-US" w:eastAsia="zh-CN"/>
              </w:rPr>
            </w:pPr>
          </w:p>
        </w:tc>
      </w:tr>
      <w:tr w14:paraId="6E97F7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03" w:type="dxa"/>
            <w:noWrap w:val="0"/>
            <w:vAlign w:val="center"/>
          </w:tcPr>
          <w:p w14:paraId="27A4ECEE">
            <w:pPr>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与项目有关的原有环境污染问题</w:t>
            </w:r>
          </w:p>
        </w:tc>
        <w:tc>
          <w:tcPr>
            <w:tcW w:w="8435" w:type="dxa"/>
            <w:noWrap w:val="0"/>
            <w:vAlign w:val="center"/>
          </w:tcPr>
          <w:p w14:paraId="715F9C8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color w:val="auto"/>
              </w:rPr>
            </w:pPr>
            <w:r>
              <w:rPr>
                <w:rFonts w:hint="default"/>
                <w:color w:val="auto"/>
              </w:rPr>
              <w:t>本项目为新建项目，租用</w:t>
            </w:r>
            <w:r>
              <w:rPr>
                <w:rFonts w:hint="eastAsia"/>
                <w:color w:val="auto"/>
                <w:lang w:val="en-US" w:eastAsia="zh-CN"/>
              </w:rPr>
              <w:t>已建的</w:t>
            </w:r>
            <w:r>
              <w:rPr>
                <w:rFonts w:hint="default"/>
                <w:color w:val="auto"/>
              </w:rPr>
              <w:t>云南水投牛栏江滇池补水工程有限公司负2楼</w:t>
            </w:r>
            <w:r>
              <w:rPr>
                <w:rFonts w:hint="eastAsia"/>
                <w:color w:val="auto"/>
                <w:lang w:val="en-US" w:eastAsia="zh-CN"/>
              </w:rPr>
              <w:t>地下室</w:t>
            </w:r>
            <w:r>
              <w:rPr>
                <w:rFonts w:hint="default"/>
                <w:color w:val="auto"/>
              </w:rPr>
              <w:t>进行改造装修后使用，针对本项目而言，无原有环境污染问题。</w:t>
            </w:r>
          </w:p>
        </w:tc>
      </w:tr>
    </w:tbl>
    <w:p w14:paraId="188A9747">
      <w:pPr>
        <w:jc w:val="center"/>
        <w:outlineLvl w:val="9"/>
        <w:rPr>
          <w:b/>
          <w:bCs/>
          <w:color w:val="auto"/>
          <w:sz w:val="24"/>
          <w:szCs w:val="24"/>
        </w:rPr>
        <w:sectPr>
          <w:pgSz w:w="11906" w:h="16838"/>
          <w:pgMar w:top="1440" w:right="1800" w:bottom="1440" w:left="1800" w:header="851" w:footer="992" w:gutter="0"/>
          <w:pgNumType w:fmt="decimal"/>
          <w:cols w:space="425" w:num="1"/>
          <w:docGrid w:type="lines" w:linePitch="312" w:charSpace="0"/>
        </w:sectPr>
      </w:pPr>
    </w:p>
    <w:p w14:paraId="6E67658B">
      <w:pPr>
        <w:jc w:val="center"/>
        <w:outlineLvl w:val="0"/>
        <w:rPr>
          <w:rFonts w:hint="eastAsia" w:ascii="Times New Roman" w:hAnsi="Times New Roman" w:eastAsia="宋体" w:cs="Times New Roman"/>
          <w:b/>
          <w:bCs/>
          <w:color w:val="auto"/>
          <w:sz w:val="28"/>
          <w:szCs w:val="28"/>
        </w:rPr>
      </w:pPr>
      <w:bookmarkStart w:id="5" w:name="_Toc27749"/>
      <w:r>
        <w:rPr>
          <w:rFonts w:hint="eastAsia" w:ascii="Times New Roman" w:hAnsi="Times New Roman" w:eastAsia="宋体" w:cs="Times New Roman"/>
          <w:b/>
          <w:bCs/>
          <w:color w:val="auto"/>
          <w:sz w:val="28"/>
          <w:szCs w:val="28"/>
        </w:rPr>
        <w:t>三、区域环境质量现状、环境保护目标及评价标准</w:t>
      </w:r>
      <w:bookmarkEnd w:id="5"/>
    </w:p>
    <w:tbl>
      <w:tblPr>
        <w:tblStyle w:val="20"/>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9"/>
        <w:gridCol w:w="8271"/>
      </w:tblGrid>
      <w:tr w14:paraId="416D6D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719" w:type="dxa"/>
            <w:noWrap w:val="0"/>
            <w:vAlign w:val="center"/>
          </w:tcPr>
          <w:p w14:paraId="26DD23BE">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区域</w:t>
            </w:r>
          </w:p>
          <w:p w14:paraId="70F79FD9">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环境</w:t>
            </w:r>
          </w:p>
          <w:p w14:paraId="26E15C0E">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质量</w:t>
            </w:r>
          </w:p>
          <w:p w14:paraId="2A94E7EA">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现状</w:t>
            </w:r>
          </w:p>
        </w:tc>
        <w:tc>
          <w:tcPr>
            <w:tcW w:w="8271" w:type="dxa"/>
            <w:noWrap w:val="0"/>
            <w:vAlign w:val="center"/>
          </w:tcPr>
          <w:p w14:paraId="234D9797">
            <w:pPr>
              <w:spacing w:line="360" w:lineRule="auto"/>
              <w:jc w:val="left"/>
              <w:outlineLvl w:val="9"/>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环境空气质量现状</w:t>
            </w:r>
          </w:p>
          <w:p w14:paraId="4C77E76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（1）达标区判断</w:t>
            </w:r>
          </w:p>
          <w:p w14:paraId="09F7707B">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项目位于云南省昆明市盘龙区龙泉街道昆澜街2号，所在区域为二类环境空气质量功能区，执行《环境空气质量标准》（GB3095-2012）二级标准及</w:t>
            </w:r>
            <w:r>
              <w:rPr>
                <w:rFonts w:hint="default" w:ascii="Times New Roman" w:hAnsi="Times New Roman" w:eastAsia="宋体" w:cs="Times New Roman"/>
                <w:b w:val="0"/>
                <w:bCs w:val="0"/>
                <w:color w:val="auto"/>
                <w:sz w:val="21"/>
                <w:szCs w:val="21"/>
                <w:lang w:val="en-US" w:eastAsia="zh-CN"/>
              </w:rPr>
              <w:t>其</w:t>
            </w:r>
            <w:r>
              <w:rPr>
                <w:rFonts w:hint="default" w:ascii="Times New Roman" w:hAnsi="Times New Roman" w:eastAsia="宋体" w:cs="Times New Roman"/>
                <w:b w:val="0"/>
                <w:bCs w:val="0"/>
                <w:color w:val="auto"/>
                <w:sz w:val="21"/>
                <w:szCs w:val="21"/>
              </w:rPr>
              <w:t>修改单</w:t>
            </w:r>
            <w:r>
              <w:rPr>
                <w:rFonts w:hint="default" w:ascii="Times New Roman" w:hAnsi="Times New Roman" w:eastAsia="宋体" w:cs="Times New Roman"/>
                <w:b w:val="0"/>
                <w:bCs w:val="0"/>
                <w:color w:val="auto"/>
                <w:sz w:val="21"/>
                <w:szCs w:val="21"/>
                <w:lang w:val="en-US" w:eastAsia="zh-CN"/>
              </w:rPr>
              <w:t>二级标准</w:t>
            </w:r>
            <w:r>
              <w:rPr>
                <w:rFonts w:hint="default" w:ascii="Times New Roman" w:hAnsi="Times New Roman" w:eastAsia="宋体" w:cs="Times New Roman"/>
                <w:b w:val="0"/>
                <w:bCs w:val="0"/>
                <w:color w:val="auto"/>
                <w:sz w:val="21"/>
                <w:szCs w:val="21"/>
              </w:rPr>
              <w:t>。</w:t>
            </w:r>
          </w:p>
          <w:p w14:paraId="463C250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根据《2023年度昆明市生态环境状况公报》，城区空气质量优189天，良好167天，空气质量优良率</w:t>
            </w:r>
            <w:r>
              <w:rPr>
                <w:rFonts w:hint="default" w:ascii="Times New Roman" w:hAnsi="Times New Roman" w:eastAsia="宋体" w:cs="Times New Roman"/>
                <w:b w:val="0"/>
                <w:bCs w:val="0"/>
                <w:color w:val="auto"/>
                <w:sz w:val="21"/>
                <w:szCs w:val="21"/>
                <w:lang w:val="en-US" w:eastAsia="zh-CN"/>
              </w:rPr>
              <w:t>9</w:t>
            </w:r>
            <w:r>
              <w:rPr>
                <w:rFonts w:hint="default" w:ascii="Times New Roman" w:hAnsi="Times New Roman" w:eastAsia="宋体" w:cs="Times New Roman"/>
                <w:b w:val="0"/>
                <w:bCs w:val="0"/>
                <w:color w:val="auto"/>
                <w:sz w:val="21"/>
                <w:szCs w:val="21"/>
              </w:rPr>
              <w:t>7.53%</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昆明市主城区环境空气优良率97.53%，其中优189天、良167天。与2022年相比，优级天数减少57天，各项污染物均达到二级空气质量日均值（臭氧为日最大8小时平均）标准。</w:t>
            </w:r>
          </w:p>
          <w:p w14:paraId="2B49F8F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综上所述，</w:t>
            </w:r>
            <w:r>
              <w:rPr>
                <w:rFonts w:hint="default" w:ascii="Times New Roman" w:hAnsi="Times New Roman" w:eastAsia="宋体" w:cs="Times New Roman"/>
                <w:b w:val="0"/>
                <w:bCs w:val="0"/>
                <w:color w:val="auto"/>
                <w:sz w:val="21"/>
                <w:szCs w:val="21"/>
              </w:rPr>
              <w:t>项目所处地区为</w:t>
            </w:r>
            <w:r>
              <w:rPr>
                <w:rFonts w:hint="eastAsia" w:ascii="Times New Roman" w:hAnsi="Times New Roman" w:eastAsia="宋体" w:cs="Times New Roman"/>
                <w:b w:val="0"/>
                <w:bCs w:val="0"/>
                <w:color w:val="auto"/>
                <w:sz w:val="21"/>
                <w:szCs w:val="21"/>
                <w:lang w:val="en-US" w:eastAsia="zh-CN"/>
              </w:rPr>
              <w:t>环境空气</w:t>
            </w:r>
            <w:r>
              <w:rPr>
                <w:rFonts w:hint="default" w:ascii="Times New Roman" w:hAnsi="Times New Roman" w:eastAsia="宋体" w:cs="Times New Roman"/>
                <w:b w:val="0"/>
                <w:bCs w:val="0"/>
                <w:color w:val="auto"/>
                <w:sz w:val="21"/>
                <w:szCs w:val="21"/>
              </w:rPr>
              <w:t>达标区。</w:t>
            </w:r>
          </w:p>
          <w:p w14:paraId="12ADC9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rPr>
            </w:pP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特征污染物现状</w:t>
            </w:r>
          </w:p>
          <w:p w14:paraId="72CB36B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本项目特征污染物为非甲烷总烃、甲醛、甲醇、硫酸雾、氯化氢、氮氧化物、</w:t>
            </w:r>
            <w:r>
              <w:rPr>
                <w:rFonts w:hint="eastAsia" w:cs="Times New Roman"/>
                <w:color w:val="auto"/>
                <w:lang w:val="en-US" w:eastAsia="zh-CN"/>
              </w:rPr>
              <w:t>氨</w:t>
            </w:r>
            <w:r>
              <w:rPr>
                <w:rFonts w:hint="default" w:ascii="Times New Roman" w:hAnsi="Times New Roman" w:eastAsia="宋体" w:cs="Times New Roman"/>
                <w:color w:val="auto"/>
              </w:rPr>
              <w:t>。</w:t>
            </w:r>
            <w:r>
              <w:rPr>
                <w:rFonts w:hint="eastAsia" w:cs="Times New Roman"/>
                <w:color w:val="auto"/>
                <w:lang w:val="en-US" w:eastAsia="zh-CN"/>
              </w:rPr>
              <w:t>这些污染物在《环境空气质量标准》（GB3095-2012）当中没有规定限值要求，按照《建设项目环境影响报告表编制技术指南（污染影响类）》的规定，不开展补充监测。</w:t>
            </w:r>
          </w:p>
          <w:p w14:paraId="7C9B217B">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2、</w:t>
            </w:r>
            <w:r>
              <w:rPr>
                <w:rFonts w:hint="default" w:ascii="Times New Roman" w:hAnsi="Times New Roman" w:eastAsia="宋体" w:cs="Times New Roman"/>
                <w:b/>
                <w:bCs/>
                <w:color w:val="auto"/>
              </w:rPr>
              <w:t>地表水环境质量现状</w:t>
            </w:r>
          </w:p>
          <w:p w14:paraId="160E98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项目涉及河流为</w:t>
            </w:r>
            <w:r>
              <w:rPr>
                <w:rFonts w:hint="default" w:ascii="Times New Roman" w:hAnsi="Times New Roman" w:eastAsia="宋体" w:cs="Times New Roman"/>
                <w:color w:val="auto"/>
                <w:lang w:eastAsia="zh-CN"/>
              </w:rPr>
              <w:t>盘龙江</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位于项目西侧</w:t>
            </w:r>
            <w:r>
              <w:rPr>
                <w:rFonts w:hint="eastAsia" w:cs="Times New Roman"/>
                <w:color w:val="auto"/>
                <w:lang w:val="en-US" w:eastAsia="zh-CN"/>
              </w:rPr>
              <w:t>80</w:t>
            </w:r>
            <w:r>
              <w:rPr>
                <w:rFonts w:hint="default" w:ascii="Times New Roman" w:hAnsi="Times New Roman" w:eastAsia="宋体" w:cs="Times New Roman"/>
                <w:color w:val="auto"/>
                <w:lang w:val="en-US" w:eastAsia="zh-CN"/>
              </w:rPr>
              <w:t>m</w:t>
            </w:r>
            <w:r>
              <w:rPr>
                <w:rFonts w:hint="eastAsia" w:ascii="Times New Roman" w:hAnsi="Times New Roman" w:eastAsia="宋体" w:cs="Times New Roman"/>
                <w:color w:val="auto"/>
                <w:lang w:val="en-US" w:eastAsia="zh-CN"/>
              </w:rPr>
              <w:t>处</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rPr>
              <w:t>属于滇池流域</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根据《云南省水功能区划》（2014年修订）</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项目所在河段属于</w:t>
            </w:r>
            <w:r>
              <w:rPr>
                <w:rFonts w:hint="eastAsia" w:ascii="Times New Roman" w:hAnsi="Times New Roman" w:eastAsia="宋体" w:cs="Times New Roman"/>
                <w:color w:val="auto"/>
                <w:lang w:val="en-US" w:eastAsia="zh-CN"/>
              </w:rPr>
              <w:t>盘</w:t>
            </w:r>
            <w:r>
              <w:rPr>
                <w:rFonts w:hint="default" w:ascii="Times New Roman" w:hAnsi="Times New Roman" w:eastAsia="宋体" w:cs="Times New Roman"/>
                <w:color w:val="auto"/>
              </w:rPr>
              <w:t>龙江昆明景观、农业用水区：由松华坝水库坝址至入滇池口，全长26.5km。盘龙江是昆明市的穿城河流，城区段河道两旁辟有绿化带，以城市景观为主导功能，现状水质为劣Ⅴ类，2013年9月25日牛栏江-滇池补水工程通水后，将在盘龙江打造清水通道，规划水平年水质目标为Ⅲ类，因此该河段按Ⅲ类水体进行保护。</w:t>
            </w:r>
          </w:p>
          <w:p w14:paraId="7E8387E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lang w:eastAsia="zh-CN"/>
              </w:rPr>
            </w:pPr>
            <w:r>
              <w:rPr>
                <w:rFonts w:hint="default" w:ascii="Times New Roman" w:hAnsi="Times New Roman" w:eastAsia="宋体" w:cs="Times New Roman"/>
                <w:color w:val="auto"/>
              </w:rPr>
              <w:t>根据昆明市生态环境局发布的《2023年度昆明市生态环境状况公报》</w:t>
            </w:r>
            <w:r>
              <w:rPr>
                <w:rFonts w:hint="eastAsia" w:cs="Times New Roman"/>
                <w:color w:val="auto"/>
                <w:lang w:eastAsia="zh-CN"/>
              </w:rPr>
              <w:t>，</w:t>
            </w:r>
            <w:r>
              <w:rPr>
                <w:rFonts w:hint="default" w:ascii="Times New Roman" w:hAnsi="Times New Roman" w:eastAsia="宋体" w:cs="Times New Roman"/>
                <w:color w:val="auto"/>
              </w:rPr>
              <w:t>滇池全湖水质Ⅳ类，阳宗海水质Ⅲ类；27个国控地表水断面，优良水体比例为81.5%，较去年同期提升了7.4%，无劣Ⅴ类水体，优良水体比例高于考核目标要求3.7%；45个省控地表水断面，优良水质比例为84.4%，较去年同期提升了6.6%，无劣V类水体</w:t>
            </w:r>
            <w:r>
              <w:rPr>
                <w:rFonts w:hint="eastAsia" w:cs="Times New Roman"/>
                <w:color w:val="auto"/>
                <w:lang w:eastAsia="zh-CN"/>
              </w:rPr>
              <w:t>。</w:t>
            </w:r>
          </w:p>
          <w:p w14:paraId="3BAC054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根据云南省生态环境厅发布的《</w:t>
            </w:r>
            <w:r>
              <w:rPr>
                <w:rFonts w:hint="eastAsia" w:cs="Times New Roman"/>
                <w:color w:val="auto"/>
                <w:lang w:eastAsia="zh-CN"/>
              </w:rPr>
              <w:t>重点高原湖泊水质监测状况月报</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盘龙江</w:t>
            </w:r>
            <w:r>
              <w:rPr>
                <w:rFonts w:hint="eastAsia" w:cs="Times New Roman"/>
                <w:color w:val="auto"/>
                <w:lang w:val="en-US" w:eastAsia="zh-CN"/>
              </w:rPr>
              <w:t>近三个月监测结果如下：</w:t>
            </w:r>
          </w:p>
          <w:p w14:paraId="0C8666E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lang w:val="en-US" w:eastAsia="zh-CN"/>
              </w:rPr>
              <w:t>表3-1  近三个月盘龙江水环境质量现状</w:t>
            </w:r>
          </w:p>
          <w:tbl>
            <w:tblPr>
              <w:tblStyle w:val="21"/>
              <w:tblW w:w="7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1132"/>
              <w:gridCol w:w="1418"/>
              <w:gridCol w:w="1077"/>
              <w:gridCol w:w="1132"/>
              <w:gridCol w:w="1050"/>
              <w:gridCol w:w="949"/>
            </w:tblGrid>
            <w:tr w14:paraId="0075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tcPr>
                <w:p w14:paraId="35320E7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河流名称</w:t>
                  </w:r>
                </w:p>
              </w:tc>
              <w:tc>
                <w:tcPr>
                  <w:tcW w:w="1132" w:type="dxa"/>
                </w:tcPr>
                <w:p w14:paraId="1558EF9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监测断面</w:t>
                  </w:r>
                </w:p>
              </w:tc>
              <w:tc>
                <w:tcPr>
                  <w:tcW w:w="1418" w:type="dxa"/>
                </w:tcPr>
                <w:p w14:paraId="0001FBE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时间</w:t>
                  </w:r>
                </w:p>
              </w:tc>
              <w:tc>
                <w:tcPr>
                  <w:tcW w:w="1077" w:type="dxa"/>
                </w:tcPr>
                <w:p w14:paraId="396D0CC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水质类别</w:t>
                  </w:r>
                </w:p>
              </w:tc>
              <w:tc>
                <w:tcPr>
                  <w:tcW w:w="1132" w:type="dxa"/>
                </w:tcPr>
                <w:p w14:paraId="7ABC3BE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执行标准</w:t>
                  </w:r>
                </w:p>
              </w:tc>
              <w:tc>
                <w:tcPr>
                  <w:tcW w:w="1050" w:type="dxa"/>
                </w:tcPr>
                <w:p w14:paraId="3F89A38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达标情况</w:t>
                  </w:r>
                </w:p>
              </w:tc>
              <w:tc>
                <w:tcPr>
                  <w:tcW w:w="949" w:type="dxa"/>
                </w:tcPr>
                <w:p w14:paraId="5610F7E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超标项目</w:t>
                  </w:r>
                </w:p>
              </w:tc>
            </w:tr>
            <w:tr w14:paraId="31E06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Merge w:val="restart"/>
                  <w:vAlign w:val="center"/>
                </w:tcPr>
                <w:p w14:paraId="45A24ED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盘龙江</w:t>
                  </w:r>
                </w:p>
              </w:tc>
              <w:tc>
                <w:tcPr>
                  <w:tcW w:w="1132" w:type="dxa"/>
                  <w:vAlign w:val="center"/>
                </w:tcPr>
                <w:p w14:paraId="65A76BE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松华坝口</w:t>
                  </w:r>
                </w:p>
              </w:tc>
              <w:tc>
                <w:tcPr>
                  <w:tcW w:w="1418" w:type="dxa"/>
                  <w:vMerge w:val="restart"/>
                  <w:vAlign w:val="center"/>
                </w:tcPr>
                <w:p w14:paraId="7A83B64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2024年11月</w:t>
                  </w:r>
                </w:p>
              </w:tc>
              <w:tc>
                <w:tcPr>
                  <w:tcW w:w="1077" w:type="dxa"/>
                </w:tcPr>
                <w:p w14:paraId="6E8ECF6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Ⅱ类</w:t>
                  </w:r>
                </w:p>
              </w:tc>
              <w:tc>
                <w:tcPr>
                  <w:tcW w:w="1132" w:type="dxa"/>
                </w:tcPr>
                <w:p w14:paraId="2E4D7DB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Ⅲ</w:t>
                  </w:r>
                  <w:r>
                    <w:rPr>
                      <w:rFonts w:hint="default" w:ascii="Times New Roman" w:hAnsi="Times New Roman" w:eastAsia="宋体" w:cs="Times New Roman"/>
                      <w:color w:val="auto"/>
                      <w:sz w:val="18"/>
                      <w:szCs w:val="18"/>
                      <w:vertAlign w:val="baseline"/>
                      <w:lang w:val="en-US" w:eastAsia="zh-CN"/>
                    </w:rPr>
                    <w:t>类</w:t>
                  </w:r>
                </w:p>
              </w:tc>
              <w:tc>
                <w:tcPr>
                  <w:tcW w:w="1050" w:type="dxa"/>
                </w:tcPr>
                <w:p w14:paraId="3965180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达标</w:t>
                  </w:r>
                </w:p>
              </w:tc>
              <w:tc>
                <w:tcPr>
                  <w:tcW w:w="949" w:type="dxa"/>
                </w:tcPr>
                <w:p w14:paraId="3951011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24B3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Merge w:val="continue"/>
                  <w:vAlign w:val="center"/>
                </w:tcPr>
                <w:p w14:paraId="0C02514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132" w:type="dxa"/>
                  <w:vAlign w:val="center"/>
                </w:tcPr>
                <w:p w14:paraId="243CFEC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小人桥</w:t>
                  </w:r>
                </w:p>
              </w:tc>
              <w:tc>
                <w:tcPr>
                  <w:tcW w:w="1418" w:type="dxa"/>
                  <w:vMerge w:val="continue"/>
                  <w:vAlign w:val="center"/>
                </w:tcPr>
                <w:p w14:paraId="5152DFE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077" w:type="dxa"/>
                </w:tcPr>
                <w:p w14:paraId="58A199F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Ⅱ类</w:t>
                  </w:r>
                </w:p>
              </w:tc>
              <w:tc>
                <w:tcPr>
                  <w:tcW w:w="1132" w:type="dxa"/>
                </w:tcPr>
                <w:p w14:paraId="7104F47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Ⅲ</w:t>
                  </w:r>
                  <w:r>
                    <w:rPr>
                      <w:rFonts w:hint="default" w:ascii="Times New Roman" w:hAnsi="Times New Roman" w:eastAsia="宋体" w:cs="Times New Roman"/>
                      <w:color w:val="auto"/>
                      <w:sz w:val="18"/>
                      <w:szCs w:val="18"/>
                      <w:vertAlign w:val="baseline"/>
                      <w:lang w:val="en-US" w:eastAsia="zh-CN"/>
                    </w:rPr>
                    <w:t>类</w:t>
                  </w:r>
                </w:p>
              </w:tc>
              <w:tc>
                <w:tcPr>
                  <w:tcW w:w="1050" w:type="dxa"/>
                </w:tcPr>
                <w:p w14:paraId="38CB84E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达标</w:t>
                  </w:r>
                </w:p>
              </w:tc>
              <w:tc>
                <w:tcPr>
                  <w:tcW w:w="949" w:type="dxa"/>
                </w:tcPr>
                <w:p w14:paraId="62FB56A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26FF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Merge w:val="continue"/>
                  <w:vAlign w:val="center"/>
                </w:tcPr>
                <w:p w14:paraId="50F2E0B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132" w:type="dxa"/>
                  <w:vAlign w:val="center"/>
                </w:tcPr>
                <w:p w14:paraId="2F47660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严家村桥</w:t>
                  </w:r>
                </w:p>
              </w:tc>
              <w:tc>
                <w:tcPr>
                  <w:tcW w:w="1418" w:type="dxa"/>
                  <w:vMerge w:val="continue"/>
                  <w:vAlign w:val="center"/>
                </w:tcPr>
                <w:p w14:paraId="22555F8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077" w:type="dxa"/>
                </w:tcPr>
                <w:p w14:paraId="023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Ⅱ类</w:t>
                  </w:r>
                </w:p>
              </w:tc>
              <w:tc>
                <w:tcPr>
                  <w:tcW w:w="1132" w:type="dxa"/>
                </w:tcPr>
                <w:p w14:paraId="6996842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Ⅲ</w:t>
                  </w:r>
                  <w:r>
                    <w:rPr>
                      <w:rFonts w:hint="default" w:ascii="Times New Roman" w:hAnsi="Times New Roman" w:eastAsia="宋体" w:cs="Times New Roman"/>
                      <w:color w:val="auto"/>
                      <w:sz w:val="18"/>
                      <w:szCs w:val="18"/>
                      <w:vertAlign w:val="baseline"/>
                      <w:lang w:val="en-US" w:eastAsia="zh-CN"/>
                    </w:rPr>
                    <w:t>类</w:t>
                  </w:r>
                </w:p>
              </w:tc>
              <w:tc>
                <w:tcPr>
                  <w:tcW w:w="1050" w:type="dxa"/>
                </w:tcPr>
                <w:p w14:paraId="7FCB0F8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达标</w:t>
                  </w:r>
                </w:p>
              </w:tc>
              <w:tc>
                <w:tcPr>
                  <w:tcW w:w="949" w:type="dxa"/>
                </w:tcPr>
                <w:p w14:paraId="205B8DD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34DD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Merge w:val="continue"/>
                  <w:vAlign w:val="center"/>
                </w:tcPr>
                <w:p w14:paraId="75DB359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132" w:type="dxa"/>
                  <w:vAlign w:val="center"/>
                </w:tcPr>
                <w:p w14:paraId="1C20DD9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松华坝口</w:t>
                  </w:r>
                </w:p>
              </w:tc>
              <w:tc>
                <w:tcPr>
                  <w:tcW w:w="1418" w:type="dxa"/>
                  <w:vMerge w:val="restart"/>
                  <w:vAlign w:val="center"/>
                </w:tcPr>
                <w:p w14:paraId="29B3F37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2024年12月</w:t>
                  </w:r>
                </w:p>
              </w:tc>
              <w:tc>
                <w:tcPr>
                  <w:tcW w:w="1077" w:type="dxa"/>
                </w:tcPr>
                <w:p w14:paraId="64AC37D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Ⅰ类</w:t>
                  </w:r>
                </w:p>
              </w:tc>
              <w:tc>
                <w:tcPr>
                  <w:tcW w:w="1132" w:type="dxa"/>
                </w:tcPr>
                <w:p w14:paraId="0C473BD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Ⅲ</w:t>
                  </w:r>
                  <w:r>
                    <w:rPr>
                      <w:rFonts w:hint="default" w:ascii="Times New Roman" w:hAnsi="Times New Roman" w:eastAsia="宋体" w:cs="Times New Roman"/>
                      <w:color w:val="auto"/>
                      <w:sz w:val="18"/>
                      <w:szCs w:val="18"/>
                      <w:vertAlign w:val="baseline"/>
                      <w:lang w:val="en-US" w:eastAsia="zh-CN"/>
                    </w:rPr>
                    <w:t>类</w:t>
                  </w:r>
                </w:p>
              </w:tc>
              <w:tc>
                <w:tcPr>
                  <w:tcW w:w="1050" w:type="dxa"/>
                </w:tcPr>
                <w:p w14:paraId="5E36485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达标</w:t>
                  </w:r>
                </w:p>
              </w:tc>
              <w:tc>
                <w:tcPr>
                  <w:tcW w:w="949" w:type="dxa"/>
                </w:tcPr>
                <w:p w14:paraId="489E057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5A23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Merge w:val="continue"/>
                  <w:vAlign w:val="center"/>
                </w:tcPr>
                <w:p w14:paraId="77FB1E6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132" w:type="dxa"/>
                  <w:vAlign w:val="center"/>
                </w:tcPr>
                <w:p w14:paraId="0E7A740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小人桥</w:t>
                  </w:r>
                </w:p>
              </w:tc>
              <w:tc>
                <w:tcPr>
                  <w:tcW w:w="1418" w:type="dxa"/>
                  <w:vMerge w:val="continue"/>
                  <w:vAlign w:val="center"/>
                </w:tcPr>
                <w:p w14:paraId="6426591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077" w:type="dxa"/>
                </w:tcPr>
                <w:p w14:paraId="75224DB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Ⅱ类</w:t>
                  </w:r>
                </w:p>
              </w:tc>
              <w:tc>
                <w:tcPr>
                  <w:tcW w:w="1132" w:type="dxa"/>
                </w:tcPr>
                <w:p w14:paraId="5F7BB79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Ⅲ</w:t>
                  </w:r>
                  <w:r>
                    <w:rPr>
                      <w:rFonts w:hint="default" w:ascii="Times New Roman" w:hAnsi="Times New Roman" w:eastAsia="宋体" w:cs="Times New Roman"/>
                      <w:color w:val="auto"/>
                      <w:sz w:val="18"/>
                      <w:szCs w:val="18"/>
                      <w:vertAlign w:val="baseline"/>
                      <w:lang w:val="en-US" w:eastAsia="zh-CN"/>
                    </w:rPr>
                    <w:t>类</w:t>
                  </w:r>
                </w:p>
              </w:tc>
              <w:tc>
                <w:tcPr>
                  <w:tcW w:w="1050" w:type="dxa"/>
                </w:tcPr>
                <w:p w14:paraId="24CEA30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达标</w:t>
                  </w:r>
                </w:p>
              </w:tc>
              <w:tc>
                <w:tcPr>
                  <w:tcW w:w="949" w:type="dxa"/>
                </w:tcPr>
                <w:p w14:paraId="307BB75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6F619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Merge w:val="continue"/>
                  <w:vAlign w:val="center"/>
                </w:tcPr>
                <w:p w14:paraId="5603493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132" w:type="dxa"/>
                  <w:vAlign w:val="center"/>
                </w:tcPr>
                <w:p w14:paraId="6127DD5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严家村桥</w:t>
                  </w:r>
                </w:p>
              </w:tc>
              <w:tc>
                <w:tcPr>
                  <w:tcW w:w="1418" w:type="dxa"/>
                  <w:vMerge w:val="continue"/>
                  <w:vAlign w:val="center"/>
                </w:tcPr>
                <w:p w14:paraId="2815F45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077" w:type="dxa"/>
                </w:tcPr>
                <w:p w14:paraId="5AD290D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Ⅲ类</w:t>
                  </w:r>
                </w:p>
              </w:tc>
              <w:tc>
                <w:tcPr>
                  <w:tcW w:w="1132" w:type="dxa"/>
                </w:tcPr>
                <w:p w14:paraId="5F582C6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Ⅲ</w:t>
                  </w:r>
                  <w:r>
                    <w:rPr>
                      <w:rFonts w:hint="default" w:ascii="Times New Roman" w:hAnsi="Times New Roman" w:eastAsia="宋体" w:cs="Times New Roman"/>
                      <w:color w:val="auto"/>
                      <w:sz w:val="18"/>
                      <w:szCs w:val="18"/>
                      <w:vertAlign w:val="baseline"/>
                      <w:lang w:val="en-US" w:eastAsia="zh-CN"/>
                    </w:rPr>
                    <w:t>类</w:t>
                  </w:r>
                </w:p>
              </w:tc>
              <w:tc>
                <w:tcPr>
                  <w:tcW w:w="1050" w:type="dxa"/>
                </w:tcPr>
                <w:p w14:paraId="22E32CB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达标</w:t>
                  </w:r>
                </w:p>
              </w:tc>
              <w:tc>
                <w:tcPr>
                  <w:tcW w:w="949" w:type="dxa"/>
                </w:tcPr>
                <w:p w14:paraId="409B72B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4220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Merge w:val="continue"/>
                  <w:vAlign w:val="center"/>
                </w:tcPr>
                <w:p w14:paraId="265D56B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132" w:type="dxa"/>
                  <w:vAlign w:val="center"/>
                </w:tcPr>
                <w:p w14:paraId="0C26CA0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松华坝口</w:t>
                  </w:r>
                </w:p>
              </w:tc>
              <w:tc>
                <w:tcPr>
                  <w:tcW w:w="1418" w:type="dxa"/>
                  <w:vMerge w:val="restart"/>
                  <w:vAlign w:val="center"/>
                </w:tcPr>
                <w:p w14:paraId="752159D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2025年1月</w:t>
                  </w:r>
                </w:p>
              </w:tc>
              <w:tc>
                <w:tcPr>
                  <w:tcW w:w="1077" w:type="dxa"/>
                  <w:vAlign w:val="top"/>
                </w:tcPr>
                <w:p w14:paraId="0E4AE8B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Ⅱ类</w:t>
                  </w:r>
                </w:p>
              </w:tc>
              <w:tc>
                <w:tcPr>
                  <w:tcW w:w="1132" w:type="dxa"/>
                </w:tcPr>
                <w:p w14:paraId="23038F7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Ⅲ</w:t>
                  </w:r>
                  <w:r>
                    <w:rPr>
                      <w:rFonts w:hint="default" w:ascii="Times New Roman" w:hAnsi="Times New Roman" w:eastAsia="宋体" w:cs="Times New Roman"/>
                      <w:color w:val="auto"/>
                      <w:sz w:val="18"/>
                      <w:szCs w:val="18"/>
                      <w:vertAlign w:val="baseline"/>
                      <w:lang w:val="en-US" w:eastAsia="zh-CN"/>
                    </w:rPr>
                    <w:t>类</w:t>
                  </w:r>
                </w:p>
              </w:tc>
              <w:tc>
                <w:tcPr>
                  <w:tcW w:w="1050" w:type="dxa"/>
                </w:tcPr>
                <w:p w14:paraId="0E7FF5B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达标</w:t>
                  </w:r>
                </w:p>
              </w:tc>
              <w:tc>
                <w:tcPr>
                  <w:tcW w:w="949" w:type="dxa"/>
                </w:tcPr>
                <w:p w14:paraId="62EBD21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23CF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Merge w:val="continue"/>
                  <w:vAlign w:val="center"/>
                </w:tcPr>
                <w:p w14:paraId="32412E5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132" w:type="dxa"/>
                  <w:vAlign w:val="center"/>
                </w:tcPr>
                <w:p w14:paraId="2A9FB1E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小人桥</w:t>
                  </w:r>
                </w:p>
              </w:tc>
              <w:tc>
                <w:tcPr>
                  <w:tcW w:w="1418" w:type="dxa"/>
                  <w:vMerge w:val="continue"/>
                  <w:vAlign w:val="center"/>
                </w:tcPr>
                <w:p w14:paraId="2E6CC90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077" w:type="dxa"/>
                  <w:vAlign w:val="top"/>
                </w:tcPr>
                <w:p w14:paraId="50336E2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Ⅱ类</w:t>
                  </w:r>
                </w:p>
              </w:tc>
              <w:tc>
                <w:tcPr>
                  <w:tcW w:w="1132" w:type="dxa"/>
                </w:tcPr>
                <w:p w14:paraId="39E3E05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Ⅲ</w:t>
                  </w:r>
                  <w:r>
                    <w:rPr>
                      <w:rFonts w:hint="default" w:ascii="Times New Roman" w:hAnsi="Times New Roman" w:eastAsia="宋体" w:cs="Times New Roman"/>
                      <w:color w:val="auto"/>
                      <w:sz w:val="18"/>
                      <w:szCs w:val="18"/>
                      <w:vertAlign w:val="baseline"/>
                      <w:lang w:val="en-US" w:eastAsia="zh-CN"/>
                    </w:rPr>
                    <w:t>类</w:t>
                  </w:r>
                </w:p>
              </w:tc>
              <w:tc>
                <w:tcPr>
                  <w:tcW w:w="1050" w:type="dxa"/>
                </w:tcPr>
                <w:p w14:paraId="0284754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达标</w:t>
                  </w:r>
                </w:p>
              </w:tc>
              <w:tc>
                <w:tcPr>
                  <w:tcW w:w="949" w:type="dxa"/>
                </w:tcPr>
                <w:p w14:paraId="120697B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r w14:paraId="46B0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Merge w:val="continue"/>
                  <w:vAlign w:val="center"/>
                </w:tcPr>
                <w:p w14:paraId="0C3E2C9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132" w:type="dxa"/>
                  <w:vAlign w:val="center"/>
                </w:tcPr>
                <w:p w14:paraId="5F1CC61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严家村桥</w:t>
                  </w:r>
                </w:p>
              </w:tc>
              <w:tc>
                <w:tcPr>
                  <w:tcW w:w="1418" w:type="dxa"/>
                  <w:vMerge w:val="continue"/>
                  <w:vAlign w:val="center"/>
                </w:tcPr>
                <w:p w14:paraId="6F6F3DA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p>
              </w:tc>
              <w:tc>
                <w:tcPr>
                  <w:tcW w:w="1077" w:type="dxa"/>
                  <w:vAlign w:val="top"/>
                </w:tcPr>
                <w:p w14:paraId="490E05E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Ⅱ类</w:t>
                  </w:r>
                </w:p>
              </w:tc>
              <w:tc>
                <w:tcPr>
                  <w:tcW w:w="1132" w:type="dxa"/>
                </w:tcPr>
                <w:p w14:paraId="440E423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Ⅲ</w:t>
                  </w:r>
                  <w:r>
                    <w:rPr>
                      <w:rFonts w:hint="default" w:ascii="Times New Roman" w:hAnsi="Times New Roman" w:eastAsia="宋体" w:cs="Times New Roman"/>
                      <w:color w:val="auto"/>
                      <w:sz w:val="18"/>
                      <w:szCs w:val="18"/>
                      <w:vertAlign w:val="baseline"/>
                      <w:lang w:val="en-US" w:eastAsia="zh-CN"/>
                    </w:rPr>
                    <w:t>类</w:t>
                  </w:r>
                </w:p>
              </w:tc>
              <w:tc>
                <w:tcPr>
                  <w:tcW w:w="1050" w:type="dxa"/>
                </w:tcPr>
                <w:p w14:paraId="03FD9BC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达标</w:t>
                  </w:r>
                </w:p>
              </w:tc>
              <w:tc>
                <w:tcPr>
                  <w:tcW w:w="949" w:type="dxa"/>
                </w:tcPr>
                <w:p w14:paraId="3357DE4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w:t>
                  </w:r>
                </w:p>
              </w:tc>
            </w:tr>
          </w:tbl>
          <w:p w14:paraId="4F3C433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rPr>
            </w:pPr>
            <w:r>
              <w:rPr>
                <w:rFonts w:hint="eastAsia" w:cs="Times New Roman"/>
                <w:color w:val="auto"/>
                <w:lang w:val="en-US" w:eastAsia="zh-CN"/>
              </w:rPr>
              <w:t>根据上表监测结果</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eastAsia="zh-CN"/>
              </w:rPr>
              <w:t>盘龙江</w:t>
            </w:r>
            <w:r>
              <w:rPr>
                <w:rFonts w:hint="default" w:ascii="Times New Roman" w:hAnsi="Times New Roman" w:eastAsia="宋体" w:cs="Times New Roman"/>
                <w:color w:val="auto"/>
              </w:rPr>
              <w:t>2024年</w:t>
            </w:r>
            <w:r>
              <w:rPr>
                <w:rFonts w:hint="eastAsia" w:cs="Times New Roman"/>
                <w:color w:val="auto"/>
                <w:lang w:val="en-US" w:eastAsia="zh-CN"/>
              </w:rPr>
              <w:t>1</w:t>
            </w:r>
            <w:r>
              <w:rPr>
                <w:rFonts w:hint="eastAsia" w:ascii="Times New Roman" w:hAnsi="Times New Roman" w:eastAsia="宋体" w:cs="Times New Roman"/>
                <w:color w:val="auto"/>
                <w:lang w:val="en-US" w:eastAsia="zh-CN"/>
              </w:rPr>
              <w:t>1</w:t>
            </w:r>
            <w:r>
              <w:rPr>
                <w:rFonts w:hint="default" w:ascii="Times New Roman" w:hAnsi="Times New Roman" w:eastAsia="宋体" w:cs="Times New Roman"/>
                <w:color w:val="auto"/>
              </w:rPr>
              <w:t>月</w:t>
            </w:r>
            <w:r>
              <w:rPr>
                <w:rFonts w:hint="eastAsia" w:cs="Times New Roman"/>
                <w:color w:val="auto"/>
                <w:lang w:val="en-US" w:eastAsia="zh-CN"/>
              </w:rPr>
              <w:t>~2025年1月</w:t>
            </w:r>
            <w:r>
              <w:rPr>
                <w:rFonts w:hint="default" w:ascii="Times New Roman" w:hAnsi="Times New Roman" w:eastAsia="宋体" w:cs="Times New Roman"/>
                <w:color w:val="auto"/>
              </w:rPr>
              <w:t>水质可以达到《地表水环境质量标准》（GB3838-2002 ）Ⅲ类标准。</w:t>
            </w:r>
          </w:p>
          <w:p w14:paraId="318EE572">
            <w:pPr>
              <w:bidi w:val="0"/>
              <w:outlineLvl w:val="9"/>
              <w:rPr>
                <w:rFonts w:hint="eastAsia"/>
                <w:b/>
                <w:bCs/>
                <w:color w:val="auto"/>
                <w:lang w:val="en-US" w:eastAsia="zh-CN"/>
              </w:rPr>
            </w:pPr>
            <w:r>
              <w:rPr>
                <w:rFonts w:hint="eastAsia"/>
                <w:b/>
                <w:bCs/>
                <w:color w:val="auto"/>
                <w:lang w:val="en-US" w:eastAsia="zh-CN"/>
              </w:rPr>
              <w:t>3、声环境质量现状</w:t>
            </w:r>
          </w:p>
          <w:p w14:paraId="5D5EF74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项目位于云南省昆明市盘龙区龙泉街道昆澜</w:t>
            </w:r>
            <w:r>
              <w:rPr>
                <w:rFonts w:hint="eastAsia" w:cs="Times New Roman"/>
                <w:color w:val="auto"/>
                <w:lang w:val="en-US" w:eastAsia="zh-CN"/>
              </w:rPr>
              <w:t>路</w:t>
            </w:r>
            <w:r>
              <w:rPr>
                <w:rFonts w:hint="default" w:ascii="Times New Roman" w:hAnsi="Times New Roman" w:eastAsia="宋体" w:cs="Times New Roman"/>
                <w:color w:val="auto"/>
                <w:lang w:val="en-US" w:eastAsia="zh-CN"/>
              </w:rPr>
              <w:t>2号，属于以居住、商业混杂区为主的2类声环境功能区</w:t>
            </w:r>
            <w:r>
              <w:rPr>
                <w:rFonts w:hint="eastAsia" w:cs="Times New Roman"/>
                <w:color w:val="auto"/>
                <w:lang w:val="en-US" w:eastAsia="zh-CN"/>
              </w:rPr>
              <w:t>。</w:t>
            </w:r>
            <w:r>
              <w:rPr>
                <w:rFonts w:hint="default" w:ascii="Times New Roman" w:hAnsi="Times New Roman" w:eastAsia="宋体" w:cs="Times New Roman"/>
                <w:color w:val="auto"/>
                <w:lang w:val="en-US" w:eastAsia="zh-CN"/>
              </w:rPr>
              <w:t>根据</w:t>
            </w:r>
            <w:r>
              <w:rPr>
                <w:rFonts w:hint="eastAsia" w:cs="Times New Roman"/>
                <w:color w:val="auto"/>
                <w:lang w:val="en-US" w:eastAsia="zh-CN"/>
              </w:rPr>
              <w:t>《昆明市盘龙区声环境功能区划分报告（2019-2029）》项目所在区域为2类区，场址南侧紧邻的昆澜路为4类区。因此，项目</w:t>
            </w:r>
            <w:r>
              <w:rPr>
                <w:rFonts w:hint="default" w:ascii="Times New Roman" w:hAnsi="Times New Roman" w:eastAsia="宋体" w:cs="Times New Roman"/>
                <w:color w:val="auto"/>
                <w:lang w:val="en-US" w:eastAsia="zh-CN"/>
              </w:rPr>
              <w:t>厂区内声环境执行《声环境质量标准》（GB3096-2008）2类标准。厂区南侧</w:t>
            </w:r>
            <w:r>
              <w:rPr>
                <w:rFonts w:hint="eastAsia" w:cs="Times New Roman"/>
                <w:color w:val="auto"/>
                <w:lang w:val="en-US" w:eastAsia="zh-CN"/>
              </w:rPr>
              <w:t>场界</w:t>
            </w:r>
            <w:r>
              <w:rPr>
                <w:rFonts w:hint="default" w:ascii="Times New Roman" w:hAnsi="Times New Roman" w:eastAsia="宋体" w:cs="Times New Roman"/>
                <w:color w:val="auto"/>
                <w:lang w:val="en-US" w:eastAsia="zh-CN"/>
              </w:rPr>
              <w:t>紧邻昆澜路执行《声环境质量标准》（GB3096-2008）中的4a类区</w:t>
            </w:r>
            <w:r>
              <w:rPr>
                <w:rFonts w:hint="eastAsia" w:cs="Times New Roman"/>
                <w:color w:val="auto"/>
                <w:lang w:val="en-US" w:eastAsia="zh-CN"/>
              </w:rPr>
              <w:t>。</w:t>
            </w:r>
          </w:p>
          <w:p w14:paraId="5DCADC6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根据《2023年度昆明市生态环境状况公报》公布结果，2023年，</w:t>
            </w:r>
            <w:r>
              <w:rPr>
                <w:rFonts w:hint="eastAsia" w:cs="Times New Roman"/>
                <w:color w:val="auto"/>
                <w:lang w:val="en-US" w:eastAsia="zh-CN"/>
              </w:rPr>
              <w:t>昆明市</w:t>
            </w:r>
            <w:r>
              <w:rPr>
                <w:rFonts w:hint="default" w:ascii="Times New Roman" w:hAnsi="Times New Roman" w:eastAsia="宋体" w:cs="Times New Roman"/>
                <w:color w:val="auto"/>
                <w:lang w:val="en-US" w:eastAsia="zh-CN"/>
              </w:rPr>
              <w:t>主城区昼间区域环境噪声平均值为52.2分贝(A)，总体水平达二级（较好），较去年下降0.2分贝(A)，项目所在区域属于声环境质量达标区。</w:t>
            </w:r>
          </w:p>
          <w:p w14:paraId="437396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根据现场踏勘，项目厂界周边50m范围内无声环境保护目标</w:t>
            </w:r>
            <w:r>
              <w:rPr>
                <w:rFonts w:hint="eastAsia" w:ascii="Times New Roman" w:hAnsi="Times New Roman" w:eastAsia="宋体" w:cs="Times New Roman"/>
                <w:color w:val="auto"/>
                <w:lang w:val="en-US" w:eastAsia="zh-CN"/>
              </w:rPr>
              <w:t>，</w:t>
            </w:r>
            <w:r>
              <w:rPr>
                <w:rFonts w:hint="eastAsia" w:cs="Times New Roman"/>
                <w:color w:val="auto"/>
                <w:lang w:val="en-US" w:eastAsia="zh-CN"/>
              </w:rPr>
              <w:t>无需开展声环境保护目标的补充监测。</w:t>
            </w:r>
            <w:r>
              <w:rPr>
                <w:rFonts w:hint="default" w:ascii="Times New Roman" w:hAnsi="Times New Roman" w:eastAsia="宋体" w:cs="Times New Roman"/>
                <w:color w:val="auto"/>
                <w:lang w:val="en-US" w:eastAsia="zh-CN"/>
              </w:rPr>
              <w:t>项目周边无重大噪声企业，主要噪声来源为行经车辆所产生的噪声，项目区域声环境质量状况良好。</w:t>
            </w:r>
          </w:p>
          <w:p w14:paraId="63FBD106">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4、生态环境质量现状</w:t>
            </w:r>
          </w:p>
          <w:p w14:paraId="79CD007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项目区属城市建成区，租用现有建筑</w:t>
            </w:r>
            <w:r>
              <w:rPr>
                <w:rFonts w:hint="eastAsia" w:cs="Times New Roman"/>
                <w:color w:val="auto"/>
                <w:lang w:val="en-US" w:eastAsia="zh-CN"/>
              </w:rPr>
              <w:t>的负二层</w:t>
            </w:r>
            <w:r>
              <w:rPr>
                <w:rFonts w:hint="eastAsia" w:ascii="Times New Roman" w:hAnsi="Times New Roman" w:eastAsia="宋体" w:cs="Times New Roman"/>
                <w:color w:val="auto"/>
                <w:lang w:val="en-US" w:eastAsia="zh-CN"/>
              </w:rPr>
              <w:t>建设。区域内</w:t>
            </w:r>
            <w:r>
              <w:rPr>
                <w:rFonts w:hint="eastAsia" w:cs="Times New Roman"/>
                <w:color w:val="auto"/>
                <w:lang w:val="en-US" w:eastAsia="zh-CN"/>
              </w:rPr>
              <w:t>现有植被仅为城市绿化带，</w:t>
            </w:r>
            <w:r>
              <w:rPr>
                <w:rFonts w:hint="eastAsia" w:ascii="Times New Roman" w:hAnsi="Times New Roman" w:eastAsia="宋体" w:cs="Times New Roman"/>
                <w:color w:val="auto"/>
                <w:lang w:val="en-US" w:eastAsia="zh-CN"/>
              </w:rPr>
              <w:t>生态系统调控能力差，属典型城市生态系统，项目生态环境一般。</w:t>
            </w:r>
          </w:p>
          <w:p w14:paraId="706520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现场踏勘，项目区域及周边200m范围内不涉及古木名树，不涉及自然保护区、风景名胜区、国家公园等生态敏感区；也不属于野生动物的迁徙通道；也没有国家级和省级重点保护的野生动植物和区域特有物种分布。</w:t>
            </w:r>
          </w:p>
          <w:p w14:paraId="2B47DA45">
            <w:pPr>
              <w:bidi w:val="0"/>
              <w:outlineLvl w:val="9"/>
              <w:rPr>
                <w:rFonts w:hint="eastAsia" w:eastAsia="宋体"/>
                <w:color w:val="auto"/>
                <w:lang w:val="en-US" w:eastAsia="zh-CN"/>
              </w:rPr>
            </w:pPr>
          </w:p>
          <w:p w14:paraId="067C2A7C">
            <w:pPr>
              <w:bidi w:val="0"/>
              <w:outlineLvl w:val="9"/>
              <w:rPr>
                <w:rFonts w:hint="default"/>
                <w:color w:val="auto"/>
              </w:rPr>
            </w:pPr>
          </w:p>
          <w:p w14:paraId="68A1DAFB">
            <w:pPr>
              <w:bidi w:val="0"/>
              <w:outlineLvl w:val="9"/>
              <w:rPr>
                <w:rFonts w:hint="default"/>
                <w:color w:val="auto"/>
              </w:rPr>
            </w:pPr>
          </w:p>
          <w:p w14:paraId="656F1903">
            <w:pPr>
              <w:spacing w:line="360" w:lineRule="auto"/>
              <w:jc w:val="left"/>
              <w:outlineLvl w:val="9"/>
              <w:rPr>
                <w:rFonts w:hint="eastAsia" w:ascii="Times New Roman" w:hAnsi="Times New Roman" w:eastAsia="宋体" w:cs="Times New Roman"/>
                <w:b/>
                <w:bCs/>
                <w:color w:val="auto"/>
                <w:sz w:val="28"/>
                <w:szCs w:val="28"/>
                <w:lang w:eastAsia="zh-CN"/>
              </w:rPr>
            </w:pPr>
          </w:p>
        </w:tc>
      </w:tr>
      <w:tr w14:paraId="549755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719" w:type="dxa"/>
            <w:noWrap w:val="0"/>
            <w:vAlign w:val="center"/>
          </w:tcPr>
          <w:p w14:paraId="28FC2A66">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环境</w:t>
            </w:r>
          </w:p>
          <w:p w14:paraId="4DC055C4">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保护</w:t>
            </w:r>
          </w:p>
          <w:p w14:paraId="0A499016">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目标</w:t>
            </w:r>
          </w:p>
        </w:tc>
        <w:tc>
          <w:tcPr>
            <w:tcW w:w="8271" w:type="dxa"/>
            <w:noWrap w:val="0"/>
            <w:vAlign w:val="center"/>
          </w:tcPr>
          <w:p w14:paraId="1460A359">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bookmarkStart w:id="6" w:name="_Toc3558545"/>
            <w:r>
              <w:rPr>
                <w:rFonts w:hint="default" w:ascii="Times New Roman" w:hAnsi="Times New Roman" w:eastAsia="宋体" w:cs="Times New Roman"/>
                <w:b w:val="0"/>
                <w:bCs w:val="0"/>
                <w:color w:val="auto"/>
                <w:sz w:val="21"/>
                <w:szCs w:val="21"/>
                <w:lang w:val="zh-CN"/>
              </w:rPr>
              <w:t>根据《建设项目环境影响报告表编制技术指南（污染影响类）》（试行），</w:t>
            </w:r>
            <w:r>
              <w:rPr>
                <w:rFonts w:hint="default" w:ascii="Times New Roman" w:hAnsi="Times New Roman" w:eastAsia="宋体" w:cs="Times New Roman"/>
                <w:b w:val="0"/>
                <w:bCs w:val="0"/>
                <w:color w:val="auto"/>
                <w:sz w:val="21"/>
                <w:szCs w:val="21"/>
                <w:lang w:val="en-US" w:eastAsia="zh-CN"/>
              </w:rPr>
              <w:t>项目的环境保护目标为：</w:t>
            </w:r>
          </w:p>
          <w:p w14:paraId="5C1ACA70">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1</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大气环境：项目厂界外500m范围保护目标有</w:t>
            </w:r>
            <w:r>
              <w:rPr>
                <w:rFonts w:hint="default" w:ascii="Times New Roman" w:hAnsi="Times New Roman" w:eastAsia="宋体" w:cs="Times New Roman"/>
                <w:b w:val="0"/>
                <w:bCs w:val="0"/>
                <w:color w:val="auto"/>
                <w:sz w:val="21"/>
                <w:szCs w:val="21"/>
                <w:lang w:val="en-US" w:eastAsia="zh-CN"/>
              </w:rPr>
              <w:t>项目区</w:t>
            </w:r>
            <w:r>
              <w:rPr>
                <w:rFonts w:hint="eastAsia" w:cs="Times New Roman"/>
                <w:b w:val="0"/>
                <w:bCs w:val="0"/>
                <w:color w:val="auto"/>
                <w:sz w:val="21"/>
                <w:szCs w:val="21"/>
                <w:lang w:val="en-US" w:eastAsia="zh-CN"/>
              </w:rPr>
              <w:t>东北侧255</w:t>
            </w:r>
            <w:r>
              <w:rPr>
                <w:rFonts w:hint="default" w:ascii="Times New Roman" w:hAnsi="Times New Roman" w:eastAsia="宋体" w:cs="Times New Roman"/>
                <w:b w:val="0"/>
                <w:bCs w:val="0"/>
                <w:color w:val="auto"/>
                <w:sz w:val="21"/>
                <w:szCs w:val="21"/>
                <w:lang w:val="en-US" w:eastAsia="zh-CN"/>
              </w:rPr>
              <w:t>m处的万科▪金域水岸、项目区</w:t>
            </w:r>
            <w:r>
              <w:rPr>
                <w:rFonts w:hint="eastAsia" w:cs="Times New Roman"/>
                <w:b w:val="0"/>
                <w:bCs w:val="0"/>
                <w:color w:val="auto"/>
                <w:sz w:val="21"/>
                <w:szCs w:val="21"/>
                <w:lang w:val="en-US" w:eastAsia="zh-CN"/>
              </w:rPr>
              <w:t>南</w:t>
            </w:r>
            <w:r>
              <w:rPr>
                <w:rFonts w:hint="default" w:ascii="Times New Roman" w:hAnsi="Times New Roman" w:eastAsia="宋体" w:cs="Times New Roman"/>
                <w:b w:val="0"/>
                <w:bCs w:val="0"/>
                <w:color w:val="auto"/>
                <w:sz w:val="21"/>
                <w:szCs w:val="21"/>
                <w:lang w:val="en-US" w:eastAsia="zh-CN"/>
              </w:rPr>
              <w:t>侧</w:t>
            </w:r>
            <w:r>
              <w:rPr>
                <w:rFonts w:hint="eastAsia" w:cs="Times New Roman"/>
                <w:b w:val="0"/>
                <w:bCs w:val="0"/>
                <w:color w:val="auto"/>
                <w:sz w:val="21"/>
                <w:szCs w:val="21"/>
                <w:lang w:val="en-US" w:eastAsia="zh-CN"/>
              </w:rPr>
              <w:t>200</w:t>
            </w:r>
            <w:r>
              <w:rPr>
                <w:rFonts w:hint="default" w:ascii="Times New Roman" w:hAnsi="Times New Roman" w:eastAsia="宋体" w:cs="Times New Roman"/>
                <w:b w:val="0"/>
                <w:bCs w:val="0"/>
                <w:color w:val="auto"/>
                <w:sz w:val="21"/>
                <w:szCs w:val="21"/>
                <w:lang w:val="en-US" w:eastAsia="zh-CN"/>
              </w:rPr>
              <w:t>m处的云南省农业科学院</w:t>
            </w:r>
            <w:r>
              <w:rPr>
                <w:rFonts w:hint="eastAsia" w:cs="Times New Roman"/>
                <w:b w:val="0"/>
                <w:bCs w:val="0"/>
                <w:color w:val="auto"/>
                <w:sz w:val="21"/>
                <w:szCs w:val="21"/>
                <w:lang w:val="en-US" w:eastAsia="zh-CN"/>
              </w:rPr>
              <w:t>、项目区西南侧190m处的天宇澜山、项目区北侧</w:t>
            </w:r>
            <w:r>
              <w:rPr>
                <w:rFonts w:hint="default" w:ascii="Times New Roman" w:hAnsi="Times New Roman" w:eastAsia="宋体" w:cs="Times New Roman"/>
                <w:b w:val="0"/>
                <w:bCs w:val="0"/>
                <w:color w:val="auto"/>
                <w:sz w:val="21"/>
                <w:szCs w:val="21"/>
                <w:lang w:val="en-US" w:eastAsia="zh-CN"/>
              </w:rPr>
              <w:t>20m处的昆明瀑布公园</w:t>
            </w:r>
            <w:r>
              <w:rPr>
                <w:rFonts w:hint="default" w:ascii="Times New Roman" w:hAnsi="Times New Roman" w:eastAsia="宋体" w:cs="Times New Roman"/>
                <w:b w:val="0"/>
                <w:bCs w:val="0"/>
                <w:color w:val="auto"/>
                <w:sz w:val="21"/>
                <w:szCs w:val="21"/>
              </w:rPr>
              <w:t>。</w:t>
            </w:r>
          </w:p>
          <w:p w14:paraId="2ED2383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声环境：本项目50m范围内</w:t>
            </w:r>
            <w:r>
              <w:rPr>
                <w:rFonts w:hint="eastAsia" w:ascii="Times New Roman" w:hAnsi="Times New Roman" w:eastAsia="宋体" w:cs="Times New Roman"/>
                <w:b w:val="0"/>
                <w:bCs w:val="0"/>
                <w:color w:val="auto"/>
                <w:sz w:val="21"/>
                <w:szCs w:val="21"/>
                <w:lang w:val="en-US" w:eastAsia="zh-CN"/>
              </w:rPr>
              <w:t>无</w:t>
            </w:r>
            <w:r>
              <w:rPr>
                <w:rFonts w:hint="default" w:ascii="Times New Roman" w:hAnsi="Times New Roman" w:eastAsia="宋体" w:cs="Times New Roman"/>
                <w:b w:val="0"/>
                <w:bCs w:val="0"/>
                <w:color w:val="auto"/>
                <w:sz w:val="21"/>
                <w:szCs w:val="21"/>
              </w:rPr>
              <w:t>声环境保护目标。</w:t>
            </w:r>
          </w:p>
          <w:p w14:paraId="5993497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3</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rPr>
              <w:t>地表水环境：项目区</w:t>
            </w:r>
            <w:r>
              <w:rPr>
                <w:rFonts w:hint="default" w:ascii="Times New Roman" w:hAnsi="Times New Roman" w:eastAsia="宋体" w:cs="Times New Roman"/>
                <w:b w:val="0"/>
                <w:bCs w:val="0"/>
                <w:color w:val="auto"/>
                <w:sz w:val="21"/>
                <w:szCs w:val="21"/>
                <w:lang w:val="en-US" w:eastAsia="zh-CN"/>
              </w:rPr>
              <w:t>西侧</w:t>
            </w:r>
            <w:r>
              <w:rPr>
                <w:rFonts w:hint="eastAsia" w:cs="Times New Roman"/>
                <w:b w:val="0"/>
                <w:bCs w:val="0"/>
                <w:color w:val="auto"/>
                <w:sz w:val="21"/>
                <w:szCs w:val="21"/>
                <w:lang w:val="en-US" w:eastAsia="zh-CN"/>
              </w:rPr>
              <w:t>8</w:t>
            </w:r>
            <w:r>
              <w:rPr>
                <w:rFonts w:hint="default" w:ascii="Times New Roman" w:hAnsi="Times New Roman" w:eastAsia="宋体" w:cs="Times New Roman"/>
                <w:b w:val="0"/>
                <w:bCs w:val="0"/>
                <w:color w:val="auto"/>
                <w:sz w:val="21"/>
                <w:szCs w:val="21"/>
                <w:lang w:val="en-US" w:eastAsia="zh-CN"/>
              </w:rPr>
              <w:t>0m处的</w:t>
            </w:r>
            <w:r>
              <w:rPr>
                <w:rFonts w:hint="eastAsia" w:cs="Times New Roman"/>
                <w:b w:val="0"/>
                <w:bCs w:val="0"/>
                <w:color w:val="auto"/>
                <w:sz w:val="21"/>
                <w:szCs w:val="21"/>
                <w:lang w:val="en-US" w:eastAsia="zh-CN"/>
              </w:rPr>
              <w:t>盘龙江</w:t>
            </w:r>
            <w:r>
              <w:rPr>
                <w:rFonts w:hint="default" w:ascii="Times New Roman" w:hAnsi="Times New Roman" w:eastAsia="宋体" w:cs="Times New Roman"/>
                <w:b w:val="0"/>
                <w:bCs w:val="0"/>
                <w:color w:val="auto"/>
                <w:sz w:val="21"/>
                <w:szCs w:val="21"/>
              </w:rPr>
              <w:t>。</w:t>
            </w:r>
          </w:p>
          <w:p w14:paraId="516CC45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4</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生态环境：根据《建设项目环境影响报告表编制技术指南（污染影响类）》（试行）产业园区外建设项目新增用地的，应明确新增用地范围内生态环境保护目标。本项目租用云南水投牛栏江滇池补水工程有限公司负2楼地下室进行装修改造，项目的建设不会新破坏植被。</w:t>
            </w:r>
          </w:p>
          <w:p w14:paraId="1FC5E643">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（5）地下水和土壤：本项目租用已建的地下室建设实验室，地面已进行硬化，周边无地下水饮用水源及耕地，不涉及地下水和土壤保护目标。</w:t>
            </w:r>
          </w:p>
          <w:p w14:paraId="7A723B8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项目环境保护目标情况见下表，项目周围环境关系见附图</w:t>
            </w:r>
            <w:r>
              <w:rPr>
                <w:rFonts w:hint="default" w:ascii="Times New Roman" w:hAnsi="Times New Roman" w:eastAsia="宋体" w:cs="Times New Roman"/>
                <w:b w:val="0"/>
                <w:bCs w:val="0"/>
                <w:color w:val="auto"/>
                <w:sz w:val="21"/>
                <w:szCs w:val="21"/>
                <w:highlight w:val="none"/>
                <w:lang w:val="en-US" w:eastAsia="zh-CN"/>
              </w:rPr>
              <w:t>4</w:t>
            </w:r>
            <w:r>
              <w:rPr>
                <w:rFonts w:hint="default" w:ascii="Times New Roman" w:hAnsi="Times New Roman" w:eastAsia="宋体" w:cs="Times New Roman"/>
                <w:b w:val="0"/>
                <w:bCs w:val="0"/>
                <w:color w:val="auto"/>
                <w:sz w:val="21"/>
                <w:szCs w:val="21"/>
                <w:highlight w:val="none"/>
              </w:rPr>
              <w:t>。</w:t>
            </w:r>
            <w:bookmarkEnd w:id="6"/>
          </w:p>
          <w:p w14:paraId="5119B343">
            <w:pPr>
              <w:pStyle w:val="2"/>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表3-</w:t>
            </w:r>
            <w:r>
              <w:rPr>
                <w:rFonts w:hint="eastAsia" w:cs="Times New Roman"/>
                <w:b/>
                <w:bCs/>
                <w:color w:val="auto"/>
                <w:sz w:val="18"/>
                <w:szCs w:val="18"/>
                <w:lang w:val="en-US" w:eastAsia="zh-CN"/>
              </w:rPr>
              <w:t xml:space="preserve">2  </w:t>
            </w:r>
            <w:r>
              <w:rPr>
                <w:rFonts w:hint="default" w:ascii="Times New Roman" w:hAnsi="Times New Roman" w:eastAsia="宋体" w:cs="Times New Roman"/>
                <w:b/>
                <w:bCs/>
                <w:color w:val="auto"/>
                <w:sz w:val="18"/>
                <w:szCs w:val="18"/>
              </w:rPr>
              <w:t>主要环境保护目标一览表</w:t>
            </w:r>
          </w:p>
          <w:tbl>
            <w:tblPr>
              <w:tblStyle w:val="2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457"/>
              <w:gridCol w:w="725"/>
              <w:gridCol w:w="1406"/>
              <w:gridCol w:w="1232"/>
              <w:gridCol w:w="991"/>
              <w:gridCol w:w="804"/>
              <w:gridCol w:w="1138"/>
              <w:gridCol w:w="1216"/>
            </w:tblGrid>
            <w:tr w14:paraId="39A41E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blHeader/>
                <w:jc w:val="center"/>
              </w:trPr>
              <w:tc>
                <w:tcPr>
                  <w:tcW w:w="457" w:type="dxa"/>
                  <w:vMerge w:val="restart"/>
                  <w:noWrap w:val="0"/>
                  <w:vAlign w:val="center"/>
                </w:tcPr>
                <w:p w14:paraId="098E578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环境</w:t>
                  </w:r>
                </w:p>
                <w:p w14:paraId="27D215A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要素</w:t>
                  </w:r>
                </w:p>
              </w:tc>
              <w:tc>
                <w:tcPr>
                  <w:tcW w:w="725" w:type="dxa"/>
                  <w:vMerge w:val="restart"/>
                  <w:noWrap w:val="0"/>
                  <w:vAlign w:val="center"/>
                </w:tcPr>
                <w:p w14:paraId="2927E9E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环境敏感点名称</w:t>
                  </w:r>
                </w:p>
              </w:tc>
              <w:tc>
                <w:tcPr>
                  <w:tcW w:w="2638" w:type="dxa"/>
                  <w:gridSpan w:val="2"/>
                  <w:noWrap w:val="0"/>
                  <w:vAlign w:val="center"/>
                </w:tcPr>
                <w:p w14:paraId="4F82F31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坐标</w:t>
                  </w:r>
                </w:p>
              </w:tc>
              <w:tc>
                <w:tcPr>
                  <w:tcW w:w="991" w:type="dxa"/>
                  <w:vMerge w:val="restart"/>
                  <w:noWrap w:val="0"/>
                  <w:vAlign w:val="center"/>
                </w:tcPr>
                <w:p w14:paraId="1F1091B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与场界相对方位</w:t>
                  </w:r>
                </w:p>
              </w:tc>
              <w:tc>
                <w:tcPr>
                  <w:tcW w:w="804" w:type="dxa"/>
                  <w:vMerge w:val="restart"/>
                  <w:noWrap w:val="0"/>
                  <w:vAlign w:val="center"/>
                </w:tcPr>
                <w:p w14:paraId="4AE2147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直线距离（m）</w:t>
                  </w:r>
                </w:p>
              </w:tc>
              <w:tc>
                <w:tcPr>
                  <w:tcW w:w="1138" w:type="dxa"/>
                  <w:vMerge w:val="restart"/>
                  <w:noWrap w:val="0"/>
                  <w:vAlign w:val="center"/>
                </w:tcPr>
                <w:p w14:paraId="27D420E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保护对象</w:t>
                  </w:r>
                </w:p>
              </w:tc>
              <w:tc>
                <w:tcPr>
                  <w:tcW w:w="1216" w:type="dxa"/>
                  <w:vMerge w:val="restart"/>
                  <w:noWrap w:val="0"/>
                  <w:vAlign w:val="center"/>
                </w:tcPr>
                <w:p w14:paraId="788E1D8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保护级别</w:t>
                  </w:r>
                </w:p>
              </w:tc>
            </w:tr>
            <w:tr w14:paraId="205FB5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blHeader/>
                <w:jc w:val="center"/>
              </w:trPr>
              <w:tc>
                <w:tcPr>
                  <w:tcW w:w="457" w:type="dxa"/>
                  <w:vMerge w:val="continue"/>
                  <w:noWrap w:val="0"/>
                  <w:vAlign w:val="center"/>
                </w:tcPr>
                <w:p w14:paraId="15C8451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p>
              </w:tc>
              <w:tc>
                <w:tcPr>
                  <w:tcW w:w="725" w:type="dxa"/>
                  <w:vMerge w:val="continue"/>
                  <w:noWrap w:val="0"/>
                  <w:vAlign w:val="center"/>
                </w:tcPr>
                <w:p w14:paraId="10B13DB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p>
              </w:tc>
              <w:tc>
                <w:tcPr>
                  <w:tcW w:w="1406" w:type="dxa"/>
                  <w:noWrap w:val="0"/>
                  <w:vAlign w:val="center"/>
                </w:tcPr>
                <w:p w14:paraId="02C1BB4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经度</w:t>
                  </w:r>
                </w:p>
              </w:tc>
              <w:tc>
                <w:tcPr>
                  <w:tcW w:w="1232" w:type="dxa"/>
                  <w:noWrap w:val="0"/>
                  <w:vAlign w:val="center"/>
                </w:tcPr>
                <w:p w14:paraId="0CCC6C3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纬度</w:t>
                  </w:r>
                </w:p>
              </w:tc>
              <w:tc>
                <w:tcPr>
                  <w:tcW w:w="991" w:type="dxa"/>
                  <w:vMerge w:val="continue"/>
                  <w:noWrap w:val="0"/>
                  <w:vAlign w:val="center"/>
                </w:tcPr>
                <w:p w14:paraId="614BDAE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p>
              </w:tc>
              <w:tc>
                <w:tcPr>
                  <w:tcW w:w="804" w:type="dxa"/>
                  <w:vMerge w:val="continue"/>
                  <w:noWrap w:val="0"/>
                  <w:vAlign w:val="center"/>
                </w:tcPr>
                <w:p w14:paraId="73777EC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p>
              </w:tc>
              <w:tc>
                <w:tcPr>
                  <w:tcW w:w="1138" w:type="dxa"/>
                  <w:vMerge w:val="continue"/>
                  <w:noWrap w:val="0"/>
                  <w:vAlign w:val="center"/>
                </w:tcPr>
                <w:p w14:paraId="7ED8553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p>
              </w:tc>
              <w:tc>
                <w:tcPr>
                  <w:tcW w:w="1216" w:type="dxa"/>
                  <w:vMerge w:val="continue"/>
                  <w:noWrap w:val="0"/>
                  <w:vAlign w:val="center"/>
                </w:tcPr>
                <w:p w14:paraId="6FF5304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p>
              </w:tc>
            </w:tr>
            <w:tr w14:paraId="6BD8A5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blHeader/>
                <w:jc w:val="center"/>
              </w:trPr>
              <w:tc>
                <w:tcPr>
                  <w:tcW w:w="457" w:type="dxa"/>
                  <w:vMerge w:val="restart"/>
                  <w:noWrap w:val="0"/>
                  <w:vAlign w:val="center"/>
                </w:tcPr>
                <w:p w14:paraId="433E251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大气环境</w:t>
                  </w:r>
                </w:p>
              </w:tc>
              <w:tc>
                <w:tcPr>
                  <w:tcW w:w="725" w:type="dxa"/>
                  <w:noWrap w:val="0"/>
                  <w:vAlign w:val="center"/>
                </w:tcPr>
                <w:p w14:paraId="1BA63A7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万科▪金域水岸</w:t>
                  </w:r>
                </w:p>
              </w:tc>
              <w:tc>
                <w:tcPr>
                  <w:tcW w:w="1406" w:type="dxa"/>
                  <w:noWrap w:val="0"/>
                  <w:vAlign w:val="center"/>
                </w:tcPr>
                <w:p w14:paraId="45ABB71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102°45′59.743″</w:t>
                  </w:r>
                </w:p>
              </w:tc>
              <w:tc>
                <w:tcPr>
                  <w:tcW w:w="1232" w:type="dxa"/>
                  <w:noWrap w:val="0"/>
                  <w:vAlign w:val="center"/>
                </w:tcPr>
                <w:p w14:paraId="5A48387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25°7′49.489″</w:t>
                  </w:r>
                </w:p>
              </w:tc>
              <w:tc>
                <w:tcPr>
                  <w:tcW w:w="991" w:type="dxa"/>
                  <w:noWrap w:val="0"/>
                  <w:vAlign w:val="center"/>
                </w:tcPr>
                <w:p w14:paraId="5797722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东北侧</w:t>
                  </w:r>
                </w:p>
              </w:tc>
              <w:tc>
                <w:tcPr>
                  <w:tcW w:w="804" w:type="dxa"/>
                  <w:noWrap w:val="0"/>
                  <w:vAlign w:val="center"/>
                </w:tcPr>
                <w:p w14:paraId="32A9E04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255</w:t>
                  </w:r>
                </w:p>
              </w:tc>
              <w:tc>
                <w:tcPr>
                  <w:tcW w:w="1138" w:type="dxa"/>
                  <w:noWrap w:val="0"/>
                  <w:vAlign w:val="center"/>
                </w:tcPr>
                <w:p w14:paraId="247019A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居民，约2600人</w:t>
                  </w:r>
                </w:p>
              </w:tc>
              <w:tc>
                <w:tcPr>
                  <w:tcW w:w="1216" w:type="dxa"/>
                  <w:vMerge w:val="restart"/>
                  <w:noWrap w:val="0"/>
                  <w:vAlign w:val="center"/>
                </w:tcPr>
                <w:p w14:paraId="1A55588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《环境空气质量标准》（GB3095-2012）二级标准</w:t>
                  </w:r>
                </w:p>
              </w:tc>
            </w:tr>
            <w:tr w14:paraId="26C5B6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blHeader/>
                <w:jc w:val="center"/>
              </w:trPr>
              <w:tc>
                <w:tcPr>
                  <w:tcW w:w="457" w:type="dxa"/>
                  <w:vMerge w:val="continue"/>
                  <w:noWrap w:val="0"/>
                  <w:vAlign w:val="center"/>
                </w:tcPr>
                <w:p w14:paraId="2F44A52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p>
              </w:tc>
              <w:tc>
                <w:tcPr>
                  <w:tcW w:w="725" w:type="dxa"/>
                  <w:noWrap w:val="0"/>
                  <w:vAlign w:val="center"/>
                </w:tcPr>
                <w:p w14:paraId="51BF01E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云南省农业科学院</w:t>
                  </w:r>
                </w:p>
              </w:tc>
              <w:tc>
                <w:tcPr>
                  <w:tcW w:w="1406" w:type="dxa"/>
                  <w:noWrap w:val="0"/>
                  <w:vAlign w:val="center"/>
                </w:tcPr>
                <w:p w14:paraId="54FB23C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102°45′46.650″</w:t>
                  </w:r>
                </w:p>
              </w:tc>
              <w:tc>
                <w:tcPr>
                  <w:tcW w:w="1232" w:type="dxa"/>
                  <w:noWrap w:val="0"/>
                  <w:vAlign w:val="center"/>
                </w:tcPr>
                <w:p w14:paraId="60B14B7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25°7′33.238</w:t>
                  </w:r>
                </w:p>
              </w:tc>
              <w:tc>
                <w:tcPr>
                  <w:tcW w:w="991" w:type="dxa"/>
                  <w:noWrap w:val="0"/>
                  <w:vAlign w:val="center"/>
                </w:tcPr>
                <w:p w14:paraId="79F01EA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南侧</w:t>
                  </w:r>
                </w:p>
              </w:tc>
              <w:tc>
                <w:tcPr>
                  <w:tcW w:w="804" w:type="dxa"/>
                  <w:noWrap w:val="0"/>
                  <w:vAlign w:val="center"/>
                </w:tcPr>
                <w:p w14:paraId="5928E02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200</w:t>
                  </w:r>
                </w:p>
              </w:tc>
              <w:tc>
                <w:tcPr>
                  <w:tcW w:w="1138" w:type="dxa"/>
                  <w:noWrap w:val="0"/>
                  <w:vAlign w:val="center"/>
                </w:tcPr>
                <w:p w14:paraId="55712EE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居民，约</w:t>
                  </w:r>
                  <w:r>
                    <w:rPr>
                      <w:rFonts w:hint="eastAsia" w:cs="Times New Roman"/>
                      <w:b w:val="0"/>
                      <w:bCs w:val="0"/>
                      <w:color w:val="auto"/>
                      <w:sz w:val="18"/>
                      <w:szCs w:val="18"/>
                      <w:lang w:val="en-US" w:eastAsia="zh-CN"/>
                    </w:rPr>
                    <w:t>800</w:t>
                  </w:r>
                  <w:r>
                    <w:rPr>
                      <w:rFonts w:hint="default" w:ascii="Times New Roman" w:hAnsi="Times New Roman" w:eastAsia="宋体" w:cs="Times New Roman"/>
                      <w:b w:val="0"/>
                      <w:bCs w:val="0"/>
                      <w:color w:val="auto"/>
                      <w:sz w:val="18"/>
                      <w:szCs w:val="18"/>
                      <w:lang w:val="en-US" w:eastAsia="zh-CN"/>
                    </w:rPr>
                    <w:t>人</w:t>
                  </w:r>
                </w:p>
              </w:tc>
              <w:tc>
                <w:tcPr>
                  <w:tcW w:w="1216" w:type="dxa"/>
                  <w:vMerge w:val="continue"/>
                  <w:noWrap w:val="0"/>
                  <w:vAlign w:val="center"/>
                </w:tcPr>
                <w:p w14:paraId="2B5FABA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p>
              </w:tc>
            </w:tr>
            <w:tr w14:paraId="1F0FC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blHeader/>
                <w:jc w:val="center"/>
              </w:trPr>
              <w:tc>
                <w:tcPr>
                  <w:tcW w:w="457" w:type="dxa"/>
                  <w:vMerge w:val="continue"/>
                  <w:noWrap w:val="0"/>
                  <w:vAlign w:val="center"/>
                </w:tcPr>
                <w:p w14:paraId="10FB0BE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p>
              </w:tc>
              <w:tc>
                <w:tcPr>
                  <w:tcW w:w="725" w:type="dxa"/>
                  <w:noWrap w:val="0"/>
                  <w:vAlign w:val="center"/>
                </w:tcPr>
                <w:p w14:paraId="608EDD6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天宇澜山</w:t>
                  </w:r>
                </w:p>
              </w:tc>
              <w:tc>
                <w:tcPr>
                  <w:tcW w:w="1406" w:type="dxa"/>
                  <w:noWrap w:val="0"/>
                  <w:vAlign w:val="center"/>
                </w:tcPr>
                <w:p w14:paraId="6A503B5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102°45′36.743″</w:t>
                  </w:r>
                </w:p>
              </w:tc>
              <w:tc>
                <w:tcPr>
                  <w:tcW w:w="1232" w:type="dxa"/>
                  <w:noWrap w:val="0"/>
                  <w:vAlign w:val="center"/>
                </w:tcPr>
                <w:p w14:paraId="7682752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25°7′40.615″</w:t>
                  </w:r>
                </w:p>
              </w:tc>
              <w:tc>
                <w:tcPr>
                  <w:tcW w:w="991" w:type="dxa"/>
                  <w:noWrap w:val="0"/>
                  <w:vAlign w:val="center"/>
                </w:tcPr>
                <w:p w14:paraId="43D8368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西南侧</w:t>
                  </w:r>
                </w:p>
              </w:tc>
              <w:tc>
                <w:tcPr>
                  <w:tcW w:w="804" w:type="dxa"/>
                  <w:noWrap w:val="0"/>
                  <w:vAlign w:val="center"/>
                </w:tcPr>
                <w:p w14:paraId="371844F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190</w:t>
                  </w:r>
                </w:p>
              </w:tc>
              <w:tc>
                <w:tcPr>
                  <w:tcW w:w="1138" w:type="dxa"/>
                  <w:noWrap w:val="0"/>
                  <w:vAlign w:val="center"/>
                </w:tcPr>
                <w:p w14:paraId="35E9713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居民，约</w:t>
                  </w:r>
                  <w:r>
                    <w:rPr>
                      <w:rFonts w:hint="eastAsia" w:cs="Times New Roman"/>
                      <w:b w:val="0"/>
                      <w:bCs w:val="0"/>
                      <w:color w:val="auto"/>
                      <w:sz w:val="18"/>
                      <w:szCs w:val="18"/>
                      <w:lang w:val="en-US" w:eastAsia="zh-CN"/>
                    </w:rPr>
                    <w:t>2400</w:t>
                  </w:r>
                  <w:r>
                    <w:rPr>
                      <w:rFonts w:hint="default" w:ascii="Times New Roman" w:hAnsi="Times New Roman" w:eastAsia="宋体" w:cs="Times New Roman"/>
                      <w:b w:val="0"/>
                      <w:bCs w:val="0"/>
                      <w:color w:val="auto"/>
                      <w:sz w:val="18"/>
                      <w:szCs w:val="18"/>
                      <w:lang w:val="en-US" w:eastAsia="zh-CN"/>
                    </w:rPr>
                    <w:t>人</w:t>
                  </w:r>
                </w:p>
              </w:tc>
              <w:tc>
                <w:tcPr>
                  <w:tcW w:w="1216" w:type="dxa"/>
                  <w:vMerge w:val="continue"/>
                  <w:noWrap w:val="0"/>
                  <w:vAlign w:val="center"/>
                </w:tcPr>
                <w:p w14:paraId="7379F37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p>
              </w:tc>
            </w:tr>
            <w:tr w14:paraId="1BDC4B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tblHeader/>
                <w:jc w:val="center"/>
              </w:trPr>
              <w:tc>
                <w:tcPr>
                  <w:tcW w:w="457" w:type="dxa"/>
                  <w:vMerge w:val="continue"/>
                  <w:noWrap w:val="0"/>
                  <w:vAlign w:val="center"/>
                </w:tcPr>
                <w:p w14:paraId="4CA0727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p>
              </w:tc>
              <w:tc>
                <w:tcPr>
                  <w:tcW w:w="725" w:type="dxa"/>
                  <w:noWrap w:val="0"/>
                  <w:vAlign w:val="center"/>
                </w:tcPr>
                <w:p w14:paraId="2E4A952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cs="Times New Roman"/>
                      <w:b w:val="0"/>
                      <w:bCs w:val="0"/>
                      <w:color w:val="auto"/>
                      <w:sz w:val="18"/>
                      <w:szCs w:val="18"/>
                      <w:lang w:val="en-US" w:eastAsia="zh-CN"/>
                    </w:rPr>
                  </w:pPr>
                  <w:r>
                    <w:rPr>
                      <w:rFonts w:hint="eastAsia" w:cs="Times New Roman"/>
                      <w:b w:val="0"/>
                      <w:bCs w:val="0"/>
                      <w:color w:val="auto"/>
                      <w:sz w:val="18"/>
                      <w:szCs w:val="18"/>
                      <w:lang w:val="en-US" w:eastAsia="zh-CN"/>
                    </w:rPr>
                    <w:t>昆明瀑布公园</w:t>
                  </w:r>
                </w:p>
              </w:tc>
              <w:tc>
                <w:tcPr>
                  <w:tcW w:w="1406" w:type="dxa"/>
                  <w:noWrap w:val="0"/>
                  <w:vAlign w:val="center"/>
                </w:tcPr>
                <w:p w14:paraId="264C017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102°45′48.393″</w:t>
                  </w:r>
                </w:p>
              </w:tc>
              <w:tc>
                <w:tcPr>
                  <w:tcW w:w="1232" w:type="dxa"/>
                  <w:noWrap w:val="0"/>
                  <w:vAlign w:val="center"/>
                </w:tcPr>
                <w:p w14:paraId="3FA49DF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25°7′45.573″</w:t>
                  </w:r>
                </w:p>
              </w:tc>
              <w:tc>
                <w:tcPr>
                  <w:tcW w:w="991" w:type="dxa"/>
                  <w:noWrap w:val="0"/>
                  <w:vAlign w:val="center"/>
                </w:tcPr>
                <w:p w14:paraId="7843B6F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北侧</w:t>
                  </w:r>
                </w:p>
              </w:tc>
              <w:tc>
                <w:tcPr>
                  <w:tcW w:w="804" w:type="dxa"/>
                  <w:noWrap w:val="0"/>
                  <w:vAlign w:val="center"/>
                </w:tcPr>
                <w:p w14:paraId="6BFCA6B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20</w:t>
                  </w:r>
                </w:p>
              </w:tc>
              <w:tc>
                <w:tcPr>
                  <w:tcW w:w="1138" w:type="dxa"/>
                  <w:noWrap w:val="0"/>
                  <w:vAlign w:val="center"/>
                </w:tcPr>
                <w:p w14:paraId="53E13BC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游客，约1000人</w:t>
                  </w:r>
                </w:p>
              </w:tc>
              <w:tc>
                <w:tcPr>
                  <w:tcW w:w="1216" w:type="dxa"/>
                  <w:vMerge w:val="continue"/>
                  <w:noWrap w:val="0"/>
                  <w:vAlign w:val="center"/>
                </w:tcPr>
                <w:p w14:paraId="029B8AE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p>
              </w:tc>
            </w:tr>
            <w:tr w14:paraId="71358E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9" w:hRule="atLeast"/>
                <w:jc w:val="center"/>
              </w:trPr>
              <w:tc>
                <w:tcPr>
                  <w:tcW w:w="457" w:type="dxa"/>
                  <w:noWrap w:val="0"/>
                  <w:vAlign w:val="center"/>
                </w:tcPr>
                <w:p w14:paraId="76F1948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地表水环境</w:t>
                  </w:r>
                </w:p>
              </w:tc>
              <w:tc>
                <w:tcPr>
                  <w:tcW w:w="725" w:type="dxa"/>
                  <w:noWrap w:val="0"/>
                  <w:vAlign w:val="center"/>
                </w:tcPr>
                <w:p w14:paraId="5FD95AA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盘龙江</w:t>
                  </w:r>
                </w:p>
              </w:tc>
              <w:tc>
                <w:tcPr>
                  <w:tcW w:w="1406" w:type="dxa"/>
                  <w:noWrap w:val="0"/>
                  <w:vAlign w:val="center"/>
                </w:tcPr>
                <w:p w14:paraId="22B2A89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1232" w:type="dxa"/>
                  <w:noWrap w:val="0"/>
                  <w:vAlign w:val="center"/>
                </w:tcPr>
                <w:p w14:paraId="3F460A5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w:t>
                  </w:r>
                </w:p>
              </w:tc>
              <w:tc>
                <w:tcPr>
                  <w:tcW w:w="991" w:type="dxa"/>
                  <w:noWrap w:val="0"/>
                  <w:vAlign w:val="center"/>
                </w:tcPr>
                <w:p w14:paraId="6561969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西侧</w:t>
                  </w:r>
                </w:p>
              </w:tc>
              <w:tc>
                <w:tcPr>
                  <w:tcW w:w="804" w:type="dxa"/>
                  <w:noWrap w:val="0"/>
                  <w:vAlign w:val="center"/>
                </w:tcPr>
                <w:p w14:paraId="1C01EF0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80</w:t>
                  </w:r>
                </w:p>
              </w:tc>
              <w:tc>
                <w:tcPr>
                  <w:tcW w:w="1138" w:type="dxa"/>
                  <w:noWrap w:val="0"/>
                  <w:vAlign w:val="center"/>
                </w:tcPr>
                <w:p w14:paraId="5728176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eastAsia" w:cs="Times New Roman"/>
                      <w:b w:val="0"/>
                      <w:bCs w:val="0"/>
                      <w:color w:val="auto"/>
                      <w:sz w:val="18"/>
                      <w:szCs w:val="18"/>
                      <w:lang w:val="en-US" w:eastAsia="zh-CN"/>
                    </w:rPr>
                    <w:t>地表水</w:t>
                  </w:r>
                </w:p>
              </w:tc>
              <w:tc>
                <w:tcPr>
                  <w:tcW w:w="1216" w:type="dxa"/>
                  <w:noWrap w:val="0"/>
                  <w:vAlign w:val="center"/>
                </w:tcPr>
                <w:p w14:paraId="380BA19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val="0"/>
                      <w:bCs w:val="0"/>
                      <w:color w:val="auto"/>
                      <w:sz w:val="18"/>
                      <w:szCs w:val="18"/>
                      <w:lang w:val="en-US" w:eastAsia="zh-CN"/>
                    </w:rPr>
                  </w:pPr>
                  <w:r>
                    <w:rPr>
                      <w:rFonts w:hint="default" w:ascii="Times New Roman" w:hAnsi="Times New Roman" w:eastAsia="宋体" w:cs="Times New Roman"/>
                      <w:b w:val="0"/>
                      <w:bCs w:val="0"/>
                      <w:color w:val="auto"/>
                      <w:sz w:val="18"/>
                      <w:szCs w:val="18"/>
                      <w:lang w:val="en-US" w:eastAsia="zh-CN"/>
                    </w:rPr>
                    <w:t>《地表水环境质量标准》（GB3838-2002）Ⅲ类标准</w:t>
                  </w:r>
                </w:p>
              </w:tc>
            </w:tr>
          </w:tbl>
          <w:p w14:paraId="3A480E17">
            <w:pPr>
              <w:pStyle w:val="2"/>
              <w:spacing w:line="360" w:lineRule="auto"/>
              <w:outlineLvl w:val="9"/>
              <w:rPr>
                <w:rFonts w:hint="default"/>
                <w:color w:val="auto"/>
              </w:rPr>
            </w:pPr>
            <w:r>
              <w:rPr>
                <w:rFonts w:hint="default"/>
                <w:color w:val="auto"/>
              </w:rPr>
              <w:t>根据现场调查，项目用地范围及评价区域内不涉及自然保护区、风景名胜区、世界文化和自然遗产地、饮用水水源保护区等生态环境保护目标。</w:t>
            </w:r>
          </w:p>
          <w:p w14:paraId="63ACB6CB">
            <w:pPr>
              <w:pStyle w:val="2"/>
              <w:outlineLvl w:val="9"/>
              <w:rPr>
                <w:rFonts w:hint="default"/>
                <w:color w:val="auto"/>
              </w:rPr>
            </w:pPr>
          </w:p>
          <w:p w14:paraId="7CA2DF40">
            <w:pPr>
              <w:pStyle w:val="2"/>
              <w:ind w:left="0" w:leftChars="0" w:firstLine="0" w:firstLineChars="0"/>
              <w:outlineLvl w:val="9"/>
              <w:rPr>
                <w:rFonts w:hint="default"/>
                <w:color w:val="auto"/>
              </w:rPr>
            </w:pPr>
          </w:p>
          <w:p w14:paraId="338C5051">
            <w:pPr>
              <w:pStyle w:val="2"/>
              <w:outlineLvl w:val="9"/>
              <w:rPr>
                <w:rFonts w:hint="default"/>
                <w:color w:val="auto"/>
              </w:rPr>
            </w:pPr>
          </w:p>
        </w:tc>
      </w:tr>
      <w:tr w14:paraId="534428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719" w:type="dxa"/>
            <w:noWrap w:val="0"/>
            <w:tcMar>
              <w:left w:w="28" w:type="dxa"/>
              <w:right w:w="28" w:type="dxa"/>
            </w:tcMar>
            <w:vAlign w:val="center"/>
          </w:tcPr>
          <w:p w14:paraId="0D30743F">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污染</w:t>
            </w:r>
          </w:p>
          <w:p w14:paraId="2D63C648">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物排</w:t>
            </w:r>
          </w:p>
          <w:p w14:paraId="33B48ADA">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放控</w:t>
            </w:r>
          </w:p>
          <w:p w14:paraId="5BBEE70C">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制标</w:t>
            </w:r>
          </w:p>
          <w:p w14:paraId="7125F212">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准</w:t>
            </w:r>
          </w:p>
        </w:tc>
        <w:tc>
          <w:tcPr>
            <w:tcW w:w="8271" w:type="dxa"/>
            <w:noWrap w:val="0"/>
            <w:vAlign w:val="center"/>
          </w:tcPr>
          <w:p w14:paraId="2468D708">
            <w:pPr>
              <w:pStyle w:val="2"/>
              <w:spacing w:line="360" w:lineRule="auto"/>
              <w:ind w:left="0" w:leftChars="0" w:firstLine="0" w:firstLineChars="0"/>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1、废气污染物排放标准</w:t>
            </w:r>
          </w:p>
          <w:p w14:paraId="1DD6A3F1">
            <w:pPr>
              <w:pStyle w:val="2"/>
              <w:adjustRightInd w:val="0"/>
              <w:snapToGrid w:val="0"/>
              <w:spacing w:line="360" w:lineRule="auto"/>
              <w:ind w:firstLine="48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（1）</w:t>
            </w:r>
            <w:r>
              <w:rPr>
                <w:rFonts w:hint="default" w:ascii="Times New Roman" w:hAnsi="Times New Roman" w:eastAsia="宋体" w:cs="Times New Roman"/>
                <w:color w:val="auto"/>
                <w:sz w:val="21"/>
                <w:szCs w:val="21"/>
              </w:rPr>
              <w:t>施工期无组织粉尘执行《大气污染物综合排放标准》（GB16297-1996）表2中的无组织排放监控浓度限值，具体标准值摘录分别见表3-</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所示。</w:t>
            </w:r>
          </w:p>
          <w:p w14:paraId="262F8777">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表3-</w:t>
            </w:r>
            <w:r>
              <w:rPr>
                <w:rFonts w:hint="default" w:ascii="Times New Roman" w:hAnsi="Times New Roman" w:eastAsia="宋体" w:cs="Times New Roman"/>
                <w:b/>
                <w:color w:val="auto"/>
                <w:sz w:val="18"/>
                <w:szCs w:val="18"/>
                <w:lang w:val="en-US" w:eastAsia="zh-CN"/>
              </w:rPr>
              <w:t xml:space="preserve">3  </w:t>
            </w:r>
            <w:r>
              <w:rPr>
                <w:rFonts w:hint="default" w:ascii="Times New Roman" w:hAnsi="Times New Roman" w:eastAsia="宋体" w:cs="Times New Roman"/>
                <w:b/>
                <w:color w:val="auto"/>
                <w:sz w:val="18"/>
                <w:szCs w:val="18"/>
              </w:rPr>
              <w:t>大气污染物综合排放标准（摘录）</w:t>
            </w:r>
          </w:p>
          <w:tbl>
            <w:tblPr>
              <w:tblStyle w:val="20"/>
              <w:tblW w:w="4999" w:type="pct"/>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987"/>
              <w:gridCol w:w="2742"/>
              <w:gridCol w:w="3309"/>
            </w:tblGrid>
            <w:tr w14:paraId="7CF6FDA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36" w:type="pct"/>
                  <w:vMerge w:val="restart"/>
                  <w:tcBorders>
                    <w:top w:val="single" w:color="auto" w:sz="6" w:space="0"/>
                    <w:left w:val="single" w:color="auto" w:sz="6" w:space="0"/>
                    <w:bottom w:val="single" w:color="auto" w:sz="4" w:space="0"/>
                    <w:right w:val="single" w:color="auto" w:sz="4" w:space="0"/>
                  </w:tcBorders>
                  <w:noWrap w:val="0"/>
                  <w:vAlign w:val="center"/>
                </w:tcPr>
                <w:p w14:paraId="417D1D8F">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w:t>
                  </w:r>
                </w:p>
              </w:tc>
              <w:tc>
                <w:tcPr>
                  <w:tcW w:w="3763" w:type="pct"/>
                  <w:gridSpan w:val="2"/>
                  <w:tcBorders>
                    <w:top w:val="single" w:color="auto" w:sz="6" w:space="0"/>
                    <w:left w:val="single" w:color="auto" w:sz="4" w:space="0"/>
                    <w:bottom w:val="single" w:color="auto" w:sz="4" w:space="0"/>
                    <w:right w:val="single" w:color="auto" w:sz="6" w:space="0"/>
                  </w:tcBorders>
                  <w:noWrap w:val="0"/>
                  <w:vAlign w:val="center"/>
                </w:tcPr>
                <w:p w14:paraId="7543D2A6">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无组织排放监控浓度限值</w:t>
                  </w:r>
                </w:p>
              </w:tc>
            </w:tr>
            <w:tr w14:paraId="4D2202E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36" w:type="pct"/>
                  <w:vMerge w:val="continue"/>
                  <w:tcBorders>
                    <w:top w:val="single" w:color="auto" w:sz="6" w:space="0"/>
                    <w:left w:val="single" w:color="auto" w:sz="6" w:space="0"/>
                    <w:bottom w:val="single" w:color="auto" w:sz="4" w:space="0"/>
                    <w:right w:val="single" w:color="auto" w:sz="4" w:space="0"/>
                  </w:tcBorders>
                  <w:noWrap w:val="0"/>
                  <w:vAlign w:val="center"/>
                </w:tcPr>
                <w:p w14:paraId="0279D87C">
                  <w:pPr>
                    <w:keepNext w:val="0"/>
                    <w:keepLines w:val="0"/>
                    <w:pageBreakBefore w:val="0"/>
                    <w:widowControl/>
                    <w:kinsoku/>
                    <w:wordWrap/>
                    <w:overflowPunct/>
                    <w:topLinePunct w:val="0"/>
                    <w:autoSpaceDE/>
                    <w:autoSpaceDN/>
                    <w:bidi w:val="0"/>
                    <w:adjustRightInd w:val="0"/>
                    <w:snapToGrid w:val="0"/>
                    <w:spacing w:line="360" w:lineRule="exact"/>
                    <w:jc w:val="left"/>
                    <w:textAlignment w:val="auto"/>
                    <w:outlineLvl w:val="9"/>
                    <w:rPr>
                      <w:rFonts w:hint="default" w:ascii="Times New Roman" w:hAnsi="Times New Roman" w:eastAsia="宋体" w:cs="Times New Roman"/>
                      <w:b/>
                      <w:bCs/>
                      <w:color w:val="auto"/>
                      <w:sz w:val="18"/>
                      <w:szCs w:val="18"/>
                    </w:rPr>
                  </w:pPr>
                </w:p>
              </w:tc>
              <w:tc>
                <w:tcPr>
                  <w:tcW w:w="1705" w:type="pct"/>
                  <w:tcBorders>
                    <w:top w:val="single" w:color="auto" w:sz="4" w:space="0"/>
                    <w:left w:val="single" w:color="auto" w:sz="4" w:space="0"/>
                    <w:bottom w:val="single" w:color="auto" w:sz="4" w:space="0"/>
                    <w:right w:val="single" w:color="auto" w:sz="4" w:space="0"/>
                  </w:tcBorders>
                  <w:noWrap w:val="0"/>
                  <w:vAlign w:val="center"/>
                </w:tcPr>
                <w:p w14:paraId="5FD87C9F">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监控点</w:t>
                  </w:r>
                </w:p>
              </w:tc>
              <w:tc>
                <w:tcPr>
                  <w:tcW w:w="2058" w:type="pct"/>
                  <w:tcBorders>
                    <w:top w:val="single" w:color="auto" w:sz="4" w:space="0"/>
                    <w:left w:val="single" w:color="auto" w:sz="4" w:space="0"/>
                    <w:bottom w:val="single" w:color="auto" w:sz="4" w:space="0"/>
                    <w:right w:val="single" w:color="auto" w:sz="6" w:space="0"/>
                  </w:tcBorders>
                  <w:noWrap w:val="0"/>
                  <w:vAlign w:val="center"/>
                </w:tcPr>
                <w:p w14:paraId="36C749B6">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浓度(mg/m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w:t>
                  </w:r>
                </w:p>
              </w:tc>
            </w:tr>
            <w:tr w14:paraId="15833E8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36" w:type="pct"/>
                  <w:tcBorders>
                    <w:top w:val="single" w:color="auto" w:sz="4" w:space="0"/>
                    <w:left w:val="single" w:color="auto" w:sz="6" w:space="0"/>
                    <w:bottom w:val="single" w:color="auto" w:sz="4" w:space="0"/>
                    <w:right w:val="single" w:color="auto" w:sz="4" w:space="0"/>
                  </w:tcBorders>
                  <w:noWrap w:val="0"/>
                  <w:vAlign w:val="center"/>
                </w:tcPr>
                <w:p w14:paraId="35DDFE1F">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颗粒物</w:t>
                  </w:r>
                </w:p>
              </w:tc>
              <w:tc>
                <w:tcPr>
                  <w:tcW w:w="1705" w:type="pct"/>
                  <w:tcBorders>
                    <w:top w:val="single" w:color="auto" w:sz="4" w:space="0"/>
                    <w:left w:val="single" w:color="auto" w:sz="4" w:space="0"/>
                    <w:bottom w:val="single" w:color="auto" w:sz="4" w:space="0"/>
                    <w:right w:val="single" w:color="auto" w:sz="4" w:space="0"/>
                  </w:tcBorders>
                  <w:noWrap w:val="0"/>
                  <w:vAlign w:val="center"/>
                </w:tcPr>
                <w:p w14:paraId="0E782E2B">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周界外浓度最高点</w:t>
                  </w:r>
                </w:p>
              </w:tc>
              <w:tc>
                <w:tcPr>
                  <w:tcW w:w="2058" w:type="pct"/>
                  <w:tcBorders>
                    <w:top w:val="single" w:color="auto" w:sz="4" w:space="0"/>
                    <w:left w:val="single" w:color="auto" w:sz="4" w:space="0"/>
                    <w:bottom w:val="single" w:color="auto" w:sz="4" w:space="0"/>
                    <w:right w:val="single" w:color="auto" w:sz="6" w:space="0"/>
                  </w:tcBorders>
                  <w:noWrap w:val="0"/>
                  <w:vAlign w:val="center"/>
                </w:tcPr>
                <w:p w14:paraId="36F8A538">
                  <w:pPr>
                    <w:keepNext w:val="0"/>
                    <w:keepLines w:val="0"/>
                    <w:pageBreakBefore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w:t>
                  </w:r>
                </w:p>
              </w:tc>
            </w:tr>
          </w:tbl>
          <w:p w14:paraId="51DFC1C7">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rPr>
            </w:pPr>
            <w:r>
              <w:rPr>
                <w:rFonts w:hint="eastAsia" w:cs="Times New Roman"/>
                <w:b w:val="0"/>
                <w:bCs w:val="0"/>
                <w:color w:val="auto"/>
                <w:sz w:val="21"/>
                <w:szCs w:val="21"/>
                <w:lang w:eastAsia="zh-CN"/>
              </w:rPr>
              <w:t>（</w:t>
            </w:r>
            <w:r>
              <w:rPr>
                <w:rFonts w:hint="default"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lang w:eastAsia="zh-CN"/>
              </w:rPr>
              <w:t>）</w:t>
            </w:r>
            <w:r>
              <w:rPr>
                <w:rFonts w:hint="default" w:ascii="Times New Roman" w:hAnsi="Times New Roman" w:eastAsia="宋体" w:cs="Times New Roman"/>
                <w:color w:val="auto"/>
              </w:rPr>
              <w:t>本项目运营期产生的实验废气具体如下：产生的无机废气</w:t>
            </w:r>
            <w:r>
              <w:rPr>
                <w:rFonts w:hint="eastAsia" w:cs="Times New Roman"/>
                <w:color w:val="auto"/>
                <w:lang w:eastAsia="zh-CN"/>
              </w:rPr>
              <w:t>（</w:t>
            </w:r>
            <w:r>
              <w:rPr>
                <w:rFonts w:hint="eastAsia" w:cs="Times New Roman"/>
                <w:color w:val="auto"/>
                <w:lang w:val="en-US" w:eastAsia="zh-CN"/>
              </w:rPr>
              <w:t>硫酸雾、氮氧化物、氯化氢、氨</w:t>
            </w:r>
            <w:r>
              <w:rPr>
                <w:rFonts w:hint="eastAsia" w:cs="Times New Roman"/>
                <w:color w:val="auto"/>
                <w:lang w:eastAsia="zh-CN"/>
              </w:rPr>
              <w:t>）</w:t>
            </w:r>
            <w:r>
              <w:rPr>
                <w:rFonts w:hint="default" w:ascii="Times New Roman" w:hAnsi="Times New Roman" w:eastAsia="宋体" w:cs="Times New Roman"/>
                <w:color w:val="auto"/>
              </w:rPr>
              <w:t>经通风橱及集气罩收集后经风管引至</w:t>
            </w:r>
            <w:r>
              <w:rPr>
                <w:rFonts w:hint="eastAsia" w:cs="Times New Roman"/>
                <w:color w:val="auto"/>
                <w:lang w:val="en-US" w:eastAsia="zh-CN"/>
              </w:rPr>
              <w:t>碱液喷淋装置</w:t>
            </w:r>
            <w:r>
              <w:rPr>
                <w:rFonts w:hint="default" w:ascii="Times New Roman" w:hAnsi="Times New Roman" w:eastAsia="宋体" w:cs="Times New Roman"/>
                <w:color w:val="auto"/>
              </w:rPr>
              <w:t>处理后经DA001号排气筒排放，排放高度约为</w:t>
            </w:r>
            <w:r>
              <w:rPr>
                <w:rFonts w:hint="default" w:ascii="Times New Roman" w:hAnsi="Times New Roman" w:eastAsia="宋体" w:cs="Times New Roman"/>
                <w:color w:val="auto"/>
                <w:lang w:val="en-US"/>
              </w:rPr>
              <w:t>15</w:t>
            </w:r>
            <w:r>
              <w:rPr>
                <w:rFonts w:hint="default" w:ascii="Times New Roman" w:hAnsi="Times New Roman" w:eastAsia="宋体" w:cs="Times New Roman"/>
                <w:color w:val="auto"/>
              </w:rPr>
              <w:t>m。产生的挥发性有机废气（以非甲烷总烃</w:t>
            </w:r>
            <w:r>
              <w:rPr>
                <w:rFonts w:hint="eastAsia" w:cs="Times New Roman"/>
                <w:color w:val="auto"/>
                <w:lang w:eastAsia="zh-CN"/>
              </w:rPr>
              <w:t>、</w:t>
            </w:r>
            <w:r>
              <w:rPr>
                <w:rFonts w:hint="eastAsia" w:cs="Times New Roman"/>
                <w:color w:val="auto"/>
                <w:lang w:val="en-US" w:eastAsia="zh-CN"/>
              </w:rPr>
              <w:t>甲醛、甲醇</w:t>
            </w:r>
            <w:r>
              <w:rPr>
                <w:rFonts w:hint="default" w:ascii="Times New Roman" w:hAnsi="Times New Roman" w:eastAsia="宋体" w:cs="Times New Roman"/>
                <w:color w:val="auto"/>
              </w:rPr>
              <w:t>表征），经通风橱及集气罩收集后经风管引至三级活性炭吸附装置净化处理后经DA00</w:t>
            </w:r>
            <w:r>
              <w:rPr>
                <w:rFonts w:hint="eastAsia" w:cs="Times New Roman"/>
                <w:color w:val="auto"/>
                <w:lang w:val="en-US" w:eastAsia="zh-CN"/>
              </w:rPr>
              <w:t>1</w:t>
            </w:r>
            <w:r>
              <w:rPr>
                <w:rFonts w:hint="default" w:ascii="Times New Roman" w:hAnsi="Times New Roman" w:eastAsia="宋体" w:cs="Times New Roman"/>
                <w:color w:val="auto"/>
              </w:rPr>
              <w:t>号排气筒排放，排放高度约为</w:t>
            </w:r>
            <w:r>
              <w:rPr>
                <w:rFonts w:hint="default" w:ascii="Times New Roman" w:hAnsi="Times New Roman" w:eastAsia="宋体" w:cs="Times New Roman"/>
                <w:color w:val="auto"/>
                <w:lang w:val="en-US"/>
              </w:rPr>
              <w:t>15</w:t>
            </w:r>
            <w:r>
              <w:rPr>
                <w:rFonts w:hint="default" w:ascii="Times New Roman" w:hAnsi="Times New Roman" w:eastAsia="宋体" w:cs="Times New Roman"/>
                <w:color w:val="auto"/>
              </w:rPr>
              <w:t>m。项目排气筒满足新污染源排气筒一般不应低于15m的要求，</w:t>
            </w:r>
            <w:r>
              <w:rPr>
                <w:rFonts w:hint="eastAsia" w:cs="Times New Roman"/>
                <w:color w:val="auto"/>
                <w:lang w:val="en-US" w:eastAsia="zh-CN"/>
              </w:rPr>
              <w:t>但是项目周边200米内有已建的超高层建筑，本项目的排气筒无法满足</w:t>
            </w:r>
            <w:r>
              <w:rPr>
                <w:rFonts w:hint="default" w:ascii="Times New Roman" w:hAnsi="Times New Roman" w:eastAsia="宋体" w:cs="Times New Roman"/>
                <w:color w:val="auto"/>
              </w:rPr>
              <w:t>高于200m范围内建筑5m的要求</w:t>
            </w:r>
            <w:r>
              <w:rPr>
                <w:rFonts w:hint="default" w:ascii="Times New Roman" w:hAnsi="Times New Roman" w:eastAsia="宋体" w:cs="Times New Roman"/>
                <w:color w:val="auto"/>
                <w:lang w:eastAsia="zh-CN"/>
              </w:rPr>
              <w:t>，</w:t>
            </w:r>
            <w:r>
              <w:rPr>
                <w:rFonts w:hint="eastAsia" w:cs="Times New Roman"/>
                <w:color w:val="auto"/>
                <w:lang w:val="en-US" w:eastAsia="zh-CN"/>
              </w:rPr>
              <w:t>因此</w:t>
            </w:r>
            <w:r>
              <w:rPr>
                <w:rFonts w:hint="default" w:ascii="Times New Roman" w:hAnsi="Times New Roman" w:eastAsia="宋体" w:cs="Times New Roman"/>
                <w:color w:val="auto"/>
                <w:lang w:eastAsia="zh-CN"/>
              </w:rPr>
              <w:t>排放速率执行严</w:t>
            </w:r>
            <w:r>
              <w:rPr>
                <w:rFonts w:hint="default" w:ascii="Times New Roman" w:hAnsi="Times New Roman" w:eastAsia="宋体" w:cs="Times New Roman"/>
                <w:color w:val="auto"/>
                <w:lang w:val="en-US" w:eastAsia="zh-CN"/>
              </w:rPr>
              <w:t>50%标准</w:t>
            </w:r>
            <w:r>
              <w:rPr>
                <w:rFonts w:hint="default" w:ascii="Times New Roman" w:hAnsi="Times New Roman" w:eastAsia="宋体" w:cs="Times New Roman"/>
                <w:color w:val="auto"/>
              </w:rPr>
              <w:t>。</w:t>
            </w:r>
          </w:p>
          <w:p w14:paraId="03AE91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本项目</w:t>
            </w:r>
            <w:r>
              <w:rPr>
                <w:rFonts w:hint="default" w:ascii="Times New Roman" w:hAnsi="Times New Roman" w:eastAsia="宋体" w:cs="Times New Roman"/>
                <w:color w:val="auto"/>
                <w:sz w:val="21"/>
                <w:szCs w:val="21"/>
              </w:rPr>
              <w:t>非甲烷总烃、甲醇、甲醛、氯化氢、硫酸雾、氮氧化物执行《大气污染物综合排放标准》（GB16297-1996）表2新污染源大气污染物二级排放限值；氨执行《恶臭污染物排放标准》(GB14554-1993)表2标准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rPr>
              <w:t>大气污染物排放标准值详见下表。</w:t>
            </w:r>
          </w:p>
          <w:p w14:paraId="5AF1B79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表3-</w:t>
            </w:r>
            <w:r>
              <w:rPr>
                <w:rFonts w:hint="default" w:ascii="Times New Roman" w:hAnsi="Times New Roman" w:eastAsia="宋体" w:cs="Times New Roman"/>
                <w:b/>
                <w:bCs/>
                <w:color w:val="auto"/>
                <w:sz w:val="18"/>
                <w:szCs w:val="18"/>
                <w:lang w:val="en-US" w:eastAsia="zh-CN"/>
              </w:rPr>
              <w:t>4</w:t>
            </w:r>
            <w:r>
              <w:rPr>
                <w:rFonts w:hint="default" w:ascii="Times New Roman" w:hAnsi="Times New Roman" w:eastAsia="宋体" w:cs="Times New Roman"/>
                <w:b/>
                <w:bCs/>
                <w:color w:val="auto"/>
                <w:sz w:val="18"/>
                <w:szCs w:val="18"/>
              </w:rPr>
              <w:t xml:space="preserve">  </w:t>
            </w:r>
            <w:r>
              <w:rPr>
                <w:rFonts w:hint="eastAsia" w:cs="Times New Roman"/>
                <w:b/>
                <w:bCs/>
                <w:color w:val="auto"/>
                <w:sz w:val="18"/>
                <w:szCs w:val="18"/>
                <w:lang w:val="en-US" w:eastAsia="zh-CN"/>
              </w:rPr>
              <w:t>大气</w:t>
            </w:r>
            <w:r>
              <w:rPr>
                <w:rFonts w:hint="default" w:ascii="Times New Roman" w:hAnsi="Times New Roman" w:eastAsia="宋体" w:cs="Times New Roman"/>
                <w:b/>
                <w:bCs/>
                <w:color w:val="auto"/>
                <w:sz w:val="18"/>
                <w:szCs w:val="18"/>
              </w:rPr>
              <w:t>污染物综合排放标准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318"/>
              <w:gridCol w:w="1456"/>
              <w:gridCol w:w="1212"/>
              <w:gridCol w:w="1297"/>
              <w:gridCol w:w="552"/>
              <w:gridCol w:w="846"/>
            </w:tblGrid>
            <w:tr w14:paraId="0B71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7" w:type="pct"/>
                  <w:vMerge w:val="restart"/>
                  <w:noWrap w:val="0"/>
                  <w:vAlign w:val="center"/>
                </w:tcPr>
                <w:p w14:paraId="63CE7E4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w:t>
                  </w:r>
                </w:p>
              </w:tc>
              <w:tc>
                <w:tcPr>
                  <w:tcW w:w="819" w:type="pct"/>
                  <w:vMerge w:val="restart"/>
                  <w:noWrap w:val="0"/>
                  <w:vAlign w:val="center"/>
                </w:tcPr>
                <w:p w14:paraId="0865BBA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最高允许排放浓度（mg/m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w:t>
                  </w:r>
                </w:p>
              </w:tc>
              <w:tc>
                <w:tcPr>
                  <w:tcW w:w="2464" w:type="pct"/>
                  <w:gridSpan w:val="3"/>
                  <w:noWrap w:val="0"/>
                  <w:vAlign w:val="center"/>
                </w:tcPr>
                <w:p w14:paraId="6D658D0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与排气筒高度对应的大气污染物最高允许排放速率（kg/h）</w:t>
                  </w:r>
                </w:p>
              </w:tc>
              <w:tc>
                <w:tcPr>
                  <w:tcW w:w="868" w:type="pct"/>
                  <w:gridSpan w:val="2"/>
                  <w:vMerge w:val="restart"/>
                  <w:noWrap w:val="0"/>
                  <w:vAlign w:val="center"/>
                </w:tcPr>
                <w:p w14:paraId="702D10F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无组织排放监控浓度限值（mg/m</w:t>
                  </w:r>
                  <w:r>
                    <w:rPr>
                      <w:rFonts w:hint="default" w:ascii="Times New Roman" w:hAnsi="Times New Roman" w:eastAsia="宋体" w:cs="Times New Roman"/>
                      <w:b/>
                      <w:bCs/>
                      <w:color w:val="auto"/>
                      <w:sz w:val="18"/>
                      <w:szCs w:val="18"/>
                      <w:vertAlign w:val="superscript"/>
                    </w:rPr>
                    <w:t>3</w:t>
                  </w:r>
                  <w:r>
                    <w:rPr>
                      <w:rFonts w:hint="default" w:ascii="Times New Roman" w:hAnsi="Times New Roman" w:eastAsia="宋体" w:cs="Times New Roman"/>
                      <w:b/>
                      <w:bCs/>
                      <w:color w:val="auto"/>
                      <w:sz w:val="18"/>
                      <w:szCs w:val="18"/>
                    </w:rPr>
                    <w:t>）</w:t>
                  </w:r>
                </w:p>
              </w:tc>
            </w:tr>
            <w:tr w14:paraId="3B56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7" w:type="pct"/>
                  <w:vMerge w:val="continue"/>
                  <w:noWrap w:val="0"/>
                  <w:vAlign w:val="center"/>
                </w:tcPr>
                <w:p w14:paraId="2AE0A1B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p>
              </w:tc>
              <w:tc>
                <w:tcPr>
                  <w:tcW w:w="819" w:type="pct"/>
                  <w:vMerge w:val="continue"/>
                  <w:noWrap w:val="0"/>
                  <w:vAlign w:val="center"/>
                </w:tcPr>
                <w:p w14:paraId="68C248B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p>
              </w:tc>
              <w:tc>
                <w:tcPr>
                  <w:tcW w:w="904" w:type="pct"/>
                  <w:vMerge w:val="restart"/>
                  <w:noWrap w:val="0"/>
                  <w:vAlign w:val="center"/>
                </w:tcPr>
                <w:p w14:paraId="2B0C976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排气筒距地面高度（m）</w:t>
                  </w:r>
                </w:p>
              </w:tc>
              <w:tc>
                <w:tcPr>
                  <w:tcW w:w="1559" w:type="pct"/>
                  <w:gridSpan w:val="2"/>
                  <w:noWrap w:val="0"/>
                  <w:vAlign w:val="center"/>
                </w:tcPr>
                <w:p w14:paraId="6838CE7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排放速率</w:t>
                  </w:r>
                </w:p>
              </w:tc>
              <w:tc>
                <w:tcPr>
                  <w:tcW w:w="868" w:type="pct"/>
                  <w:gridSpan w:val="2"/>
                  <w:vMerge w:val="continue"/>
                  <w:noWrap w:val="0"/>
                  <w:vAlign w:val="center"/>
                </w:tcPr>
                <w:p w14:paraId="646C063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p>
              </w:tc>
            </w:tr>
            <w:tr w14:paraId="58BCF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7" w:type="pct"/>
                  <w:vMerge w:val="continue"/>
                  <w:noWrap w:val="0"/>
                  <w:vAlign w:val="center"/>
                </w:tcPr>
                <w:p w14:paraId="19C1DC2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p>
              </w:tc>
              <w:tc>
                <w:tcPr>
                  <w:tcW w:w="819" w:type="pct"/>
                  <w:vMerge w:val="continue"/>
                  <w:noWrap w:val="0"/>
                  <w:vAlign w:val="center"/>
                </w:tcPr>
                <w:p w14:paraId="3723F07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p>
              </w:tc>
              <w:tc>
                <w:tcPr>
                  <w:tcW w:w="904" w:type="pct"/>
                  <w:vMerge w:val="continue"/>
                  <w:noWrap w:val="0"/>
                  <w:vAlign w:val="center"/>
                </w:tcPr>
                <w:p w14:paraId="29BD3D8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p>
              </w:tc>
              <w:tc>
                <w:tcPr>
                  <w:tcW w:w="753" w:type="pct"/>
                  <w:noWrap w:val="0"/>
                  <w:vAlign w:val="center"/>
                </w:tcPr>
                <w:p w14:paraId="624B99B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二级最高允</w:t>
                  </w:r>
                </w:p>
                <w:p w14:paraId="6BCA571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eastAsia="zh-CN"/>
                    </w:rPr>
                  </w:pPr>
                  <w:r>
                    <w:rPr>
                      <w:rFonts w:hint="default" w:ascii="Times New Roman" w:hAnsi="Times New Roman" w:eastAsia="宋体" w:cs="Times New Roman"/>
                      <w:b/>
                      <w:bCs/>
                      <w:color w:val="auto"/>
                      <w:sz w:val="18"/>
                      <w:szCs w:val="18"/>
                      <w:lang w:eastAsia="zh-CN"/>
                    </w:rPr>
                    <w:t>许排放速率</w:t>
                  </w:r>
                </w:p>
              </w:tc>
              <w:tc>
                <w:tcPr>
                  <w:tcW w:w="806" w:type="pct"/>
                  <w:noWrap w:val="0"/>
                  <w:vAlign w:val="center"/>
                </w:tcPr>
                <w:p w14:paraId="6F46114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严格50%排放速率</w:t>
                  </w:r>
                </w:p>
              </w:tc>
              <w:tc>
                <w:tcPr>
                  <w:tcW w:w="868" w:type="pct"/>
                  <w:gridSpan w:val="2"/>
                  <w:vMerge w:val="continue"/>
                  <w:noWrap w:val="0"/>
                  <w:vAlign w:val="center"/>
                </w:tcPr>
                <w:p w14:paraId="04128FB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p>
              </w:tc>
            </w:tr>
            <w:tr w14:paraId="18E3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7" w:type="pct"/>
                  <w:noWrap w:val="0"/>
                  <w:vAlign w:val="center"/>
                </w:tcPr>
                <w:p w14:paraId="7F087FB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硫酸雾</w:t>
                  </w:r>
                </w:p>
              </w:tc>
              <w:tc>
                <w:tcPr>
                  <w:tcW w:w="819" w:type="pct"/>
                  <w:noWrap w:val="0"/>
                  <w:vAlign w:val="center"/>
                </w:tcPr>
                <w:p w14:paraId="3F05F55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45</w:t>
                  </w:r>
                </w:p>
              </w:tc>
              <w:tc>
                <w:tcPr>
                  <w:tcW w:w="904" w:type="pct"/>
                  <w:noWrap w:val="0"/>
                  <w:vAlign w:val="center"/>
                </w:tcPr>
                <w:p w14:paraId="6A4D120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15</w:t>
                  </w:r>
                </w:p>
              </w:tc>
              <w:tc>
                <w:tcPr>
                  <w:tcW w:w="753" w:type="pct"/>
                  <w:noWrap w:val="0"/>
                  <w:vAlign w:val="center"/>
                </w:tcPr>
                <w:p w14:paraId="6AACB3B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1.5</w:t>
                  </w:r>
                </w:p>
              </w:tc>
              <w:tc>
                <w:tcPr>
                  <w:tcW w:w="806" w:type="pct"/>
                  <w:noWrap w:val="0"/>
                  <w:vAlign w:val="center"/>
                </w:tcPr>
                <w:p w14:paraId="6E9AC96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0.75</w:t>
                  </w:r>
                </w:p>
              </w:tc>
              <w:tc>
                <w:tcPr>
                  <w:tcW w:w="343" w:type="pct"/>
                  <w:vMerge w:val="restart"/>
                  <w:noWrap w:val="0"/>
                  <w:vAlign w:val="center"/>
                </w:tcPr>
                <w:p w14:paraId="495CA9A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监控点</w:t>
                  </w:r>
                </w:p>
              </w:tc>
              <w:tc>
                <w:tcPr>
                  <w:tcW w:w="525" w:type="pct"/>
                  <w:noWrap w:val="0"/>
                  <w:vAlign w:val="center"/>
                </w:tcPr>
                <w:p w14:paraId="7988CFC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w:t>
                  </w:r>
                </w:p>
              </w:tc>
            </w:tr>
            <w:tr w14:paraId="3689F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7" w:type="pct"/>
                  <w:noWrap w:val="0"/>
                  <w:vAlign w:val="center"/>
                </w:tcPr>
                <w:p w14:paraId="2EA7397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NOx</w:t>
                  </w:r>
                </w:p>
              </w:tc>
              <w:tc>
                <w:tcPr>
                  <w:tcW w:w="819" w:type="pct"/>
                  <w:noWrap w:val="0"/>
                  <w:vAlign w:val="center"/>
                </w:tcPr>
                <w:p w14:paraId="54A0A8D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240</w:t>
                  </w:r>
                </w:p>
              </w:tc>
              <w:tc>
                <w:tcPr>
                  <w:tcW w:w="904" w:type="pct"/>
                  <w:noWrap w:val="0"/>
                  <w:vAlign w:val="center"/>
                </w:tcPr>
                <w:p w14:paraId="14CFDD9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15</w:t>
                  </w:r>
                </w:p>
              </w:tc>
              <w:tc>
                <w:tcPr>
                  <w:tcW w:w="753" w:type="pct"/>
                  <w:noWrap w:val="0"/>
                  <w:vAlign w:val="center"/>
                </w:tcPr>
                <w:p w14:paraId="58338A0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0.77</w:t>
                  </w:r>
                </w:p>
              </w:tc>
              <w:tc>
                <w:tcPr>
                  <w:tcW w:w="806" w:type="pct"/>
                  <w:noWrap w:val="0"/>
                  <w:vAlign w:val="center"/>
                </w:tcPr>
                <w:p w14:paraId="549EDB1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0.385</w:t>
                  </w:r>
                </w:p>
              </w:tc>
              <w:tc>
                <w:tcPr>
                  <w:tcW w:w="343" w:type="pct"/>
                  <w:vMerge w:val="continue"/>
                  <w:noWrap w:val="0"/>
                  <w:vAlign w:val="center"/>
                </w:tcPr>
                <w:p w14:paraId="6473EFD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p>
              </w:tc>
              <w:tc>
                <w:tcPr>
                  <w:tcW w:w="525" w:type="pct"/>
                  <w:noWrap w:val="0"/>
                  <w:vAlign w:val="center"/>
                </w:tcPr>
                <w:p w14:paraId="6C3D458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0.12</w:t>
                  </w:r>
                </w:p>
              </w:tc>
            </w:tr>
            <w:tr w14:paraId="2C504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7" w:type="pct"/>
                  <w:noWrap w:val="0"/>
                  <w:vAlign w:val="center"/>
                </w:tcPr>
                <w:p w14:paraId="0AE9614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氯化氢</w:t>
                  </w:r>
                </w:p>
              </w:tc>
              <w:tc>
                <w:tcPr>
                  <w:tcW w:w="819" w:type="pct"/>
                  <w:noWrap w:val="0"/>
                  <w:vAlign w:val="center"/>
                </w:tcPr>
                <w:p w14:paraId="473A339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100</w:t>
                  </w:r>
                </w:p>
              </w:tc>
              <w:tc>
                <w:tcPr>
                  <w:tcW w:w="904" w:type="pct"/>
                  <w:noWrap w:val="0"/>
                  <w:vAlign w:val="center"/>
                </w:tcPr>
                <w:p w14:paraId="1876EF4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15</w:t>
                  </w:r>
                </w:p>
              </w:tc>
              <w:tc>
                <w:tcPr>
                  <w:tcW w:w="753" w:type="pct"/>
                  <w:noWrap w:val="0"/>
                  <w:vAlign w:val="center"/>
                </w:tcPr>
                <w:p w14:paraId="2444029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0.26</w:t>
                  </w:r>
                </w:p>
              </w:tc>
              <w:tc>
                <w:tcPr>
                  <w:tcW w:w="806" w:type="pct"/>
                  <w:noWrap w:val="0"/>
                  <w:vAlign w:val="center"/>
                </w:tcPr>
                <w:p w14:paraId="4D9A840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0.13</w:t>
                  </w:r>
                </w:p>
              </w:tc>
              <w:tc>
                <w:tcPr>
                  <w:tcW w:w="343" w:type="pct"/>
                  <w:vMerge w:val="continue"/>
                  <w:noWrap w:val="0"/>
                  <w:vAlign w:val="center"/>
                </w:tcPr>
                <w:p w14:paraId="4677D25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p>
              </w:tc>
              <w:tc>
                <w:tcPr>
                  <w:tcW w:w="525" w:type="pct"/>
                  <w:noWrap w:val="0"/>
                  <w:vAlign w:val="center"/>
                </w:tcPr>
                <w:p w14:paraId="6E50836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0.2</w:t>
                  </w:r>
                </w:p>
              </w:tc>
            </w:tr>
            <w:tr w14:paraId="66CE8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7" w:type="pct"/>
                  <w:noWrap w:val="0"/>
                  <w:vAlign w:val="center"/>
                </w:tcPr>
                <w:p w14:paraId="0E75640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非甲烷总烃</w:t>
                  </w:r>
                </w:p>
              </w:tc>
              <w:tc>
                <w:tcPr>
                  <w:tcW w:w="819" w:type="pct"/>
                  <w:noWrap w:val="0"/>
                  <w:vAlign w:val="center"/>
                </w:tcPr>
                <w:p w14:paraId="1E7F514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120</w:t>
                  </w:r>
                </w:p>
              </w:tc>
              <w:tc>
                <w:tcPr>
                  <w:tcW w:w="904" w:type="pct"/>
                  <w:noWrap w:val="0"/>
                  <w:vAlign w:val="center"/>
                </w:tcPr>
                <w:p w14:paraId="5F3AF4B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15</w:t>
                  </w:r>
                </w:p>
              </w:tc>
              <w:tc>
                <w:tcPr>
                  <w:tcW w:w="753" w:type="pct"/>
                  <w:noWrap w:val="0"/>
                  <w:vAlign w:val="center"/>
                </w:tcPr>
                <w:p w14:paraId="33AF25F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10</w:t>
                  </w:r>
                </w:p>
              </w:tc>
              <w:tc>
                <w:tcPr>
                  <w:tcW w:w="806" w:type="pct"/>
                  <w:noWrap w:val="0"/>
                  <w:vAlign w:val="center"/>
                </w:tcPr>
                <w:p w14:paraId="1E82228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5</w:t>
                  </w:r>
                </w:p>
              </w:tc>
              <w:tc>
                <w:tcPr>
                  <w:tcW w:w="343" w:type="pct"/>
                  <w:vMerge w:val="continue"/>
                  <w:noWrap w:val="0"/>
                  <w:vAlign w:val="center"/>
                </w:tcPr>
                <w:p w14:paraId="066FEDF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p>
              </w:tc>
              <w:tc>
                <w:tcPr>
                  <w:tcW w:w="525" w:type="pct"/>
                  <w:noWrap w:val="0"/>
                  <w:vAlign w:val="center"/>
                </w:tcPr>
                <w:p w14:paraId="0312C47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r>
            <w:tr w14:paraId="55EC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7" w:type="pct"/>
                  <w:noWrap w:val="0"/>
                  <w:vAlign w:val="center"/>
                </w:tcPr>
                <w:p w14:paraId="26EEB47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甲醇</w:t>
                  </w:r>
                </w:p>
              </w:tc>
              <w:tc>
                <w:tcPr>
                  <w:tcW w:w="819" w:type="pct"/>
                  <w:noWrap w:val="0"/>
                  <w:vAlign w:val="center"/>
                </w:tcPr>
                <w:p w14:paraId="5914480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190</w:t>
                  </w:r>
                </w:p>
              </w:tc>
              <w:tc>
                <w:tcPr>
                  <w:tcW w:w="904" w:type="pct"/>
                  <w:noWrap w:val="0"/>
                  <w:vAlign w:val="center"/>
                </w:tcPr>
                <w:p w14:paraId="1A5F6B0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15</w:t>
                  </w:r>
                </w:p>
              </w:tc>
              <w:tc>
                <w:tcPr>
                  <w:tcW w:w="753" w:type="pct"/>
                  <w:noWrap w:val="0"/>
                  <w:vAlign w:val="center"/>
                </w:tcPr>
                <w:p w14:paraId="50A3DDB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5.1</w:t>
                  </w:r>
                </w:p>
              </w:tc>
              <w:tc>
                <w:tcPr>
                  <w:tcW w:w="806" w:type="pct"/>
                  <w:noWrap w:val="0"/>
                  <w:vAlign w:val="center"/>
                </w:tcPr>
                <w:p w14:paraId="6E3676D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2.55</w:t>
                  </w:r>
                </w:p>
              </w:tc>
              <w:tc>
                <w:tcPr>
                  <w:tcW w:w="343" w:type="pct"/>
                  <w:vMerge w:val="continue"/>
                  <w:noWrap w:val="0"/>
                  <w:vAlign w:val="center"/>
                </w:tcPr>
                <w:p w14:paraId="4FDE323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p>
              </w:tc>
              <w:tc>
                <w:tcPr>
                  <w:tcW w:w="525" w:type="pct"/>
                  <w:noWrap w:val="0"/>
                  <w:vAlign w:val="center"/>
                </w:tcPr>
                <w:p w14:paraId="1F74269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cs="Times New Roman"/>
                      <w:color w:val="auto"/>
                      <w:sz w:val="18"/>
                      <w:szCs w:val="18"/>
                      <w:lang w:val="en-US" w:eastAsia="zh-CN"/>
                    </w:rPr>
                  </w:pPr>
                  <w:r>
                    <w:rPr>
                      <w:rFonts w:hint="eastAsia" w:cs="Times New Roman"/>
                      <w:color w:val="auto"/>
                      <w:sz w:val="18"/>
                      <w:szCs w:val="18"/>
                      <w:lang w:val="en-US" w:eastAsia="zh-CN"/>
                    </w:rPr>
                    <w:t>12</w:t>
                  </w:r>
                </w:p>
              </w:tc>
            </w:tr>
            <w:tr w14:paraId="03799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47" w:type="pct"/>
                  <w:noWrap w:val="0"/>
                  <w:vAlign w:val="center"/>
                </w:tcPr>
                <w:p w14:paraId="43DF712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cs="Times New Roman"/>
                      <w:color w:val="auto"/>
                      <w:sz w:val="18"/>
                      <w:szCs w:val="18"/>
                      <w:lang w:val="en-US" w:eastAsia="zh-CN"/>
                    </w:rPr>
                  </w:pPr>
                  <w:r>
                    <w:rPr>
                      <w:rFonts w:hint="eastAsia" w:cs="Times New Roman"/>
                      <w:color w:val="auto"/>
                      <w:sz w:val="18"/>
                      <w:szCs w:val="18"/>
                      <w:lang w:val="en-US" w:eastAsia="zh-CN"/>
                    </w:rPr>
                    <w:t>甲醛</w:t>
                  </w:r>
                </w:p>
              </w:tc>
              <w:tc>
                <w:tcPr>
                  <w:tcW w:w="819" w:type="pct"/>
                  <w:noWrap w:val="0"/>
                  <w:vAlign w:val="center"/>
                </w:tcPr>
                <w:p w14:paraId="1FE80EE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25</w:t>
                  </w:r>
                </w:p>
              </w:tc>
              <w:tc>
                <w:tcPr>
                  <w:tcW w:w="904" w:type="pct"/>
                  <w:noWrap w:val="0"/>
                  <w:vAlign w:val="center"/>
                </w:tcPr>
                <w:p w14:paraId="22CD85F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color w:val="auto"/>
                      <w:sz w:val="18"/>
                      <w:szCs w:val="18"/>
                      <w:lang w:val="en-US"/>
                    </w:rPr>
                    <w:t>15</w:t>
                  </w:r>
                </w:p>
              </w:tc>
              <w:tc>
                <w:tcPr>
                  <w:tcW w:w="753" w:type="pct"/>
                  <w:noWrap w:val="0"/>
                  <w:vAlign w:val="center"/>
                </w:tcPr>
                <w:p w14:paraId="4AF3564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0.26</w:t>
                  </w:r>
                </w:p>
              </w:tc>
              <w:tc>
                <w:tcPr>
                  <w:tcW w:w="806" w:type="pct"/>
                  <w:noWrap w:val="0"/>
                  <w:vAlign w:val="center"/>
                </w:tcPr>
                <w:p w14:paraId="6C01B74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0.13</w:t>
                  </w:r>
                </w:p>
              </w:tc>
              <w:tc>
                <w:tcPr>
                  <w:tcW w:w="343" w:type="pct"/>
                  <w:vMerge w:val="continue"/>
                  <w:noWrap w:val="0"/>
                  <w:vAlign w:val="center"/>
                </w:tcPr>
                <w:p w14:paraId="710CFDB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p>
              </w:tc>
              <w:tc>
                <w:tcPr>
                  <w:tcW w:w="525" w:type="pct"/>
                  <w:noWrap w:val="0"/>
                  <w:vAlign w:val="center"/>
                </w:tcPr>
                <w:p w14:paraId="39384C7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cs="Times New Roman"/>
                      <w:color w:val="auto"/>
                      <w:sz w:val="18"/>
                      <w:szCs w:val="18"/>
                      <w:lang w:val="en-US" w:eastAsia="zh-CN"/>
                    </w:rPr>
                  </w:pPr>
                  <w:r>
                    <w:rPr>
                      <w:rFonts w:hint="eastAsia" w:cs="Times New Roman"/>
                      <w:color w:val="auto"/>
                      <w:sz w:val="18"/>
                      <w:szCs w:val="18"/>
                      <w:lang w:val="en-US" w:eastAsia="zh-CN"/>
                    </w:rPr>
                    <w:t>0.2</w:t>
                  </w:r>
                </w:p>
              </w:tc>
            </w:tr>
          </w:tbl>
          <w:p w14:paraId="575FD718">
            <w:pPr>
              <w:keepNext w:val="0"/>
              <w:keepLines w:val="0"/>
              <w:pageBreakBefore w:val="0"/>
              <w:widowControl w:val="0"/>
              <w:kinsoku/>
              <w:wordWrap/>
              <w:overflowPunct/>
              <w:topLinePunct w:val="0"/>
              <w:autoSpaceDE/>
              <w:autoSpaceDN/>
              <w:bidi w:val="0"/>
              <w:adjustRightInd/>
              <w:snapToGrid/>
              <w:spacing w:line="360" w:lineRule="exact"/>
              <w:ind w:firstLine="361" w:firstLineChars="200"/>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lang w:val="en-US" w:eastAsia="zh-CN"/>
              </w:rPr>
              <w:t>表3-5  恶臭污染物排放标准</w:t>
            </w:r>
          </w:p>
          <w:tbl>
            <w:tblPr>
              <w:tblStyle w:val="21"/>
              <w:tblW w:w="80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8"/>
              <w:gridCol w:w="2580"/>
              <w:gridCol w:w="1673"/>
              <w:gridCol w:w="2014"/>
            </w:tblGrid>
            <w:tr w14:paraId="2B665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vMerge w:val="restart"/>
                  <w:vAlign w:val="center"/>
                </w:tcPr>
                <w:p w14:paraId="56B41B7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控制项目</w:t>
                  </w:r>
                </w:p>
              </w:tc>
              <w:tc>
                <w:tcPr>
                  <w:tcW w:w="2580" w:type="dxa"/>
                  <w:vAlign w:val="center"/>
                </w:tcPr>
                <w:p w14:paraId="7D6E13B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恶臭污染物厂界二级标准值</w:t>
                  </w:r>
                </w:p>
              </w:tc>
              <w:tc>
                <w:tcPr>
                  <w:tcW w:w="3687" w:type="dxa"/>
                  <w:gridSpan w:val="2"/>
                  <w:vAlign w:val="center"/>
                </w:tcPr>
                <w:p w14:paraId="43B9B63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恶臭污染物排放标准</w:t>
                  </w:r>
                </w:p>
              </w:tc>
            </w:tr>
            <w:tr w14:paraId="6F5C7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vMerge w:val="continue"/>
                  <w:vAlign w:val="center"/>
                </w:tcPr>
                <w:p w14:paraId="1C13694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p>
              </w:tc>
              <w:tc>
                <w:tcPr>
                  <w:tcW w:w="2580" w:type="dxa"/>
                  <w:vAlign w:val="center"/>
                </w:tcPr>
                <w:p w14:paraId="60F2FC5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浓度（mg/m</w:t>
                  </w:r>
                  <w:r>
                    <w:rPr>
                      <w:rFonts w:hint="default" w:ascii="Times New Roman" w:hAnsi="Times New Roman" w:eastAsia="宋体" w:cs="Times New Roman"/>
                      <w:b/>
                      <w:bCs/>
                      <w:color w:val="auto"/>
                      <w:sz w:val="18"/>
                      <w:szCs w:val="18"/>
                      <w:vertAlign w:val="superscript"/>
                      <w:lang w:val="en-US" w:eastAsia="zh-CN"/>
                    </w:rPr>
                    <w:t>3</w:t>
                  </w:r>
                  <w:r>
                    <w:rPr>
                      <w:rFonts w:hint="default" w:ascii="Times New Roman" w:hAnsi="Times New Roman" w:eastAsia="宋体" w:cs="Times New Roman"/>
                      <w:b/>
                      <w:bCs/>
                      <w:color w:val="auto"/>
                      <w:sz w:val="18"/>
                      <w:szCs w:val="18"/>
                      <w:vertAlign w:val="baseline"/>
                      <w:lang w:val="en-US" w:eastAsia="zh-CN"/>
                    </w:rPr>
                    <w:t>）</w:t>
                  </w:r>
                </w:p>
              </w:tc>
              <w:tc>
                <w:tcPr>
                  <w:tcW w:w="1673" w:type="dxa"/>
                  <w:vAlign w:val="center"/>
                </w:tcPr>
                <w:p w14:paraId="0C31C19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排气筒高度（m）</w:t>
                  </w:r>
                </w:p>
              </w:tc>
              <w:tc>
                <w:tcPr>
                  <w:tcW w:w="2014" w:type="dxa"/>
                  <w:vAlign w:val="center"/>
                </w:tcPr>
                <w:p w14:paraId="7DA12AB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速率（kg/h）</w:t>
                  </w:r>
                </w:p>
              </w:tc>
            </w:tr>
            <w:tr w14:paraId="742E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8" w:type="dxa"/>
                </w:tcPr>
                <w:p w14:paraId="5A141C0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氨</w:t>
                  </w:r>
                </w:p>
              </w:tc>
              <w:tc>
                <w:tcPr>
                  <w:tcW w:w="2580" w:type="dxa"/>
                </w:tcPr>
                <w:p w14:paraId="554E2C2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1.5</w:t>
                  </w:r>
                </w:p>
              </w:tc>
              <w:tc>
                <w:tcPr>
                  <w:tcW w:w="1673" w:type="dxa"/>
                </w:tcPr>
                <w:p w14:paraId="4A03FA7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15</w:t>
                  </w:r>
                </w:p>
              </w:tc>
              <w:tc>
                <w:tcPr>
                  <w:tcW w:w="2014" w:type="dxa"/>
                </w:tcPr>
                <w:p w14:paraId="766F0E2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4.9</w:t>
                  </w:r>
                </w:p>
              </w:tc>
            </w:tr>
          </w:tbl>
          <w:p w14:paraId="121A438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项目厂区内 VOCs(以非甲烷总烃计)无组织排放监控点浓度执行《挥发性有机物无组织排放控制标准》(GB37822-2019)表A</w:t>
            </w:r>
            <w:r>
              <w:rPr>
                <w:rFonts w:hint="eastAsia" w:cs="Times New Roman"/>
                <w:color w:val="auto"/>
                <w:lang w:val="en-US" w:eastAsia="zh-CN"/>
              </w:rPr>
              <w:t>.</w:t>
            </w:r>
            <w:r>
              <w:rPr>
                <w:rFonts w:hint="default" w:ascii="Times New Roman" w:hAnsi="Times New Roman" w:eastAsia="宋体" w:cs="Times New Roman"/>
                <w:color w:val="auto"/>
              </w:rPr>
              <w:t>1中规定的限值要求，标准限值见表 3-</w:t>
            </w:r>
            <w:r>
              <w:rPr>
                <w:rFonts w:hint="eastAsia" w:cs="Times New Roman"/>
                <w:color w:val="auto"/>
                <w:lang w:val="en-US" w:eastAsia="zh-CN"/>
              </w:rPr>
              <w:t>6</w:t>
            </w:r>
            <w:r>
              <w:rPr>
                <w:rFonts w:hint="default" w:ascii="Times New Roman" w:hAnsi="Times New Roman" w:eastAsia="宋体" w:cs="Times New Roman"/>
                <w:color w:val="auto"/>
              </w:rPr>
              <w:t>。</w:t>
            </w:r>
          </w:p>
          <w:p w14:paraId="61789C4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表3-</w:t>
            </w:r>
            <w:r>
              <w:rPr>
                <w:rFonts w:hint="eastAsia" w:cs="Times New Roman"/>
                <w:b/>
                <w:bCs/>
                <w:color w:val="auto"/>
                <w:sz w:val="18"/>
                <w:szCs w:val="18"/>
                <w:lang w:val="en-US" w:eastAsia="zh-CN"/>
              </w:rPr>
              <w:t>6</w:t>
            </w:r>
            <w:r>
              <w:rPr>
                <w:rFonts w:hint="default" w:ascii="Times New Roman" w:hAnsi="Times New Roman" w:eastAsia="宋体" w:cs="Times New Roman"/>
                <w:b/>
                <w:bCs/>
                <w:color w:val="auto"/>
                <w:sz w:val="18"/>
                <w:szCs w:val="18"/>
                <w:lang w:val="en-US" w:eastAsia="zh-CN"/>
              </w:rPr>
              <w:t xml:space="preserve">  挥发性有机物排放标准 单位：mg/m</w:t>
            </w:r>
            <w:r>
              <w:rPr>
                <w:rFonts w:hint="default" w:ascii="Times New Roman" w:hAnsi="Times New Roman" w:eastAsia="宋体" w:cs="Times New Roman"/>
                <w:b/>
                <w:bCs/>
                <w:color w:val="auto"/>
                <w:sz w:val="18"/>
                <w:szCs w:val="18"/>
                <w:vertAlign w:val="superscript"/>
                <w:lang w:val="en-US" w:eastAsia="zh-CN"/>
              </w:rPr>
              <w:t>3</w:t>
            </w:r>
          </w:p>
          <w:tbl>
            <w:tblPr>
              <w:tblStyle w:val="20"/>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1664"/>
              <w:gridCol w:w="2890"/>
              <w:gridCol w:w="2153"/>
            </w:tblGrid>
            <w:tr w14:paraId="4E974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51" w:type="pct"/>
                  <w:noWrap w:val="0"/>
                  <w:vAlign w:val="center"/>
                </w:tcPr>
                <w:p w14:paraId="2C142B7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污染物项目</w:t>
                  </w:r>
                </w:p>
              </w:tc>
              <w:tc>
                <w:tcPr>
                  <w:tcW w:w="1053" w:type="pct"/>
                  <w:noWrap w:val="0"/>
                  <w:vAlign w:val="center"/>
                </w:tcPr>
                <w:p w14:paraId="2DB3A35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排放限值</w:t>
                  </w:r>
                </w:p>
              </w:tc>
              <w:tc>
                <w:tcPr>
                  <w:tcW w:w="1830" w:type="pct"/>
                  <w:noWrap w:val="0"/>
                  <w:vAlign w:val="center"/>
                </w:tcPr>
                <w:p w14:paraId="00F6C82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限值含义</w:t>
                  </w:r>
                </w:p>
              </w:tc>
              <w:tc>
                <w:tcPr>
                  <w:tcW w:w="1363" w:type="pct"/>
                  <w:noWrap w:val="0"/>
                  <w:vAlign w:val="center"/>
                </w:tcPr>
                <w:p w14:paraId="45FC59E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lang w:val="en-US" w:eastAsia="zh-CN"/>
                    </w:rPr>
                    <w:t>无组织排放</w:t>
                  </w:r>
                  <w:r>
                    <w:rPr>
                      <w:rFonts w:hint="default" w:ascii="Times New Roman" w:hAnsi="Times New Roman" w:eastAsia="宋体" w:cs="Times New Roman"/>
                      <w:b/>
                      <w:bCs/>
                      <w:color w:val="auto"/>
                      <w:sz w:val="18"/>
                      <w:szCs w:val="18"/>
                    </w:rPr>
                    <w:t>监控位置</w:t>
                  </w:r>
                </w:p>
              </w:tc>
            </w:tr>
            <w:tr w14:paraId="56A2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51" w:type="pct"/>
                  <w:vMerge w:val="restart"/>
                  <w:noWrap w:val="0"/>
                  <w:vAlign w:val="center"/>
                </w:tcPr>
                <w:p w14:paraId="401557D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NMHC</w:t>
                  </w:r>
                </w:p>
              </w:tc>
              <w:tc>
                <w:tcPr>
                  <w:tcW w:w="1053" w:type="pct"/>
                  <w:noWrap w:val="0"/>
                  <w:vAlign w:val="center"/>
                </w:tcPr>
                <w:p w14:paraId="5EC925D5">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10</w:t>
                  </w:r>
                </w:p>
              </w:tc>
              <w:tc>
                <w:tcPr>
                  <w:tcW w:w="1830" w:type="pct"/>
                  <w:noWrap w:val="0"/>
                  <w:vAlign w:val="center"/>
                </w:tcPr>
                <w:p w14:paraId="3EA7F91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监控点处</w:t>
                  </w:r>
                  <w:r>
                    <w:rPr>
                      <w:rFonts w:hint="default" w:ascii="Times New Roman" w:hAnsi="Times New Roman" w:eastAsia="宋体" w:cs="Times New Roman"/>
                      <w:color w:val="auto"/>
                      <w:sz w:val="18"/>
                      <w:szCs w:val="18"/>
                    </w:rPr>
                    <w:t>1h平均浓度</w:t>
                  </w:r>
                  <w:r>
                    <w:rPr>
                      <w:rFonts w:hint="eastAsia" w:cs="Times New Roman"/>
                      <w:color w:val="auto"/>
                      <w:sz w:val="18"/>
                      <w:szCs w:val="18"/>
                      <w:lang w:val="en-US" w:eastAsia="zh-CN"/>
                    </w:rPr>
                    <w:t>值</w:t>
                  </w:r>
                </w:p>
              </w:tc>
              <w:tc>
                <w:tcPr>
                  <w:tcW w:w="1363" w:type="pct"/>
                  <w:vMerge w:val="restart"/>
                  <w:noWrap w:val="0"/>
                  <w:vAlign w:val="center"/>
                </w:tcPr>
                <w:p w14:paraId="72EEE3F2">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在厂房外设置监测点</w:t>
                  </w:r>
                </w:p>
              </w:tc>
            </w:tr>
            <w:tr w14:paraId="2F0C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751" w:type="pct"/>
                  <w:vMerge w:val="continue"/>
                  <w:noWrap w:val="0"/>
                  <w:vAlign w:val="center"/>
                </w:tcPr>
                <w:p w14:paraId="73F344F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p>
              </w:tc>
              <w:tc>
                <w:tcPr>
                  <w:tcW w:w="1053" w:type="pct"/>
                  <w:noWrap w:val="0"/>
                  <w:vAlign w:val="center"/>
                </w:tcPr>
                <w:p w14:paraId="0F1EBCD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1830" w:type="pct"/>
                  <w:noWrap w:val="0"/>
                  <w:vAlign w:val="center"/>
                </w:tcPr>
                <w:p w14:paraId="3A6DA60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监控点处</w:t>
                  </w:r>
                  <w:r>
                    <w:rPr>
                      <w:rFonts w:hint="default" w:ascii="Times New Roman" w:hAnsi="Times New Roman" w:eastAsia="宋体" w:cs="Times New Roman"/>
                      <w:color w:val="auto"/>
                      <w:sz w:val="18"/>
                      <w:szCs w:val="18"/>
                    </w:rPr>
                    <w:t>任意一次浓度</w:t>
                  </w:r>
                  <w:r>
                    <w:rPr>
                      <w:rFonts w:hint="eastAsia" w:cs="Times New Roman"/>
                      <w:color w:val="auto"/>
                      <w:sz w:val="18"/>
                      <w:szCs w:val="18"/>
                      <w:lang w:val="en-US" w:eastAsia="zh-CN"/>
                    </w:rPr>
                    <w:t>值</w:t>
                  </w:r>
                </w:p>
              </w:tc>
              <w:tc>
                <w:tcPr>
                  <w:tcW w:w="1363" w:type="pct"/>
                  <w:vMerge w:val="continue"/>
                  <w:noWrap w:val="0"/>
                  <w:vAlign w:val="center"/>
                </w:tcPr>
                <w:p w14:paraId="29654ED8">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p>
              </w:tc>
            </w:tr>
          </w:tbl>
          <w:p w14:paraId="07702025">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cs="Times New Roman"/>
                <w:b/>
                <w:bCs/>
                <w:color w:val="auto"/>
                <w:lang w:val="en-US" w:eastAsia="zh-CN"/>
              </w:rPr>
            </w:pPr>
            <w:r>
              <w:rPr>
                <w:rFonts w:hint="eastAsia" w:cs="Times New Roman"/>
                <w:b/>
                <w:bCs/>
                <w:color w:val="auto"/>
                <w:lang w:val="en-US" w:eastAsia="zh-CN"/>
              </w:rPr>
              <w:t>2、废水</w:t>
            </w:r>
          </w:p>
          <w:p w14:paraId="6E8464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w:t>
            </w:r>
            <w:r>
              <w:rPr>
                <w:rFonts w:hint="eastAsia" w:ascii="Times New Roman" w:hAnsi="Times New Roman" w:eastAsia="宋体" w:cs="Times New Roman"/>
                <w:color w:val="auto"/>
                <w:lang w:val="en-US" w:eastAsia="zh-CN"/>
              </w:rPr>
              <w:t>本</w:t>
            </w:r>
            <w:r>
              <w:rPr>
                <w:rFonts w:hint="default" w:ascii="Times New Roman" w:hAnsi="Times New Roman" w:eastAsia="宋体" w:cs="Times New Roman"/>
                <w:color w:val="auto"/>
                <w:lang w:val="en-US" w:eastAsia="zh-CN"/>
              </w:rPr>
              <w:t>项目施工期施工废水主要为施工人员产生的生活污水，依托云南水投牛栏江滇池补水工程有限公司的化粪池处理后进入周边市政污水管网</w:t>
            </w:r>
            <w:r>
              <w:rPr>
                <w:rFonts w:hint="default" w:ascii="Times New Roman" w:hAnsi="Times New Roman" w:eastAsia="宋体" w:cs="Times New Roman"/>
                <w:color w:val="auto"/>
              </w:rPr>
              <w:t>，最终进入</w:t>
            </w:r>
            <w:r>
              <w:rPr>
                <w:rFonts w:hint="eastAsia" w:cs="Times New Roman"/>
                <w:color w:val="auto"/>
                <w:lang w:val="en-US" w:eastAsia="zh-CN"/>
              </w:rPr>
              <w:t>昆明市第十四水质净化厂</w:t>
            </w:r>
            <w:r>
              <w:rPr>
                <w:rFonts w:hint="default" w:ascii="Times New Roman" w:hAnsi="Times New Roman" w:eastAsia="宋体" w:cs="Times New Roman"/>
                <w:color w:val="auto"/>
                <w:lang w:eastAsia="zh-CN"/>
              </w:rPr>
              <w:t>。</w:t>
            </w:r>
          </w:p>
          <w:p w14:paraId="43A25E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color w:val="auto"/>
                <w:sz w:val="21"/>
                <w:szCs w:val="21"/>
                <w:lang w:eastAsia="zh-CN"/>
              </w:rPr>
            </w:pPr>
            <w:r>
              <w:rPr>
                <w:rFonts w:hint="eastAsia"/>
                <w:color w:val="auto"/>
                <w:lang w:eastAsia="zh-CN"/>
              </w:rPr>
              <w:t>（</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运营期</w:t>
            </w:r>
            <w:r>
              <w:rPr>
                <w:rFonts w:hint="default" w:ascii="Times New Roman" w:hAnsi="Times New Roman" w:eastAsia="宋体" w:cs="Times New Roman"/>
                <w:color w:val="auto"/>
                <w:sz w:val="21"/>
                <w:szCs w:val="21"/>
              </w:rPr>
              <w:t>产生的废水中</w:t>
            </w:r>
            <w:r>
              <w:rPr>
                <w:rFonts w:hint="default" w:ascii="Times New Roman" w:hAnsi="Times New Roman" w:eastAsia="宋体" w:cs="Times New Roman"/>
                <w:color w:val="auto"/>
                <w:sz w:val="21"/>
                <w:szCs w:val="21"/>
                <w:lang w:eastAsia="zh-CN"/>
              </w:rPr>
              <w:t>员工办公生活污水</w:t>
            </w:r>
            <w:r>
              <w:rPr>
                <w:rFonts w:hint="default"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kern w:val="0"/>
                <w:sz w:val="21"/>
                <w:szCs w:val="21"/>
              </w:rPr>
              <w:t>地面清洁</w:t>
            </w:r>
            <w:r>
              <w:rPr>
                <w:rFonts w:hint="default" w:ascii="Times New Roman" w:hAnsi="Times New Roman" w:eastAsia="宋体" w:cs="Times New Roman"/>
                <w:color w:val="auto"/>
                <w:kern w:val="0"/>
                <w:sz w:val="21"/>
                <w:szCs w:val="21"/>
                <w:lang w:val="en-US" w:eastAsia="zh-CN"/>
              </w:rPr>
              <w:t>废水依托</w:t>
            </w:r>
            <w:r>
              <w:rPr>
                <w:rFonts w:hint="default" w:ascii="Times New Roman" w:hAnsi="Times New Roman" w:eastAsia="宋体" w:cs="Times New Roman"/>
                <w:color w:val="auto"/>
                <w:kern w:val="0"/>
                <w:sz w:val="21"/>
                <w:szCs w:val="21"/>
                <w:lang w:val="en-US" w:eastAsia="zh-CN" w:bidi="ar"/>
              </w:rPr>
              <w:t>云南水投牛栏江滇池补水工程有限公司现有的化粪池，经化粪池处理后排入市政管网；</w:t>
            </w:r>
            <w:r>
              <w:rPr>
                <w:rFonts w:hint="default" w:ascii="Times New Roman" w:hAnsi="Times New Roman" w:eastAsia="宋体" w:cs="Times New Roman"/>
                <w:color w:val="auto"/>
                <w:sz w:val="21"/>
                <w:szCs w:val="21"/>
                <w:highlight w:val="none"/>
                <w:lang w:val="en-US" w:eastAsia="zh-CN"/>
              </w:rPr>
              <w:t>实验器皿前两道清洗废水</w:t>
            </w:r>
            <w:r>
              <w:rPr>
                <w:rFonts w:hint="default" w:ascii="Times New Roman" w:hAnsi="Times New Roman" w:eastAsia="宋体" w:cs="Times New Roman"/>
                <w:color w:val="auto"/>
                <w:sz w:val="21"/>
                <w:szCs w:val="21"/>
                <w:highlight w:val="none"/>
              </w:rPr>
              <w:t>作为危废处置，其余清洗废水</w:t>
            </w:r>
            <w:r>
              <w:rPr>
                <w:rFonts w:hint="default" w:ascii="Times New Roman" w:hAnsi="Times New Roman" w:eastAsia="宋体" w:cs="Times New Roman"/>
                <w:color w:val="auto"/>
                <w:sz w:val="21"/>
                <w:szCs w:val="21"/>
                <w:highlight w:val="none"/>
                <w:lang w:val="en-US" w:eastAsia="zh-CN"/>
              </w:rPr>
              <w:t>与纯水制备浓水</w:t>
            </w:r>
            <w:r>
              <w:rPr>
                <w:rFonts w:hint="default" w:ascii="Times New Roman" w:hAnsi="Times New Roman" w:eastAsia="宋体" w:cs="Times New Roman"/>
                <w:color w:val="auto"/>
                <w:sz w:val="21"/>
                <w:szCs w:val="21"/>
                <w:highlight w:val="none"/>
              </w:rPr>
              <w:t>经</w:t>
            </w:r>
            <w:r>
              <w:rPr>
                <w:rFonts w:hint="default" w:ascii="Times New Roman" w:hAnsi="Times New Roman" w:eastAsia="宋体" w:cs="Times New Roman"/>
                <w:color w:val="auto"/>
                <w:sz w:val="21"/>
                <w:szCs w:val="21"/>
                <w:highlight w:val="none"/>
                <w:lang w:val="en-US" w:eastAsia="zh-CN"/>
              </w:rPr>
              <w:t>中和沉淀池</w:t>
            </w:r>
            <w:r>
              <w:rPr>
                <w:rFonts w:hint="default" w:ascii="Times New Roman" w:hAnsi="Times New Roman" w:eastAsia="宋体" w:cs="Times New Roman"/>
                <w:color w:val="auto"/>
                <w:sz w:val="21"/>
                <w:szCs w:val="21"/>
                <w:highlight w:val="none"/>
              </w:rPr>
              <w:t>处理后排入市政污水管网，最终进入</w:t>
            </w:r>
            <w:r>
              <w:rPr>
                <w:rFonts w:hint="default" w:ascii="Times New Roman" w:hAnsi="Times New Roman" w:eastAsia="宋体" w:cs="Times New Roman"/>
                <w:color w:val="auto"/>
                <w:sz w:val="21"/>
                <w:szCs w:val="21"/>
                <w:highlight w:val="none"/>
                <w:lang w:eastAsia="zh-CN"/>
              </w:rPr>
              <w:t>昆明市第十四水质净化厂</w:t>
            </w:r>
            <w:r>
              <w:rPr>
                <w:rFonts w:hint="default" w:ascii="Times New Roman" w:hAnsi="Times New Roman" w:eastAsia="宋体" w:cs="Times New Roman"/>
                <w:color w:val="auto"/>
                <w:sz w:val="21"/>
                <w:szCs w:val="21"/>
                <w:highlight w:val="none"/>
              </w:rPr>
              <w:t>处理</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rPr>
              <w:t>项目中和沉淀池出口水质执行《污水排入城镇下水道水质标准》</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GB/T31962-2015</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表1中A等级标准，相应标准限值见表3-</w:t>
            </w:r>
            <w:r>
              <w:rPr>
                <w:rFonts w:hint="eastAsia"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w:t>
            </w:r>
          </w:p>
          <w:p w14:paraId="1253B297">
            <w:pPr>
              <w:keepNext w:val="0"/>
              <w:keepLines w:val="0"/>
              <w:pageBreakBefore w:val="0"/>
              <w:widowControl w:val="0"/>
              <w:kinsoku/>
              <w:overflowPunct/>
              <w:autoSpaceDE/>
              <w:autoSpaceDN/>
              <w:bidi w:val="0"/>
              <w:spacing w:line="360" w:lineRule="exact"/>
              <w:jc w:val="center"/>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表3-</w:t>
            </w:r>
            <w:r>
              <w:rPr>
                <w:rFonts w:hint="eastAsia" w:cs="Times New Roman"/>
                <w:b/>
                <w:bCs/>
                <w:color w:val="auto"/>
                <w:sz w:val="18"/>
                <w:szCs w:val="18"/>
                <w:lang w:val="en-US" w:eastAsia="zh-CN"/>
              </w:rPr>
              <w:t>7</w:t>
            </w:r>
            <w:r>
              <w:rPr>
                <w:rFonts w:hint="default" w:ascii="Times New Roman" w:hAnsi="Times New Roman" w:eastAsia="宋体" w:cs="Times New Roman"/>
                <w:b/>
                <w:bCs/>
                <w:color w:val="auto"/>
                <w:sz w:val="18"/>
                <w:szCs w:val="18"/>
              </w:rPr>
              <w:t xml:space="preserve">  污水排放标准 （单位：mg/L）</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4"/>
              <w:gridCol w:w="2194"/>
              <w:gridCol w:w="1779"/>
              <w:gridCol w:w="1701"/>
            </w:tblGrid>
            <w:tr w14:paraId="0363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noWrap w:val="0"/>
                  <w:vAlign w:val="top"/>
                </w:tcPr>
                <w:p w14:paraId="47166B98">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val="en-US" w:eastAsia="zh-CN"/>
                    </w:rPr>
                    <w:t>序号</w:t>
                  </w:r>
                </w:p>
              </w:tc>
              <w:tc>
                <w:tcPr>
                  <w:tcW w:w="2194" w:type="dxa"/>
                  <w:noWrap w:val="0"/>
                  <w:vAlign w:val="top"/>
                </w:tcPr>
                <w:p w14:paraId="21C3D5F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val="en-US" w:eastAsia="zh-CN"/>
                    </w:rPr>
                    <w:t>控制项目</w:t>
                  </w:r>
                </w:p>
              </w:tc>
              <w:tc>
                <w:tcPr>
                  <w:tcW w:w="1779" w:type="dxa"/>
                  <w:noWrap w:val="0"/>
                  <w:vAlign w:val="top"/>
                </w:tcPr>
                <w:p w14:paraId="16CED797">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单位</w:t>
                  </w:r>
                </w:p>
              </w:tc>
              <w:tc>
                <w:tcPr>
                  <w:tcW w:w="1701" w:type="dxa"/>
                  <w:noWrap w:val="0"/>
                  <w:vAlign w:val="top"/>
                </w:tcPr>
                <w:p w14:paraId="1BD82154">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lang w:val="en-US" w:eastAsia="zh-CN"/>
                    </w:rPr>
                    <w:t>限值</w:t>
                  </w:r>
                </w:p>
              </w:tc>
            </w:tr>
            <w:tr w14:paraId="6671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noWrap w:val="0"/>
                  <w:vAlign w:val="top"/>
                </w:tcPr>
                <w:p w14:paraId="2293A191">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2194" w:type="dxa"/>
                  <w:noWrap w:val="0"/>
                  <w:vAlign w:val="top"/>
                </w:tcPr>
                <w:p w14:paraId="331D3110">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悬浮物</w:t>
                  </w:r>
                </w:p>
              </w:tc>
              <w:tc>
                <w:tcPr>
                  <w:tcW w:w="1779" w:type="dxa"/>
                  <w:noWrap w:val="0"/>
                  <w:vAlign w:val="top"/>
                </w:tcPr>
                <w:p w14:paraId="22E9FA6D">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mg/L</w:t>
                  </w:r>
                </w:p>
              </w:tc>
              <w:tc>
                <w:tcPr>
                  <w:tcW w:w="1701" w:type="dxa"/>
                  <w:noWrap w:val="0"/>
                  <w:vAlign w:val="top"/>
                </w:tcPr>
                <w:p w14:paraId="32984639">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400</w:t>
                  </w:r>
                </w:p>
              </w:tc>
            </w:tr>
            <w:tr w14:paraId="3275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noWrap w:val="0"/>
                  <w:vAlign w:val="top"/>
                </w:tcPr>
                <w:p w14:paraId="708F893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2</w:t>
                  </w:r>
                </w:p>
              </w:tc>
              <w:tc>
                <w:tcPr>
                  <w:tcW w:w="2194" w:type="dxa"/>
                  <w:noWrap w:val="0"/>
                  <w:vAlign w:val="top"/>
                </w:tcPr>
                <w:p w14:paraId="6B4E1752">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动植物油</w:t>
                  </w:r>
                </w:p>
              </w:tc>
              <w:tc>
                <w:tcPr>
                  <w:tcW w:w="1779" w:type="dxa"/>
                  <w:noWrap w:val="0"/>
                  <w:vAlign w:val="top"/>
                </w:tcPr>
                <w:p w14:paraId="325D964D">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left="0" w:leftChars="0" w:right="0" w:rightChars="0"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mg/L</w:t>
                  </w:r>
                </w:p>
              </w:tc>
              <w:tc>
                <w:tcPr>
                  <w:tcW w:w="1701" w:type="dxa"/>
                  <w:noWrap w:val="0"/>
                  <w:vAlign w:val="top"/>
                </w:tcPr>
                <w:p w14:paraId="64014D13">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100</w:t>
                  </w:r>
                </w:p>
              </w:tc>
            </w:tr>
            <w:tr w14:paraId="6DC8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noWrap w:val="0"/>
                  <w:vAlign w:val="top"/>
                </w:tcPr>
                <w:p w14:paraId="1EF45FE5">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3</w:t>
                  </w:r>
                </w:p>
              </w:tc>
              <w:tc>
                <w:tcPr>
                  <w:tcW w:w="2194" w:type="dxa"/>
                  <w:noWrap w:val="0"/>
                  <w:vAlign w:val="top"/>
                </w:tcPr>
                <w:p w14:paraId="386B43A0">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pH</w:t>
                  </w:r>
                </w:p>
              </w:tc>
              <w:tc>
                <w:tcPr>
                  <w:tcW w:w="1779" w:type="dxa"/>
                  <w:noWrap w:val="0"/>
                  <w:vAlign w:val="top"/>
                </w:tcPr>
                <w:p w14:paraId="7792BC04">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left="0" w:leftChars="0" w:right="0" w:rightChars="0"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mg/L</w:t>
                  </w:r>
                </w:p>
              </w:tc>
              <w:tc>
                <w:tcPr>
                  <w:tcW w:w="1701" w:type="dxa"/>
                  <w:noWrap w:val="0"/>
                  <w:vAlign w:val="top"/>
                </w:tcPr>
                <w:p w14:paraId="4D37891D">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6.5~9.5</w:t>
                  </w:r>
                </w:p>
              </w:tc>
            </w:tr>
            <w:tr w14:paraId="0893D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noWrap w:val="0"/>
                  <w:vAlign w:val="top"/>
                </w:tcPr>
                <w:p w14:paraId="1090511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4</w:t>
                  </w:r>
                </w:p>
              </w:tc>
              <w:tc>
                <w:tcPr>
                  <w:tcW w:w="2194" w:type="dxa"/>
                  <w:noWrap w:val="0"/>
                  <w:vAlign w:val="center"/>
                </w:tcPr>
                <w:p w14:paraId="00FFF24A">
                  <w:pPr>
                    <w:pStyle w:val="46"/>
                    <w:keepNext w:val="0"/>
                    <w:keepLines w:val="0"/>
                    <w:pageBreakBefore w:val="0"/>
                    <w:widowControl w:val="0"/>
                    <w:kinsoku/>
                    <w:overflowPunct/>
                    <w:autoSpaceDE/>
                    <w:autoSpaceDN/>
                    <w:bidi w:val="0"/>
                    <w:spacing w:line="360" w:lineRule="exact"/>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BOD</w:t>
                  </w:r>
                  <w:r>
                    <w:rPr>
                      <w:rFonts w:hint="default" w:ascii="Times New Roman" w:hAnsi="Times New Roman" w:eastAsia="宋体" w:cs="Times New Roman"/>
                      <w:color w:val="auto"/>
                      <w:sz w:val="18"/>
                      <w:szCs w:val="18"/>
                      <w:vertAlign w:val="subscript"/>
                      <w:lang w:val="en-US" w:eastAsia="zh-CN"/>
                    </w:rPr>
                    <w:t>5</w:t>
                  </w:r>
                </w:p>
              </w:tc>
              <w:tc>
                <w:tcPr>
                  <w:tcW w:w="1779" w:type="dxa"/>
                  <w:noWrap w:val="0"/>
                  <w:vAlign w:val="top"/>
                </w:tcPr>
                <w:p w14:paraId="2ED48657">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mg/L</w:t>
                  </w:r>
                </w:p>
              </w:tc>
              <w:tc>
                <w:tcPr>
                  <w:tcW w:w="1701" w:type="dxa"/>
                  <w:noWrap w:val="0"/>
                  <w:vAlign w:val="center"/>
                </w:tcPr>
                <w:p w14:paraId="03B41EEB">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350</w:t>
                  </w:r>
                </w:p>
              </w:tc>
            </w:tr>
            <w:tr w14:paraId="61FC1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noWrap w:val="0"/>
                  <w:vAlign w:val="top"/>
                </w:tcPr>
                <w:p w14:paraId="5739CB12">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5</w:t>
                  </w:r>
                </w:p>
              </w:tc>
              <w:tc>
                <w:tcPr>
                  <w:tcW w:w="2194" w:type="dxa"/>
                  <w:noWrap w:val="0"/>
                  <w:vAlign w:val="center"/>
                </w:tcPr>
                <w:p w14:paraId="533E4547">
                  <w:pPr>
                    <w:pStyle w:val="46"/>
                    <w:keepNext w:val="0"/>
                    <w:keepLines w:val="0"/>
                    <w:pageBreakBefore w:val="0"/>
                    <w:widowControl w:val="0"/>
                    <w:kinsoku/>
                    <w:overflowPunct/>
                    <w:autoSpaceDE/>
                    <w:autoSpaceDN/>
                    <w:bidi w:val="0"/>
                    <w:spacing w:line="360" w:lineRule="exact"/>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CO</w:t>
                  </w:r>
                  <w:r>
                    <w:rPr>
                      <w:rFonts w:hint="eastAsia" w:ascii="Times New Roman" w:hAnsi="Times New Roman" w:eastAsia="宋体" w:cs="Times New Roman"/>
                      <w:color w:val="auto"/>
                      <w:sz w:val="18"/>
                      <w:szCs w:val="18"/>
                      <w:lang w:val="en-US" w:eastAsia="zh-CN"/>
                    </w:rPr>
                    <w:t>Dcr</w:t>
                  </w:r>
                </w:p>
              </w:tc>
              <w:tc>
                <w:tcPr>
                  <w:tcW w:w="1779" w:type="dxa"/>
                  <w:noWrap w:val="0"/>
                  <w:vAlign w:val="top"/>
                </w:tcPr>
                <w:p w14:paraId="6F18581F">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left="0" w:leftChars="0" w:right="0" w:rightChars="0"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mg/L</w:t>
                  </w:r>
                </w:p>
              </w:tc>
              <w:tc>
                <w:tcPr>
                  <w:tcW w:w="1701" w:type="dxa"/>
                  <w:noWrap w:val="0"/>
                  <w:vAlign w:val="center"/>
                </w:tcPr>
                <w:p w14:paraId="1A51219E">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500</w:t>
                  </w:r>
                </w:p>
              </w:tc>
            </w:tr>
            <w:tr w14:paraId="52FA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noWrap w:val="0"/>
                  <w:vAlign w:val="top"/>
                </w:tcPr>
                <w:p w14:paraId="0813CC4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6</w:t>
                  </w:r>
                </w:p>
              </w:tc>
              <w:tc>
                <w:tcPr>
                  <w:tcW w:w="2194" w:type="dxa"/>
                  <w:noWrap w:val="0"/>
                  <w:vAlign w:val="center"/>
                </w:tcPr>
                <w:p w14:paraId="145A7CFF">
                  <w:pPr>
                    <w:pStyle w:val="46"/>
                    <w:keepNext w:val="0"/>
                    <w:keepLines w:val="0"/>
                    <w:pageBreakBefore w:val="0"/>
                    <w:widowControl w:val="0"/>
                    <w:kinsoku/>
                    <w:overflowPunct/>
                    <w:autoSpaceDE/>
                    <w:autoSpaceDN/>
                    <w:bidi w:val="0"/>
                    <w:spacing w:line="360" w:lineRule="exact"/>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氨氮</w:t>
                  </w:r>
                </w:p>
              </w:tc>
              <w:tc>
                <w:tcPr>
                  <w:tcW w:w="1779" w:type="dxa"/>
                  <w:noWrap w:val="0"/>
                  <w:vAlign w:val="top"/>
                </w:tcPr>
                <w:p w14:paraId="48DE1328">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left="0" w:leftChars="0" w:right="0" w:rightChars="0"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mg/L</w:t>
                  </w:r>
                </w:p>
              </w:tc>
              <w:tc>
                <w:tcPr>
                  <w:tcW w:w="1701" w:type="dxa"/>
                  <w:noWrap w:val="0"/>
                  <w:vAlign w:val="center"/>
                </w:tcPr>
                <w:p w14:paraId="1C4CA17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45</w:t>
                  </w:r>
                </w:p>
              </w:tc>
            </w:tr>
            <w:tr w14:paraId="2DD2C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noWrap w:val="0"/>
                  <w:vAlign w:val="top"/>
                </w:tcPr>
                <w:p w14:paraId="274FE7DB">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7</w:t>
                  </w:r>
                </w:p>
              </w:tc>
              <w:tc>
                <w:tcPr>
                  <w:tcW w:w="2194" w:type="dxa"/>
                  <w:noWrap w:val="0"/>
                  <w:vAlign w:val="center"/>
                </w:tcPr>
                <w:p w14:paraId="5ECD9870">
                  <w:pPr>
                    <w:pStyle w:val="46"/>
                    <w:keepNext w:val="0"/>
                    <w:keepLines w:val="0"/>
                    <w:pageBreakBefore w:val="0"/>
                    <w:widowControl w:val="0"/>
                    <w:kinsoku/>
                    <w:overflowPunct/>
                    <w:autoSpaceDE/>
                    <w:autoSpaceDN/>
                    <w:bidi w:val="0"/>
                    <w:spacing w:line="360" w:lineRule="exact"/>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总氮</w:t>
                  </w:r>
                </w:p>
              </w:tc>
              <w:tc>
                <w:tcPr>
                  <w:tcW w:w="1779" w:type="dxa"/>
                  <w:noWrap w:val="0"/>
                  <w:vAlign w:val="top"/>
                </w:tcPr>
                <w:p w14:paraId="7420C539">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mg/L</w:t>
                  </w:r>
                </w:p>
              </w:tc>
              <w:tc>
                <w:tcPr>
                  <w:tcW w:w="1701" w:type="dxa"/>
                  <w:noWrap w:val="0"/>
                  <w:vAlign w:val="center"/>
                </w:tcPr>
                <w:p w14:paraId="0FB565C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70</w:t>
                  </w:r>
                </w:p>
              </w:tc>
            </w:tr>
            <w:tr w14:paraId="25534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noWrap w:val="0"/>
                  <w:vAlign w:val="top"/>
                </w:tcPr>
                <w:p w14:paraId="1AD39FF4">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8</w:t>
                  </w:r>
                </w:p>
              </w:tc>
              <w:tc>
                <w:tcPr>
                  <w:tcW w:w="2194" w:type="dxa"/>
                  <w:noWrap w:val="0"/>
                  <w:vAlign w:val="center"/>
                </w:tcPr>
                <w:p w14:paraId="0DFA21AD">
                  <w:pPr>
                    <w:pStyle w:val="46"/>
                    <w:keepNext w:val="0"/>
                    <w:keepLines w:val="0"/>
                    <w:pageBreakBefore w:val="0"/>
                    <w:widowControl w:val="0"/>
                    <w:kinsoku/>
                    <w:overflowPunct/>
                    <w:autoSpaceDE/>
                    <w:autoSpaceDN/>
                    <w:bidi w:val="0"/>
                    <w:spacing w:line="360" w:lineRule="exact"/>
                    <w:ind w:left="0" w:leftChars="0" w:right="0" w:rightChars="0" w:firstLine="0" w:firstLineChars="0"/>
                    <w:jc w:val="center"/>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color w:val="auto"/>
                      <w:sz w:val="18"/>
                      <w:szCs w:val="18"/>
                      <w:lang w:val="en-US" w:eastAsia="zh-CN"/>
                    </w:rPr>
                    <w:t>总磷</w:t>
                  </w:r>
                </w:p>
              </w:tc>
              <w:tc>
                <w:tcPr>
                  <w:tcW w:w="1779" w:type="dxa"/>
                  <w:noWrap w:val="0"/>
                  <w:vAlign w:val="top"/>
                </w:tcPr>
                <w:p w14:paraId="519C49F0">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left="0" w:leftChars="0" w:right="0" w:rightChars="0"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mg/L</w:t>
                  </w:r>
                </w:p>
              </w:tc>
              <w:tc>
                <w:tcPr>
                  <w:tcW w:w="1701" w:type="dxa"/>
                  <w:noWrap w:val="0"/>
                  <w:vAlign w:val="center"/>
                </w:tcPr>
                <w:p w14:paraId="28BB77CE">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8</w:t>
                  </w:r>
                </w:p>
              </w:tc>
            </w:tr>
            <w:tr w14:paraId="225F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noWrap w:val="0"/>
                  <w:vAlign w:val="top"/>
                </w:tcPr>
                <w:p w14:paraId="0C4B47AE">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outlineLvl w:val="9"/>
                    <w:rPr>
                      <w:rFonts w:hint="default" w:cs="Times New Roman"/>
                      <w:b w:val="0"/>
                      <w:bCs/>
                      <w:color w:val="auto"/>
                      <w:sz w:val="18"/>
                      <w:szCs w:val="18"/>
                      <w:highlight w:val="none"/>
                      <w:lang w:val="en-US" w:eastAsia="zh-CN"/>
                    </w:rPr>
                  </w:pPr>
                  <w:r>
                    <w:rPr>
                      <w:rFonts w:hint="eastAsia" w:cs="Times New Roman"/>
                      <w:b w:val="0"/>
                      <w:bCs/>
                      <w:color w:val="auto"/>
                      <w:sz w:val="18"/>
                      <w:szCs w:val="18"/>
                      <w:highlight w:val="none"/>
                      <w:lang w:val="en-US" w:eastAsia="zh-CN"/>
                    </w:rPr>
                    <w:t>9</w:t>
                  </w:r>
                </w:p>
              </w:tc>
              <w:tc>
                <w:tcPr>
                  <w:tcW w:w="2194" w:type="dxa"/>
                  <w:noWrap w:val="0"/>
                  <w:vAlign w:val="center"/>
                </w:tcPr>
                <w:p w14:paraId="025CBA01">
                  <w:pPr>
                    <w:pStyle w:val="46"/>
                    <w:keepNext w:val="0"/>
                    <w:keepLines w:val="0"/>
                    <w:pageBreakBefore w:val="0"/>
                    <w:widowControl w:val="0"/>
                    <w:kinsoku/>
                    <w:overflowPunct/>
                    <w:autoSpaceDE/>
                    <w:autoSpaceDN/>
                    <w:bidi w:val="0"/>
                    <w:spacing w:line="360" w:lineRule="exact"/>
                    <w:ind w:left="0" w:leftChars="0" w:right="0" w:rightChars="0" w:firstLine="0" w:firstLineChars="0"/>
                    <w:jc w:val="center"/>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LAS</w:t>
                  </w:r>
                </w:p>
              </w:tc>
              <w:tc>
                <w:tcPr>
                  <w:tcW w:w="1779" w:type="dxa"/>
                  <w:noWrap w:val="0"/>
                  <w:vAlign w:val="top"/>
                </w:tcPr>
                <w:p w14:paraId="13779345">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left="0" w:leftChars="0" w:right="0" w:rightChars="0" w:firstLine="0" w:firstLineChars="0"/>
                    <w:jc w:val="center"/>
                    <w:textAlignment w:val="baseline"/>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b w:val="0"/>
                      <w:bCs/>
                      <w:color w:val="auto"/>
                      <w:sz w:val="18"/>
                      <w:szCs w:val="18"/>
                      <w:highlight w:val="none"/>
                      <w:lang w:val="en-US" w:eastAsia="zh-CN"/>
                    </w:rPr>
                    <w:t>mg/L</w:t>
                  </w:r>
                </w:p>
              </w:tc>
              <w:tc>
                <w:tcPr>
                  <w:tcW w:w="1701" w:type="dxa"/>
                  <w:noWrap w:val="0"/>
                  <w:vAlign w:val="center"/>
                </w:tcPr>
                <w:p w14:paraId="0AECBB9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outlineLvl w:val="9"/>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20</w:t>
                  </w:r>
                </w:p>
              </w:tc>
            </w:tr>
          </w:tbl>
          <w:p w14:paraId="484000E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3、</w:t>
            </w:r>
            <w:r>
              <w:rPr>
                <w:rFonts w:hint="default" w:ascii="Times New Roman" w:hAnsi="Times New Roman" w:eastAsia="宋体" w:cs="Times New Roman"/>
                <w:b/>
                <w:bCs/>
                <w:color w:val="auto"/>
              </w:rPr>
              <w:t>噪声</w:t>
            </w:r>
          </w:p>
          <w:p w14:paraId="033C06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（1）施工期噪声执行《建筑施工场界环境噪声排放标准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（GB12523-2011），相应的标准限值见表下表。</w:t>
            </w:r>
          </w:p>
          <w:p w14:paraId="0541931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表3-</w:t>
            </w:r>
            <w:r>
              <w:rPr>
                <w:rFonts w:hint="eastAsia" w:cs="Times New Roman"/>
                <w:b/>
                <w:bCs/>
                <w:color w:val="auto"/>
                <w:sz w:val="18"/>
                <w:szCs w:val="18"/>
                <w:lang w:val="en-US" w:eastAsia="zh-CN"/>
              </w:rPr>
              <w:t>8</w:t>
            </w:r>
            <w:r>
              <w:rPr>
                <w:rFonts w:hint="default" w:ascii="Times New Roman" w:hAnsi="Times New Roman" w:eastAsia="宋体" w:cs="Times New Roman"/>
                <w:b/>
                <w:bCs/>
                <w:color w:val="auto"/>
                <w:sz w:val="18"/>
                <w:szCs w:val="18"/>
                <w:lang w:val="en-US" w:eastAsia="zh-CN"/>
              </w:rPr>
              <w:t xml:space="preserve">  《建筑施工场界环境噪声排放标准》（GB12523-2011）</w:t>
            </w:r>
          </w:p>
          <w:tbl>
            <w:tblPr>
              <w:tblStyle w:val="2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218"/>
              <w:gridCol w:w="1831"/>
              <w:gridCol w:w="2188"/>
            </w:tblGrid>
            <w:tr w14:paraId="50AE82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3218" w:type="dxa"/>
                  <w:tcBorders>
                    <w:top w:val="single" w:color="auto" w:sz="4" w:space="0"/>
                    <w:left w:val="single" w:color="auto" w:sz="6" w:space="0"/>
                    <w:bottom w:val="single" w:color="auto" w:sz="4" w:space="0"/>
                    <w:right w:val="single" w:color="auto" w:sz="4" w:space="0"/>
                  </w:tcBorders>
                  <w:noWrap w:val="0"/>
                  <w:vAlign w:val="center"/>
                </w:tcPr>
                <w:p w14:paraId="2C54207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类别</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66CA8C99">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昼间</w:t>
                  </w:r>
                </w:p>
              </w:tc>
              <w:tc>
                <w:tcPr>
                  <w:tcW w:w="2188" w:type="dxa"/>
                  <w:tcBorders>
                    <w:top w:val="single" w:color="auto" w:sz="4" w:space="0"/>
                    <w:left w:val="single" w:color="auto" w:sz="4" w:space="0"/>
                    <w:bottom w:val="single" w:color="auto" w:sz="4" w:space="0"/>
                    <w:right w:val="single" w:color="auto" w:sz="4" w:space="0"/>
                  </w:tcBorders>
                  <w:noWrap w:val="0"/>
                  <w:vAlign w:val="center"/>
                </w:tcPr>
                <w:p w14:paraId="1F26EA3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夜间</w:t>
                  </w:r>
                </w:p>
              </w:tc>
            </w:tr>
            <w:tr w14:paraId="169E6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218" w:type="dxa"/>
                  <w:tcBorders>
                    <w:top w:val="single" w:color="auto" w:sz="4" w:space="0"/>
                    <w:left w:val="single" w:color="auto" w:sz="4" w:space="0"/>
                    <w:bottom w:val="single" w:color="auto" w:sz="4" w:space="0"/>
                    <w:right w:val="single" w:color="auto" w:sz="4" w:space="0"/>
                  </w:tcBorders>
                  <w:noWrap w:val="0"/>
                  <w:vAlign w:val="center"/>
                </w:tcPr>
                <w:p w14:paraId="615137E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噪声限值[Leq：dB（A）]</w:t>
                  </w:r>
                </w:p>
              </w:tc>
              <w:tc>
                <w:tcPr>
                  <w:tcW w:w="1831" w:type="dxa"/>
                  <w:tcBorders>
                    <w:top w:val="single" w:color="auto" w:sz="4" w:space="0"/>
                    <w:left w:val="single" w:color="auto" w:sz="4" w:space="0"/>
                    <w:bottom w:val="single" w:color="auto" w:sz="4" w:space="0"/>
                    <w:right w:val="single" w:color="auto" w:sz="4" w:space="0"/>
                  </w:tcBorders>
                  <w:noWrap w:val="0"/>
                  <w:vAlign w:val="center"/>
                </w:tcPr>
                <w:p w14:paraId="0A513A3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70</w:t>
                  </w:r>
                </w:p>
              </w:tc>
              <w:tc>
                <w:tcPr>
                  <w:tcW w:w="2188" w:type="dxa"/>
                  <w:tcBorders>
                    <w:top w:val="single" w:color="auto" w:sz="4" w:space="0"/>
                    <w:left w:val="single" w:color="auto" w:sz="4" w:space="0"/>
                    <w:bottom w:val="single" w:color="auto" w:sz="4" w:space="0"/>
                    <w:right w:val="single" w:color="auto" w:sz="4" w:space="0"/>
                  </w:tcBorders>
                  <w:noWrap w:val="0"/>
                  <w:vAlign w:val="center"/>
                </w:tcPr>
                <w:p w14:paraId="59C117D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55</w:t>
                  </w:r>
                </w:p>
              </w:tc>
            </w:tr>
          </w:tbl>
          <w:p w14:paraId="14437CB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本项目厂区南侧紧邻昆澜路，因此</w:t>
            </w:r>
            <w:r>
              <w:rPr>
                <w:rFonts w:hint="default" w:ascii="Times New Roman" w:hAnsi="Times New Roman" w:eastAsia="宋体" w:cs="Times New Roman"/>
                <w:color w:val="auto"/>
              </w:rPr>
              <w:t>厂区</w:t>
            </w:r>
            <w:r>
              <w:rPr>
                <w:rFonts w:hint="default" w:ascii="Times New Roman" w:hAnsi="Times New Roman" w:eastAsia="宋体" w:cs="Times New Roman"/>
                <w:color w:val="auto"/>
                <w:lang w:val="en-US" w:eastAsia="zh-CN"/>
              </w:rPr>
              <w:t>南厂界为4类声环境功能区，</w:t>
            </w:r>
            <w:r>
              <w:rPr>
                <w:rFonts w:hint="default" w:ascii="Times New Roman" w:hAnsi="Times New Roman" w:eastAsia="宋体" w:cs="Times New Roman"/>
                <w:color w:val="auto"/>
              </w:rPr>
              <w:t>执行《工业企业厂界环境噪声排放标准》（GB12348-2008）</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rPr>
              <w:t>类标准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营运期厂区</w:t>
            </w:r>
            <w:r>
              <w:rPr>
                <w:rFonts w:hint="default" w:ascii="Times New Roman" w:hAnsi="Times New Roman" w:eastAsia="宋体" w:cs="Times New Roman"/>
                <w:color w:val="auto"/>
                <w:lang w:val="en-US" w:eastAsia="zh-CN"/>
              </w:rPr>
              <w:t>北厂界、西厂界、东厂界</w:t>
            </w:r>
            <w:r>
              <w:rPr>
                <w:rFonts w:hint="default" w:ascii="Times New Roman" w:hAnsi="Times New Roman" w:eastAsia="宋体" w:cs="Times New Roman"/>
                <w:color w:val="auto"/>
              </w:rPr>
              <w:t>噪声执行《工业企业厂界环境噪声排放标准》（GB12348-2008）2类标准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标准值见</w:t>
            </w:r>
            <w:r>
              <w:rPr>
                <w:rFonts w:hint="default" w:ascii="Times New Roman" w:hAnsi="Times New Roman" w:eastAsia="宋体" w:cs="Times New Roman"/>
                <w:color w:val="auto"/>
                <w:lang w:val="en-US" w:eastAsia="zh-CN"/>
              </w:rPr>
              <w:t>下表</w:t>
            </w:r>
            <w:r>
              <w:rPr>
                <w:rFonts w:hint="default" w:ascii="Times New Roman" w:hAnsi="Times New Roman" w:eastAsia="宋体" w:cs="Times New Roman"/>
                <w:color w:val="auto"/>
              </w:rPr>
              <w:t>。</w:t>
            </w:r>
          </w:p>
          <w:p w14:paraId="07BA02D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w:t>
            </w:r>
            <w:r>
              <w:rPr>
                <w:rFonts w:hint="default" w:ascii="Times New Roman" w:hAnsi="Times New Roman" w:eastAsia="宋体" w:cs="Times New Roman"/>
                <w:b/>
                <w:bCs/>
                <w:color w:val="auto"/>
                <w:sz w:val="18"/>
                <w:szCs w:val="18"/>
                <w:lang w:val="en-US" w:eastAsia="zh-CN"/>
              </w:rPr>
              <w:t>3</w:t>
            </w:r>
            <w:r>
              <w:rPr>
                <w:rFonts w:hint="default" w:ascii="Times New Roman" w:hAnsi="Times New Roman" w:eastAsia="宋体" w:cs="Times New Roman"/>
                <w:b/>
                <w:bCs/>
                <w:color w:val="auto"/>
                <w:sz w:val="18"/>
                <w:szCs w:val="18"/>
              </w:rPr>
              <w:t>-</w:t>
            </w:r>
            <w:r>
              <w:rPr>
                <w:rFonts w:hint="eastAsia" w:cs="Times New Roman"/>
                <w:b/>
                <w:bCs/>
                <w:color w:val="auto"/>
                <w:sz w:val="18"/>
                <w:szCs w:val="18"/>
                <w:lang w:val="en-US" w:eastAsia="zh-CN"/>
              </w:rPr>
              <w:t>9</w:t>
            </w:r>
            <w:r>
              <w:rPr>
                <w:rFonts w:hint="default" w:ascii="Times New Roman" w:hAnsi="Times New Roman" w:eastAsia="宋体" w:cs="Times New Roman"/>
                <w:b/>
                <w:bCs/>
                <w:color w:val="auto"/>
                <w:sz w:val="18"/>
                <w:szCs w:val="18"/>
              </w:rPr>
              <w:t xml:space="preserve"> </w:t>
            </w:r>
            <w:r>
              <w:rPr>
                <w:rFonts w:hint="eastAsia" w:ascii="Times New Roman" w:hAnsi="Times New Roman" w:eastAsia="宋体" w:cs="Times New Roman"/>
                <w:b/>
                <w:bCs/>
                <w:color w:val="auto"/>
                <w:sz w:val="18"/>
                <w:szCs w:val="18"/>
                <w:lang w:val="en-US" w:eastAsia="zh-CN"/>
              </w:rPr>
              <w:t xml:space="preserve"> </w:t>
            </w:r>
            <w:r>
              <w:rPr>
                <w:rFonts w:hint="default" w:ascii="Times New Roman" w:hAnsi="Times New Roman" w:eastAsia="宋体" w:cs="Times New Roman"/>
                <w:b/>
                <w:bCs/>
                <w:color w:val="auto"/>
                <w:sz w:val="18"/>
                <w:szCs w:val="18"/>
              </w:rPr>
              <w:t>工业企业厂界噪声排放标准   （Leq[dB</w:t>
            </w:r>
            <w:r>
              <w:rPr>
                <w:rFonts w:hint="default" w:ascii="Times New Roman" w:hAnsi="Times New Roman" w:eastAsia="宋体" w:cs="Times New Roman"/>
                <w:b/>
                <w:bCs/>
                <w:color w:val="auto"/>
                <w:sz w:val="18"/>
                <w:szCs w:val="18"/>
                <w:lang w:eastAsia="zh-CN"/>
              </w:rPr>
              <w:t>（</w:t>
            </w:r>
            <w:r>
              <w:rPr>
                <w:rFonts w:hint="default" w:ascii="Times New Roman" w:hAnsi="Times New Roman" w:eastAsia="宋体" w:cs="Times New Roman"/>
                <w:b/>
                <w:bCs/>
                <w:color w:val="auto"/>
                <w:sz w:val="18"/>
                <w:szCs w:val="18"/>
              </w:rPr>
              <w:t>A</w:t>
            </w:r>
            <w:r>
              <w:rPr>
                <w:rFonts w:hint="default" w:ascii="Times New Roman" w:hAnsi="Times New Roman" w:eastAsia="宋体" w:cs="Times New Roman"/>
                <w:b/>
                <w:bCs/>
                <w:color w:val="auto"/>
                <w:sz w:val="18"/>
                <w:szCs w:val="18"/>
                <w:lang w:eastAsia="zh-CN"/>
              </w:rPr>
              <w:t>）</w:t>
            </w:r>
            <w:r>
              <w:rPr>
                <w:rFonts w:hint="default" w:ascii="Times New Roman" w:hAnsi="Times New Roman" w:eastAsia="宋体" w:cs="Times New Roman"/>
                <w:b/>
                <w:bCs/>
                <w:color w:val="auto"/>
                <w:sz w:val="18"/>
                <w:szCs w:val="18"/>
              </w:rPr>
              <w:t>]）</w:t>
            </w:r>
          </w:p>
          <w:tbl>
            <w:tblPr>
              <w:tblStyle w:val="21"/>
              <w:tblW w:w="75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8"/>
              <w:gridCol w:w="1794"/>
              <w:gridCol w:w="1662"/>
              <w:gridCol w:w="1885"/>
            </w:tblGrid>
            <w:tr w14:paraId="30A51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vMerge w:val="restart"/>
                  <w:vAlign w:val="center"/>
                </w:tcPr>
                <w:p w14:paraId="10DC11C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执行区域</w:t>
                  </w:r>
                </w:p>
              </w:tc>
              <w:tc>
                <w:tcPr>
                  <w:tcW w:w="1794" w:type="dxa"/>
                  <w:vMerge w:val="restart"/>
                  <w:vAlign w:val="center"/>
                </w:tcPr>
                <w:p w14:paraId="78996AE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类</w:t>
                  </w:r>
                  <w:r>
                    <w:rPr>
                      <w:rFonts w:hint="default" w:ascii="Times New Roman" w:hAnsi="Times New Roman" w:eastAsia="宋体" w:cs="Times New Roman"/>
                      <w:b/>
                      <w:bCs/>
                      <w:color w:val="auto"/>
                      <w:sz w:val="18"/>
                      <w:szCs w:val="18"/>
                      <w:lang w:val="en-US" w:eastAsia="zh-CN"/>
                    </w:rPr>
                    <w:t xml:space="preserve"> </w:t>
                  </w:r>
                  <w:r>
                    <w:rPr>
                      <w:rFonts w:hint="default" w:ascii="Times New Roman" w:hAnsi="Times New Roman" w:eastAsia="宋体" w:cs="Times New Roman"/>
                      <w:b/>
                      <w:bCs/>
                      <w:color w:val="auto"/>
                      <w:sz w:val="18"/>
                      <w:szCs w:val="18"/>
                    </w:rPr>
                    <w:t>别</w:t>
                  </w:r>
                </w:p>
              </w:tc>
              <w:tc>
                <w:tcPr>
                  <w:tcW w:w="3547" w:type="dxa"/>
                  <w:gridSpan w:val="2"/>
                  <w:vAlign w:val="center"/>
                </w:tcPr>
                <w:p w14:paraId="50B6F2E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环境噪声标准限值</w:t>
                  </w:r>
                </w:p>
              </w:tc>
            </w:tr>
            <w:tr w14:paraId="52C87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vMerge w:val="continue"/>
                  <w:vAlign w:val="center"/>
                </w:tcPr>
                <w:p w14:paraId="4547F826">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p>
              </w:tc>
              <w:tc>
                <w:tcPr>
                  <w:tcW w:w="1794" w:type="dxa"/>
                  <w:vMerge w:val="continue"/>
                  <w:vAlign w:val="center"/>
                </w:tcPr>
                <w:p w14:paraId="25970D3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p>
              </w:tc>
              <w:tc>
                <w:tcPr>
                  <w:tcW w:w="1662" w:type="dxa"/>
                  <w:vAlign w:val="center"/>
                </w:tcPr>
                <w:p w14:paraId="092E274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昼 间</w:t>
                  </w:r>
                </w:p>
              </w:tc>
              <w:tc>
                <w:tcPr>
                  <w:tcW w:w="1885" w:type="dxa"/>
                  <w:vAlign w:val="center"/>
                </w:tcPr>
                <w:p w14:paraId="6C59ECB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夜 间</w:t>
                  </w:r>
                </w:p>
              </w:tc>
            </w:tr>
            <w:tr w14:paraId="0D2E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vAlign w:val="center"/>
                </w:tcPr>
                <w:p w14:paraId="1869141E">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北厂界、西厂界、东厂界</w:t>
                  </w:r>
                </w:p>
              </w:tc>
              <w:tc>
                <w:tcPr>
                  <w:tcW w:w="1794" w:type="dxa"/>
                  <w:vAlign w:val="center"/>
                </w:tcPr>
                <w:p w14:paraId="73A5AB6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2类标准</w:t>
                  </w:r>
                </w:p>
              </w:tc>
              <w:tc>
                <w:tcPr>
                  <w:tcW w:w="1662" w:type="dxa"/>
                  <w:vAlign w:val="center"/>
                </w:tcPr>
                <w:p w14:paraId="2AA2DFBB">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w:t>
                  </w:r>
                </w:p>
              </w:tc>
              <w:tc>
                <w:tcPr>
                  <w:tcW w:w="1885" w:type="dxa"/>
                  <w:vAlign w:val="center"/>
                </w:tcPr>
                <w:p w14:paraId="3BE40231">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w:t>
                  </w:r>
                </w:p>
              </w:tc>
            </w:tr>
            <w:tr w14:paraId="29AC8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8" w:type="dxa"/>
                  <w:vAlign w:val="center"/>
                </w:tcPr>
                <w:p w14:paraId="4528A0A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南厂界</w:t>
                  </w:r>
                </w:p>
              </w:tc>
              <w:tc>
                <w:tcPr>
                  <w:tcW w:w="1794" w:type="dxa"/>
                  <w:vAlign w:val="center"/>
                </w:tcPr>
                <w:p w14:paraId="3A90697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4类标准</w:t>
                  </w:r>
                </w:p>
              </w:tc>
              <w:tc>
                <w:tcPr>
                  <w:tcW w:w="1662" w:type="dxa"/>
                  <w:vAlign w:val="center"/>
                </w:tcPr>
                <w:p w14:paraId="7D0D8087">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70</w:t>
                  </w:r>
                </w:p>
              </w:tc>
              <w:tc>
                <w:tcPr>
                  <w:tcW w:w="1885" w:type="dxa"/>
                  <w:vAlign w:val="center"/>
                </w:tcPr>
                <w:p w14:paraId="632E788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55</w:t>
                  </w:r>
                </w:p>
              </w:tc>
            </w:tr>
          </w:tbl>
          <w:p w14:paraId="5CBB1288">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b/>
                <w:bCs/>
                <w:color w:val="auto"/>
              </w:rPr>
            </w:pPr>
            <w:r>
              <w:rPr>
                <w:rFonts w:hint="default" w:ascii="Times New Roman" w:hAnsi="Times New Roman" w:eastAsia="宋体" w:cs="Times New Roman"/>
                <w:b/>
                <w:bCs/>
                <w:color w:val="auto"/>
              </w:rPr>
              <w:t>4</w:t>
            </w: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rPr>
              <w:t>固废</w:t>
            </w:r>
          </w:p>
          <w:p w14:paraId="60B785D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rPr>
              <w:t>一般固体废物执行《一般工业固体废物贮存和填埋污染控制标准》（GB18599-2020）；本项目产生的危险废物贮存执行《危险废物贮存污染控制标准》（GB18597-2023）、《危险废物污染防治技术政策》和《危险废物转移联单管理办法》中的相关要求。</w:t>
            </w:r>
          </w:p>
          <w:p w14:paraId="64F74E8B">
            <w:pPr>
              <w:bidi w:val="0"/>
              <w:outlineLvl w:val="9"/>
              <w:rPr>
                <w:rFonts w:hint="default"/>
                <w:color w:val="auto"/>
              </w:rPr>
            </w:pPr>
          </w:p>
          <w:p w14:paraId="32D09AB1">
            <w:pPr>
              <w:bidi w:val="0"/>
              <w:outlineLvl w:val="9"/>
              <w:rPr>
                <w:rFonts w:hint="default"/>
                <w:color w:val="auto"/>
              </w:rPr>
            </w:pPr>
          </w:p>
        </w:tc>
      </w:tr>
      <w:tr w14:paraId="3D0AF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719" w:type="dxa"/>
            <w:noWrap w:val="0"/>
            <w:vAlign w:val="center"/>
          </w:tcPr>
          <w:p w14:paraId="42C926A2">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总量</w:t>
            </w:r>
          </w:p>
          <w:p w14:paraId="1D75CCE0">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控制</w:t>
            </w:r>
          </w:p>
          <w:p w14:paraId="6E467CD6">
            <w:pPr>
              <w:spacing w:line="360" w:lineRule="auto"/>
              <w:jc w:val="center"/>
              <w:outlineLvl w:val="9"/>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指标</w:t>
            </w:r>
          </w:p>
        </w:tc>
        <w:tc>
          <w:tcPr>
            <w:tcW w:w="8271" w:type="dxa"/>
            <w:noWrap w:val="0"/>
            <w:vAlign w:val="center"/>
          </w:tcPr>
          <w:p w14:paraId="000F656B">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根据本项目的排污特征，结合国家污染物排放总量控制原则，列出本项目建议执行的总量控制指标：</w:t>
            </w:r>
          </w:p>
          <w:p w14:paraId="2FA621B8">
            <w:pPr>
              <w:adjustRightInd w:val="0"/>
              <w:snapToGrid w:val="0"/>
              <w:spacing w:line="360" w:lineRule="auto"/>
              <w:ind w:firstLine="422" w:firstLineChars="20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1.废气</w:t>
            </w:r>
          </w:p>
          <w:p w14:paraId="4BC73E83">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有组织：非甲烷总烃</w:t>
            </w:r>
            <w:r>
              <w:rPr>
                <w:rFonts w:hint="eastAsia" w:cs="Times New Roman"/>
                <w:i w:val="0"/>
                <w:iCs w:val="0"/>
                <w:color w:val="auto"/>
                <w:kern w:val="0"/>
                <w:sz w:val="21"/>
                <w:szCs w:val="21"/>
                <w:u w:val="none"/>
                <w:lang w:val="en-US" w:eastAsia="zh-CN" w:bidi="ar"/>
              </w:rPr>
              <w:t>7.9217</w:t>
            </w:r>
            <w:r>
              <w:rPr>
                <w:rFonts w:hint="default" w:ascii="Times New Roman" w:hAnsi="Times New Roman" w:eastAsia="宋体" w:cs="Times New Roman"/>
                <w:color w:val="auto"/>
                <w:sz w:val="21"/>
                <w:szCs w:val="21"/>
              </w:rPr>
              <w:t>kg/a。</w:t>
            </w:r>
          </w:p>
          <w:p w14:paraId="3AC4FAEF">
            <w:pPr>
              <w:adjustRightInd w:val="0"/>
              <w:snapToGrid w:val="0"/>
              <w:spacing w:line="360" w:lineRule="auto"/>
              <w:ind w:firstLine="422" w:firstLineChars="200"/>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2.废水.</w:t>
            </w:r>
          </w:p>
          <w:p w14:paraId="2C35A2D6">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生产废水</w:t>
            </w:r>
            <w:r>
              <w:rPr>
                <w:rFonts w:hint="default" w:ascii="Times New Roman" w:hAnsi="Times New Roman" w:eastAsia="宋体" w:cs="Times New Roman"/>
                <w:color w:val="auto"/>
                <w:sz w:val="21"/>
                <w:szCs w:val="21"/>
              </w:rPr>
              <w:t>量约为</w:t>
            </w:r>
            <w:r>
              <w:rPr>
                <w:rFonts w:hint="default" w:ascii="Times New Roman" w:hAnsi="Times New Roman" w:eastAsia="宋体" w:cs="Times New Roman"/>
                <w:b w:val="0"/>
                <w:bCs/>
                <w:color w:val="auto"/>
                <w:sz w:val="21"/>
                <w:szCs w:val="21"/>
                <w:vertAlign w:val="baseline"/>
                <w:lang w:val="en-US" w:eastAsia="zh-CN"/>
              </w:rPr>
              <w:t>20.365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/a，其中：COD：</w:t>
            </w:r>
            <w:r>
              <w:rPr>
                <w:rFonts w:hint="default" w:ascii="Times New Roman" w:hAnsi="Times New Roman" w:eastAsia="宋体" w:cs="Times New Roman"/>
                <w:b w:val="0"/>
                <w:bCs/>
                <w:i w:val="0"/>
                <w:iCs w:val="0"/>
                <w:color w:val="auto"/>
                <w:kern w:val="0"/>
                <w:sz w:val="21"/>
                <w:szCs w:val="21"/>
                <w:u w:val="none"/>
                <w:lang w:val="en-US" w:eastAsia="zh-CN" w:bidi="ar"/>
              </w:rPr>
              <w:t>0.00065</w:t>
            </w:r>
            <w:r>
              <w:rPr>
                <w:rFonts w:hint="default" w:ascii="Times New Roman" w:hAnsi="Times New Roman" w:eastAsia="宋体" w:cs="Times New Roman"/>
                <w:color w:val="auto"/>
                <w:sz w:val="21"/>
                <w:szCs w:val="21"/>
              </w:rPr>
              <w:t>t/a；氨氮：</w:t>
            </w:r>
            <w:r>
              <w:rPr>
                <w:rFonts w:hint="default" w:ascii="Times New Roman" w:hAnsi="Times New Roman" w:eastAsia="宋体" w:cs="Times New Roman"/>
                <w:b w:val="0"/>
                <w:bCs/>
                <w:i w:val="0"/>
                <w:iCs w:val="0"/>
                <w:color w:val="auto"/>
                <w:kern w:val="0"/>
                <w:sz w:val="21"/>
                <w:szCs w:val="21"/>
                <w:u w:val="none"/>
                <w:lang w:val="en-US" w:eastAsia="zh-CN" w:bidi="ar"/>
              </w:rPr>
              <w:t>0.000012</w:t>
            </w:r>
            <w:r>
              <w:rPr>
                <w:rFonts w:hint="default" w:ascii="Times New Roman" w:hAnsi="Times New Roman" w:eastAsia="宋体" w:cs="Times New Roman"/>
                <w:color w:val="auto"/>
                <w:sz w:val="21"/>
                <w:szCs w:val="21"/>
              </w:rPr>
              <w:t>t/a；总磷</w:t>
            </w:r>
            <w:r>
              <w:rPr>
                <w:rFonts w:hint="default" w:ascii="Times New Roman" w:hAnsi="Times New Roman" w:eastAsia="宋体" w:cs="Times New Roman"/>
                <w:b w:val="0"/>
                <w:bCs/>
                <w:i w:val="0"/>
                <w:iCs w:val="0"/>
                <w:color w:val="auto"/>
                <w:kern w:val="0"/>
                <w:sz w:val="21"/>
                <w:szCs w:val="21"/>
                <w:u w:val="none"/>
                <w:lang w:val="en-US" w:eastAsia="zh-CN" w:bidi="ar"/>
              </w:rPr>
              <w:t>0.000005</w:t>
            </w:r>
            <w:r>
              <w:rPr>
                <w:rFonts w:hint="default" w:ascii="Times New Roman" w:hAnsi="Times New Roman" w:eastAsia="宋体" w:cs="Times New Roman"/>
                <w:color w:val="auto"/>
                <w:sz w:val="21"/>
                <w:szCs w:val="21"/>
              </w:rPr>
              <w:t>t/a。项目运营期间</w:t>
            </w:r>
            <w:r>
              <w:rPr>
                <w:rFonts w:hint="eastAsia" w:ascii="Times New Roman" w:hAnsi="Times New Roman" w:eastAsia="宋体" w:cs="Times New Roman"/>
                <w:color w:val="auto"/>
                <w:sz w:val="21"/>
                <w:szCs w:val="21"/>
                <w:lang w:val="en-US" w:eastAsia="zh-CN"/>
              </w:rPr>
              <w:t>生产</w:t>
            </w:r>
            <w:r>
              <w:rPr>
                <w:rFonts w:hint="default" w:ascii="Times New Roman" w:hAnsi="Times New Roman" w:eastAsia="宋体" w:cs="Times New Roman"/>
                <w:color w:val="auto"/>
                <w:sz w:val="21"/>
                <w:szCs w:val="21"/>
              </w:rPr>
              <w:t>废水</w:t>
            </w:r>
            <w:r>
              <w:rPr>
                <w:rFonts w:hint="eastAsia" w:ascii="Times New Roman" w:hAnsi="Times New Roman" w:eastAsia="宋体" w:cs="Times New Roman"/>
                <w:color w:val="auto"/>
                <w:sz w:val="21"/>
                <w:szCs w:val="21"/>
                <w:lang w:val="en-US" w:eastAsia="zh-CN"/>
              </w:rPr>
              <w:t>经中和沉淀池</w:t>
            </w:r>
            <w:r>
              <w:rPr>
                <w:rFonts w:hint="default" w:ascii="Times New Roman" w:hAnsi="Times New Roman" w:eastAsia="宋体" w:cs="Times New Roman"/>
                <w:color w:val="auto"/>
                <w:sz w:val="21"/>
                <w:szCs w:val="21"/>
              </w:rPr>
              <w:t>处理后排入市政污水管网，最终进入</w:t>
            </w:r>
            <w:r>
              <w:rPr>
                <w:rFonts w:hint="default" w:ascii="Times New Roman" w:hAnsi="Times New Roman" w:eastAsia="宋体" w:cs="Times New Roman"/>
                <w:color w:val="auto"/>
                <w:sz w:val="21"/>
                <w:szCs w:val="21"/>
                <w:lang w:eastAsia="zh-CN"/>
              </w:rPr>
              <w:t>昆明市第</w:t>
            </w:r>
            <w:r>
              <w:rPr>
                <w:rFonts w:hint="eastAsia" w:ascii="Times New Roman" w:hAnsi="Times New Roman" w:eastAsia="宋体" w:cs="Times New Roman"/>
                <w:color w:val="auto"/>
                <w:sz w:val="21"/>
                <w:szCs w:val="21"/>
                <w:lang w:val="en-US" w:eastAsia="zh-CN"/>
              </w:rPr>
              <w:t>十四</w:t>
            </w:r>
            <w:r>
              <w:rPr>
                <w:rFonts w:hint="default" w:ascii="Times New Roman" w:hAnsi="Times New Roman" w:eastAsia="宋体" w:cs="Times New Roman"/>
                <w:color w:val="auto"/>
                <w:sz w:val="21"/>
                <w:szCs w:val="21"/>
              </w:rPr>
              <w:t>水质净化厂，废水污染物排放总量计入</w:t>
            </w:r>
            <w:r>
              <w:rPr>
                <w:rFonts w:hint="default" w:ascii="Times New Roman" w:hAnsi="Times New Roman" w:eastAsia="宋体" w:cs="Times New Roman"/>
                <w:color w:val="auto"/>
                <w:sz w:val="21"/>
                <w:szCs w:val="21"/>
                <w:lang w:eastAsia="zh-CN"/>
              </w:rPr>
              <w:t>昆明市第</w:t>
            </w:r>
            <w:r>
              <w:rPr>
                <w:rFonts w:hint="eastAsia" w:ascii="Times New Roman" w:hAnsi="Times New Roman" w:eastAsia="宋体" w:cs="Times New Roman"/>
                <w:color w:val="auto"/>
                <w:sz w:val="21"/>
                <w:szCs w:val="21"/>
                <w:lang w:val="en-US" w:eastAsia="zh-CN"/>
              </w:rPr>
              <w:t>十四</w:t>
            </w:r>
            <w:r>
              <w:rPr>
                <w:rFonts w:hint="default" w:ascii="Times New Roman" w:hAnsi="Times New Roman" w:eastAsia="宋体" w:cs="Times New Roman"/>
                <w:color w:val="auto"/>
                <w:sz w:val="21"/>
                <w:szCs w:val="21"/>
              </w:rPr>
              <w:t>水质净化厂总量进行考核，因此本项目不单独设废水总量控制指标。</w:t>
            </w:r>
          </w:p>
          <w:p w14:paraId="7CD57040">
            <w:pPr>
              <w:adjustRightInd w:val="0"/>
              <w:snapToGrid w:val="0"/>
              <w:spacing w:line="360" w:lineRule="auto"/>
              <w:ind w:firstLine="422" w:firstLineChars="200"/>
              <w:jc w:val="left"/>
              <w:outlineLvl w:val="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3.固废</w:t>
            </w:r>
          </w:p>
          <w:p w14:paraId="4B06B1C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固体废物处置率为100%。</w:t>
            </w:r>
          </w:p>
          <w:p w14:paraId="7F4EDE8C">
            <w:pPr>
              <w:bidi w:val="0"/>
              <w:outlineLvl w:val="9"/>
              <w:rPr>
                <w:rFonts w:hint="eastAsia"/>
                <w:color w:val="auto"/>
              </w:rPr>
            </w:pPr>
          </w:p>
        </w:tc>
      </w:tr>
    </w:tbl>
    <w:p w14:paraId="048EFF33">
      <w:pPr>
        <w:jc w:val="center"/>
        <w:outlineLvl w:val="9"/>
        <w:rPr>
          <w:b/>
          <w:bCs/>
          <w:color w:val="auto"/>
          <w:sz w:val="24"/>
          <w:szCs w:val="24"/>
        </w:rPr>
        <w:sectPr>
          <w:pgSz w:w="11906" w:h="16838"/>
          <w:pgMar w:top="1440" w:right="1800" w:bottom="1440" w:left="1800" w:header="851" w:footer="992" w:gutter="0"/>
          <w:pgNumType w:fmt="decimal"/>
          <w:cols w:space="425" w:num="1"/>
          <w:docGrid w:type="lines" w:linePitch="312" w:charSpace="0"/>
        </w:sectPr>
      </w:pPr>
    </w:p>
    <w:p w14:paraId="2E928C42">
      <w:pPr>
        <w:jc w:val="center"/>
        <w:outlineLvl w:val="0"/>
        <w:rPr>
          <w:rFonts w:hint="eastAsia" w:ascii="Times New Roman" w:hAnsi="Times New Roman" w:eastAsia="宋体" w:cs="Times New Roman"/>
          <w:b/>
          <w:bCs/>
          <w:color w:val="auto"/>
          <w:sz w:val="28"/>
          <w:szCs w:val="28"/>
        </w:rPr>
      </w:pPr>
      <w:bookmarkStart w:id="7" w:name="_Toc26033"/>
      <w:r>
        <w:rPr>
          <w:rFonts w:hint="eastAsia" w:ascii="Times New Roman" w:hAnsi="Times New Roman" w:eastAsia="宋体" w:cs="Times New Roman"/>
          <w:b/>
          <w:bCs/>
          <w:color w:val="auto"/>
          <w:sz w:val="28"/>
          <w:szCs w:val="28"/>
        </w:rPr>
        <w:t>四、主要环境影响和保护措施</w:t>
      </w:r>
      <w:bookmarkEnd w:id="7"/>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238"/>
      </w:tblGrid>
      <w:tr w14:paraId="6E970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670" w:type="dxa"/>
            <w:noWrap w:val="0"/>
            <w:tcMar>
              <w:left w:w="28" w:type="dxa"/>
              <w:right w:w="28" w:type="dxa"/>
            </w:tcMar>
            <w:vAlign w:val="center"/>
          </w:tcPr>
          <w:p w14:paraId="42AB6D7D">
            <w:pPr>
              <w:pStyle w:val="17"/>
              <w:adjustRightInd w:val="0"/>
              <w:snapToGrid w:val="0"/>
              <w:spacing w:before="0" w:beforeAutospacing="0" w:after="0" w:afterAutospacing="0" w:line="360" w:lineRule="auto"/>
              <w:jc w:val="center"/>
              <w:outlineLvl w:val="9"/>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施工</w:t>
            </w:r>
          </w:p>
          <w:p w14:paraId="7127D8BC">
            <w:pPr>
              <w:pStyle w:val="17"/>
              <w:adjustRightInd w:val="0"/>
              <w:snapToGrid w:val="0"/>
              <w:spacing w:before="0" w:beforeAutospacing="0" w:after="0" w:afterAutospacing="0" w:line="360" w:lineRule="auto"/>
              <w:jc w:val="center"/>
              <w:outlineLvl w:val="9"/>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期环</w:t>
            </w:r>
          </w:p>
          <w:p w14:paraId="575C3615">
            <w:pPr>
              <w:pStyle w:val="17"/>
              <w:adjustRightInd w:val="0"/>
              <w:snapToGrid w:val="0"/>
              <w:spacing w:before="0" w:beforeAutospacing="0" w:after="0" w:afterAutospacing="0" w:line="360" w:lineRule="auto"/>
              <w:jc w:val="center"/>
              <w:outlineLvl w:val="9"/>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境保</w:t>
            </w:r>
          </w:p>
          <w:p w14:paraId="1ED3A9E9">
            <w:pPr>
              <w:pStyle w:val="17"/>
              <w:adjustRightInd w:val="0"/>
              <w:snapToGrid w:val="0"/>
              <w:spacing w:before="0" w:beforeAutospacing="0" w:after="0" w:afterAutospacing="0" w:line="360" w:lineRule="auto"/>
              <w:jc w:val="center"/>
              <w:outlineLvl w:val="9"/>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护措</w:t>
            </w:r>
          </w:p>
          <w:p w14:paraId="243A7B4F">
            <w:pPr>
              <w:pStyle w:val="17"/>
              <w:adjustRightInd w:val="0"/>
              <w:snapToGrid w:val="0"/>
              <w:spacing w:before="0" w:beforeAutospacing="0" w:after="0" w:afterAutospacing="0" w:line="360" w:lineRule="auto"/>
              <w:jc w:val="center"/>
              <w:outlineLvl w:val="9"/>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施</w:t>
            </w:r>
          </w:p>
        </w:tc>
        <w:tc>
          <w:tcPr>
            <w:tcW w:w="8238" w:type="dxa"/>
            <w:noWrap w:val="0"/>
            <w:vAlign w:val="center"/>
          </w:tcPr>
          <w:p w14:paraId="38774E1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color w:val="auto"/>
                <w:sz w:val="21"/>
                <w:szCs w:val="21"/>
                <w:lang w:val="en-US" w:eastAsia="zh-CN"/>
              </w:rPr>
              <w:t>本项目租用</w:t>
            </w:r>
            <w:r>
              <w:rPr>
                <w:rFonts w:hint="default" w:ascii="Times New Roman" w:hAnsi="Times New Roman" w:eastAsia="宋体" w:cs="Times New Roman"/>
                <w:color w:val="auto"/>
                <w:lang w:val="en-US" w:eastAsia="zh-CN"/>
              </w:rPr>
              <w:t>云南水投牛栏江滇池补水工程有限公司负2楼地下室进行建设，</w:t>
            </w:r>
            <w:r>
              <w:rPr>
                <w:rFonts w:hint="default" w:ascii="Times New Roman" w:hAnsi="Times New Roman" w:eastAsia="宋体" w:cs="Times New Roman"/>
                <w:color w:val="auto"/>
                <w:sz w:val="21"/>
                <w:szCs w:val="21"/>
              </w:rPr>
              <w:t>施工期仅进行内部装修和设备安装调试，施工量较小，施工期主要污染物为施工期扬尘、室内装修废气、</w:t>
            </w:r>
            <w:r>
              <w:rPr>
                <w:rFonts w:hint="default" w:ascii="Times New Roman" w:hAnsi="Times New Roman" w:eastAsia="宋体" w:cs="Times New Roman"/>
                <w:color w:val="auto"/>
                <w:sz w:val="21"/>
                <w:szCs w:val="21"/>
                <w:lang w:val="en-US" w:eastAsia="zh-CN"/>
              </w:rPr>
              <w:t>施工人员生活污水、</w:t>
            </w:r>
            <w:r>
              <w:rPr>
                <w:rFonts w:hint="default" w:ascii="Times New Roman" w:hAnsi="Times New Roman" w:eastAsia="宋体" w:cs="Times New Roman"/>
                <w:color w:val="auto"/>
                <w:sz w:val="21"/>
                <w:szCs w:val="21"/>
              </w:rPr>
              <w:t>施工噪声及</w:t>
            </w:r>
            <w:r>
              <w:rPr>
                <w:rFonts w:hint="eastAsia" w:ascii="Times New Roman" w:hAnsi="Times New Roman" w:eastAsia="宋体" w:cs="Times New Roman"/>
                <w:color w:val="auto"/>
                <w:sz w:val="21"/>
                <w:szCs w:val="21"/>
                <w:lang w:val="en-US" w:eastAsia="zh-CN"/>
              </w:rPr>
              <w:t>建筑垃圾和施工人员生活垃圾</w:t>
            </w:r>
            <w:r>
              <w:rPr>
                <w:rFonts w:hint="default" w:ascii="Times New Roman" w:hAnsi="Times New Roman" w:eastAsia="宋体" w:cs="Times New Roman"/>
                <w:color w:val="auto"/>
                <w:sz w:val="21"/>
                <w:szCs w:val="21"/>
              </w:rPr>
              <w:t>。</w:t>
            </w:r>
          </w:p>
          <w:p w14:paraId="251BDC53">
            <w:pPr>
              <w:adjustRightInd w:val="0"/>
              <w:snapToGrid w:val="0"/>
              <w:spacing w:line="360" w:lineRule="auto"/>
              <w:jc w:val="left"/>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施工期大气</w:t>
            </w:r>
            <w:r>
              <w:rPr>
                <w:rFonts w:hint="eastAsia" w:ascii="Times New Roman" w:hAnsi="Times New Roman" w:eastAsia="宋体" w:cs="Times New Roman"/>
                <w:b/>
                <w:bCs/>
                <w:color w:val="auto"/>
                <w:sz w:val="21"/>
                <w:szCs w:val="21"/>
                <w:lang w:val="en-US" w:eastAsia="zh-CN"/>
              </w:rPr>
              <w:t>污染防治</w:t>
            </w:r>
            <w:r>
              <w:rPr>
                <w:rFonts w:hint="default" w:ascii="Times New Roman" w:hAnsi="Times New Roman" w:eastAsia="宋体" w:cs="Times New Roman"/>
                <w:b/>
                <w:bCs/>
                <w:color w:val="auto"/>
                <w:sz w:val="21"/>
                <w:szCs w:val="21"/>
              </w:rPr>
              <w:t>措施</w:t>
            </w:r>
          </w:p>
          <w:p w14:paraId="0145FC1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本项目施工期废气主要来源于装修施工产生的扬尘、</w:t>
            </w:r>
            <w:r>
              <w:rPr>
                <w:rFonts w:hint="default" w:ascii="Times New Roman" w:hAnsi="Times New Roman" w:eastAsia="宋体" w:cs="Times New Roman"/>
                <w:color w:val="auto"/>
                <w:sz w:val="21"/>
                <w:szCs w:val="21"/>
                <w:lang w:val="en-US" w:eastAsia="zh-CN"/>
              </w:rPr>
              <w:t>室内装修</w:t>
            </w:r>
            <w:r>
              <w:rPr>
                <w:rFonts w:hint="default" w:ascii="Times New Roman" w:hAnsi="Times New Roman" w:eastAsia="宋体" w:cs="Times New Roman"/>
                <w:color w:val="auto"/>
                <w:sz w:val="21"/>
                <w:szCs w:val="21"/>
              </w:rPr>
              <w:t>废气。</w:t>
            </w:r>
          </w:p>
          <w:p w14:paraId="3BC277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（1）</w:t>
            </w:r>
            <w:r>
              <w:rPr>
                <w:rFonts w:hint="default" w:ascii="Times New Roman" w:hAnsi="Times New Roman" w:eastAsia="宋体" w:cs="Times New Roman"/>
                <w:color w:val="auto"/>
                <w:sz w:val="21"/>
                <w:szCs w:val="21"/>
              </w:rPr>
              <w:t>施工中定期对施工场地</w:t>
            </w:r>
            <w:r>
              <w:rPr>
                <w:rFonts w:hint="default" w:ascii="Times New Roman" w:hAnsi="Times New Roman" w:eastAsia="宋体" w:cs="Times New Roman"/>
                <w:color w:val="auto"/>
                <w:sz w:val="21"/>
                <w:szCs w:val="21"/>
                <w:lang w:val="en-US" w:eastAsia="zh-CN"/>
              </w:rPr>
              <w:t>洒水</w:t>
            </w:r>
            <w:r>
              <w:rPr>
                <w:rFonts w:hint="default" w:ascii="Times New Roman" w:hAnsi="Times New Roman" w:eastAsia="宋体" w:cs="Times New Roman"/>
                <w:color w:val="auto"/>
                <w:sz w:val="21"/>
                <w:szCs w:val="21"/>
              </w:rPr>
              <w:t>抑尘</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施工</w:t>
            </w:r>
            <w:r>
              <w:rPr>
                <w:rFonts w:hint="default" w:ascii="Times New Roman" w:hAnsi="Times New Roman" w:eastAsia="宋体" w:cs="Times New Roman"/>
                <w:color w:val="auto"/>
                <w:sz w:val="21"/>
                <w:szCs w:val="21"/>
              </w:rPr>
              <w:t>物料在室内进行堆存</w:t>
            </w:r>
            <w:r>
              <w:rPr>
                <w:rFonts w:hint="eastAsia" w:ascii="Times New Roman" w:hAnsi="Times New Roman" w:eastAsia="宋体" w:cs="Times New Roman"/>
                <w:color w:val="auto"/>
                <w:sz w:val="21"/>
                <w:szCs w:val="21"/>
                <w:lang w:eastAsia="zh-CN"/>
              </w:rPr>
              <w:t>，粉状物料连盖运输</w:t>
            </w:r>
            <w:r>
              <w:rPr>
                <w:rFonts w:hint="default" w:ascii="Times New Roman" w:hAnsi="Times New Roman" w:eastAsia="宋体" w:cs="Times New Roman"/>
                <w:color w:val="auto"/>
                <w:sz w:val="21"/>
                <w:szCs w:val="21"/>
              </w:rPr>
              <w:t>。</w:t>
            </w:r>
          </w:p>
          <w:p w14:paraId="714D35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（2）施工涂料在符合国家标准的前提下尽量选择低挥发性涂料</w:t>
            </w:r>
            <w:r>
              <w:rPr>
                <w:rFonts w:hint="default" w:ascii="Times New Roman" w:hAnsi="Times New Roman" w:eastAsia="宋体" w:cs="Times New Roman"/>
                <w:color w:val="auto"/>
                <w:sz w:val="21"/>
                <w:szCs w:val="21"/>
              </w:rPr>
              <w:t>。</w:t>
            </w:r>
          </w:p>
          <w:p w14:paraId="73AC5DB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（3）</w:t>
            </w:r>
            <w:r>
              <w:rPr>
                <w:rFonts w:hint="default" w:ascii="Times New Roman" w:hAnsi="Times New Roman" w:eastAsia="宋体" w:cs="Times New Roman"/>
                <w:color w:val="auto"/>
                <w:sz w:val="21"/>
                <w:szCs w:val="21"/>
                <w:lang w:val="en-US" w:eastAsia="zh-CN"/>
              </w:rPr>
              <w:t>施</w:t>
            </w:r>
            <w:r>
              <w:rPr>
                <w:rFonts w:hint="default" w:ascii="Times New Roman" w:hAnsi="Times New Roman" w:eastAsia="宋体" w:cs="Times New Roman"/>
                <w:color w:val="auto"/>
                <w:sz w:val="21"/>
                <w:szCs w:val="21"/>
              </w:rPr>
              <w:t>工废弃物不得堆放在施工区外，要求及时进行洁运处理。</w:t>
            </w:r>
          </w:p>
          <w:p w14:paraId="0DEBD4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eastAsia="zh-CN"/>
              </w:rPr>
              <w:t>施工机械、运输车辆的维修保养，禁止施工机械超负荷工作和运输车辆超载。</w:t>
            </w:r>
          </w:p>
          <w:p w14:paraId="14512BA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综上</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施工期废气随施工期结束而终止,施工期废气通过空气稀释扩散后,对周围环境影响较小。</w:t>
            </w:r>
          </w:p>
          <w:p w14:paraId="126AF380">
            <w:pPr>
              <w:adjustRightInd w:val="0"/>
              <w:snapToGrid w:val="0"/>
              <w:spacing w:line="360" w:lineRule="auto"/>
              <w:jc w:val="left"/>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施工期水环境保护措施</w:t>
            </w:r>
          </w:p>
          <w:p w14:paraId="140948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施工废水主要为施工人员</w:t>
            </w:r>
            <w:r>
              <w:rPr>
                <w:rFonts w:hint="default" w:ascii="Times New Roman" w:hAnsi="Times New Roman" w:eastAsia="宋体" w:cs="Times New Roman"/>
                <w:color w:val="auto"/>
                <w:lang w:val="en-US" w:eastAsia="zh-CN"/>
              </w:rPr>
              <w:t>产生的生活污水，</w:t>
            </w:r>
            <w:r>
              <w:rPr>
                <w:rFonts w:hint="eastAsia" w:cs="Times New Roman"/>
                <w:color w:val="auto"/>
                <w:lang w:val="en-US" w:eastAsia="zh-CN"/>
              </w:rPr>
              <w:t>无施工废水，</w:t>
            </w:r>
            <w:r>
              <w:rPr>
                <w:rFonts w:hint="default" w:ascii="Times New Roman" w:hAnsi="Times New Roman" w:eastAsia="宋体" w:cs="Times New Roman"/>
                <w:color w:val="auto"/>
                <w:lang w:val="en-US" w:eastAsia="zh-CN"/>
              </w:rPr>
              <w:t>依托云南水投牛栏江滇池补水工程有限公司的化粪池处理后进入周边市政污水管网</w:t>
            </w:r>
            <w:r>
              <w:rPr>
                <w:rFonts w:hint="default" w:ascii="Times New Roman" w:hAnsi="Times New Roman" w:eastAsia="宋体" w:cs="Times New Roman"/>
                <w:color w:val="auto"/>
              </w:rPr>
              <w:t>，最终进入</w:t>
            </w:r>
            <w:r>
              <w:rPr>
                <w:rFonts w:hint="eastAsia" w:cs="Times New Roman"/>
                <w:color w:val="auto"/>
                <w:lang w:val="en-US" w:eastAsia="zh-CN"/>
              </w:rPr>
              <w:t>昆明市第十四水质净化厂</w:t>
            </w:r>
            <w:r>
              <w:rPr>
                <w:rFonts w:hint="default" w:ascii="Times New Roman" w:hAnsi="Times New Roman" w:eastAsia="宋体" w:cs="Times New Roman"/>
                <w:color w:val="auto"/>
                <w:sz w:val="21"/>
                <w:szCs w:val="21"/>
              </w:rPr>
              <w:t>，对周围地表水环境影响较小，措施可行。</w:t>
            </w:r>
          </w:p>
          <w:p w14:paraId="14DBC80B">
            <w:pPr>
              <w:pStyle w:val="3"/>
              <w:adjustRightInd w:val="0"/>
              <w:snapToGrid w:val="0"/>
              <w:spacing w:line="360" w:lineRule="auto"/>
              <w:jc w:val="left"/>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rPr>
              <w:t>施工期声环境保护措施</w:t>
            </w:r>
          </w:p>
          <w:p w14:paraId="19A93297">
            <w:pPr>
              <w:pStyle w:val="3"/>
              <w:adjustRightInd w:val="0"/>
              <w:snapToGrid w:val="0"/>
              <w:spacing w:line="36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本项目施工过程中主要采取如下噪声防治措施：</w:t>
            </w:r>
          </w:p>
          <w:p w14:paraId="3860A66C">
            <w:pPr>
              <w:pStyle w:val="3"/>
              <w:adjustRightInd w:val="0"/>
              <w:snapToGrid w:val="0"/>
              <w:spacing w:line="36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从声源上控制：建设单位在与施工单位签订合同时，要求施工单位使用的主要机械设备为低噪声机械设备。同时要求在施工过程中施工单位设专人对设备定期保养和维护，并负责对现场工作人员培训，严格按操作规范使用各类机械；</w:t>
            </w:r>
          </w:p>
          <w:p w14:paraId="373F9770">
            <w:pPr>
              <w:pStyle w:val="3"/>
              <w:adjustRightInd w:val="0"/>
              <w:snapToGrid w:val="0"/>
              <w:spacing w:line="36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（2）施工期间必须严格按《建筑施工场界环境噪声排放标准》（GB12523-2011）进行施工噪声的控制，以减少工程建设施工对周边造成的声环境影响；</w:t>
            </w:r>
          </w:p>
          <w:p w14:paraId="5E56763D">
            <w:pPr>
              <w:pStyle w:val="3"/>
              <w:adjustRightInd w:val="0"/>
              <w:snapToGrid w:val="0"/>
              <w:spacing w:line="36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（3）禁止夜间（22:00—06：00）施工。</w:t>
            </w:r>
          </w:p>
          <w:p w14:paraId="107BF5CE">
            <w:pPr>
              <w:pStyle w:val="3"/>
              <w:adjustRightInd w:val="0"/>
              <w:snapToGrid w:val="0"/>
              <w:spacing w:line="360" w:lineRule="auto"/>
              <w:ind w:firstLine="420" w:firstLineChars="200"/>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通过采取相应的环保措施后，项目施工对周边声环境影响可以得到有效控制，措施可行。</w:t>
            </w:r>
          </w:p>
          <w:p w14:paraId="348564E3">
            <w:pPr>
              <w:pStyle w:val="3"/>
              <w:adjustRightInd w:val="0"/>
              <w:snapToGrid w:val="0"/>
              <w:spacing w:line="360" w:lineRule="auto"/>
              <w:jc w:val="left"/>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rPr>
              <w:t>施工期固体废物环境保护措施</w:t>
            </w:r>
          </w:p>
          <w:p w14:paraId="0BD5CB5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outlineLvl w:val="9"/>
              <w:rPr>
                <w:rFonts w:hint="default" w:ascii="Times New Roman" w:hAnsi="Times New Roman" w:eastAsia="宋体" w:cs="Times New Roman"/>
                <w:bCs/>
                <w:color w:val="auto"/>
                <w:spacing w:val="-10"/>
                <w:sz w:val="21"/>
                <w:szCs w:val="21"/>
              </w:rPr>
            </w:pPr>
            <w:r>
              <w:rPr>
                <w:rFonts w:hint="default" w:ascii="Times New Roman" w:hAnsi="Times New Roman" w:eastAsia="宋体" w:cs="Times New Roman"/>
                <w:color w:val="auto"/>
                <w:sz w:val="21"/>
                <w:szCs w:val="21"/>
              </w:rPr>
              <w:t>施工过程中产生的主要的固体废弃物为生活垃圾及少量包装材料、装修建筑垃圾等。废包装材料外售给回收单位予以回收利用；装修等建筑垃圾集中堆放、及时清理，外运到管理部门的指定地点；生活垃圾由垃圾桶集中收集后由环卫部门定期清运。项目施工期产生的固废得到妥善处置，处置率100%，措施可行。</w:t>
            </w:r>
          </w:p>
        </w:tc>
      </w:tr>
      <w:tr w14:paraId="657E66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70" w:type="dxa"/>
            <w:noWrap w:val="0"/>
            <w:tcMar>
              <w:left w:w="28" w:type="dxa"/>
              <w:right w:w="28" w:type="dxa"/>
            </w:tcMar>
            <w:vAlign w:val="center"/>
          </w:tcPr>
          <w:p w14:paraId="1A3B406E">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运营</w:t>
            </w:r>
          </w:p>
          <w:p w14:paraId="2DFC487E">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期环</w:t>
            </w:r>
          </w:p>
          <w:p w14:paraId="31FD6ED8">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境影</w:t>
            </w:r>
          </w:p>
          <w:p w14:paraId="76ABF98B">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响和</w:t>
            </w:r>
          </w:p>
          <w:p w14:paraId="675D21BF">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w:t>
            </w:r>
          </w:p>
          <w:p w14:paraId="495A4AEB">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措施</w:t>
            </w:r>
          </w:p>
        </w:tc>
        <w:tc>
          <w:tcPr>
            <w:tcW w:w="8238" w:type="dxa"/>
            <w:noWrap w:val="0"/>
            <w:vAlign w:val="top"/>
          </w:tcPr>
          <w:p w14:paraId="0386FC34">
            <w:pPr>
              <w:adjustRightInd w:val="0"/>
              <w:snapToGrid w:val="0"/>
              <w:spacing w:line="360" w:lineRule="auto"/>
              <w:ind w:firstLine="380" w:firstLineChars="200"/>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pacing w:val="-10"/>
                <w:sz w:val="21"/>
                <w:szCs w:val="21"/>
              </w:rPr>
              <w:t>由于专业检测实验室暂无相关行业的排污许可证申请与核发技术规范，故本项目污染物产排根据项目实际结合《排污许可证申请与核发技术规范总则(HJ942-2018)、《污染源源强核算技术指南 准则》(HJ884-2018)</w:t>
            </w:r>
            <w:r>
              <w:rPr>
                <w:rFonts w:hint="default" w:ascii="Times New Roman" w:hAnsi="Times New Roman" w:eastAsia="宋体" w:cs="Times New Roman"/>
                <w:color w:val="auto"/>
                <w:sz w:val="21"/>
                <w:szCs w:val="21"/>
              </w:rPr>
              <w:t>采用污染源系数法进行核算。</w:t>
            </w:r>
          </w:p>
          <w:p w14:paraId="6C4D9E49">
            <w:pPr>
              <w:adjustRightInd w:val="0"/>
              <w:snapToGrid w:val="0"/>
              <w:spacing w:line="360" w:lineRule="auto"/>
              <w:jc w:val="both"/>
              <w:outlineLvl w:val="9"/>
              <w:rPr>
                <w:rFonts w:hint="default" w:ascii="Times New Roman" w:hAnsi="Times New Roman" w:eastAsia="宋体" w:cs="Times New Roman"/>
                <w:b/>
                <w:bCs w:val="0"/>
                <w:color w:val="auto"/>
                <w:spacing w:val="-10"/>
                <w:sz w:val="21"/>
                <w:szCs w:val="21"/>
                <w:lang w:val="en-US" w:eastAsia="zh-CN"/>
              </w:rPr>
            </w:pPr>
            <w:r>
              <w:rPr>
                <w:rFonts w:hint="default" w:ascii="Times New Roman" w:hAnsi="Times New Roman" w:eastAsia="宋体" w:cs="Times New Roman"/>
                <w:b/>
                <w:bCs w:val="0"/>
                <w:color w:val="auto"/>
                <w:spacing w:val="-10"/>
                <w:sz w:val="21"/>
                <w:szCs w:val="21"/>
                <w:lang w:val="en-US" w:eastAsia="zh-CN"/>
              </w:rPr>
              <w:t>1</w:t>
            </w:r>
            <w:r>
              <w:rPr>
                <w:rFonts w:hint="eastAsia" w:cs="Times New Roman"/>
                <w:b/>
                <w:bCs w:val="0"/>
                <w:color w:val="auto"/>
                <w:spacing w:val="-10"/>
                <w:sz w:val="21"/>
                <w:szCs w:val="21"/>
                <w:lang w:val="en-US" w:eastAsia="zh-CN"/>
              </w:rPr>
              <w:t>废气</w:t>
            </w:r>
          </w:p>
          <w:p w14:paraId="6B151A5D">
            <w:pPr>
              <w:bidi w:val="0"/>
              <w:spacing w:line="360" w:lineRule="auto"/>
              <w:outlineLvl w:val="9"/>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1.1</w:t>
            </w:r>
            <w:r>
              <w:rPr>
                <w:rFonts w:hint="default" w:ascii="Times New Roman" w:hAnsi="Times New Roman" w:eastAsia="宋体" w:cs="Times New Roman"/>
                <w:b/>
                <w:bCs/>
                <w:color w:val="auto"/>
                <w:sz w:val="21"/>
                <w:szCs w:val="21"/>
              </w:rPr>
              <w:t>污染源产排情况</w:t>
            </w:r>
          </w:p>
          <w:p w14:paraId="0E3AC837">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项目运营过程中所有设备均使用电源，无燃料废气产生。项目废气主要来源于实验试剂配制、样品处理及样品分析过程三个环节，废气主要分为有机废气</w:t>
            </w:r>
            <w:r>
              <w:rPr>
                <w:rFonts w:hint="eastAsia" w:ascii="Times New Roman" w:hAnsi="Times New Roman" w:eastAsia="宋体" w:cs="Times New Roman"/>
                <w:color w:val="auto"/>
                <w:sz w:val="21"/>
                <w:szCs w:val="21"/>
                <w:lang w:val="en-US" w:eastAsia="zh-CN"/>
              </w:rPr>
              <w:t>及</w:t>
            </w:r>
            <w:r>
              <w:rPr>
                <w:rFonts w:hint="default" w:ascii="Times New Roman" w:hAnsi="Times New Roman" w:eastAsia="宋体" w:cs="Times New Roman"/>
                <w:color w:val="auto"/>
                <w:sz w:val="21"/>
                <w:szCs w:val="21"/>
              </w:rPr>
              <w:t>无机废气。其中有机废气主要污染物为挥发性有机废气，本次评价以非甲烷总烃计，无机废气主要污染物为氯化氢、硫酸雾、硝酸雾（以氮氧化物表征）。</w:t>
            </w:r>
          </w:p>
          <w:p w14:paraId="3498505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lang w:eastAsia="zh-CN"/>
              </w:rPr>
              <w:t>（</w:t>
            </w:r>
            <w:r>
              <w:rPr>
                <w:rFonts w:hint="default" w:ascii="Times New Roman" w:hAnsi="Times New Roman" w:eastAsia="宋体" w:cs="Times New Roman"/>
                <w:b/>
                <w:bCs/>
                <w:color w:val="auto"/>
                <w:lang w:val="en-US" w:eastAsia="zh-CN"/>
              </w:rPr>
              <w:t>1</w:t>
            </w:r>
            <w:r>
              <w:rPr>
                <w:rFonts w:hint="default" w:ascii="Times New Roman" w:hAnsi="Times New Roman" w:eastAsia="宋体" w:cs="Times New Roman"/>
                <w:b/>
                <w:bCs/>
                <w:color w:val="auto"/>
                <w:lang w:eastAsia="zh-CN"/>
              </w:rPr>
              <w:t>）挥发性有机废气产排情况</w:t>
            </w:r>
          </w:p>
          <w:p w14:paraId="0BB025B5">
            <w:pPr>
              <w:adjustRightInd w:val="0"/>
              <w:snapToGrid w:val="0"/>
              <w:spacing w:line="360" w:lineRule="auto"/>
              <w:ind w:firstLine="420" w:firstLineChars="200"/>
              <w:outlineLvl w:val="9"/>
              <w:rPr>
                <w:rFonts w:hint="eastAsia"/>
                <w:color w:val="auto"/>
                <w:sz w:val="24"/>
              </w:rPr>
            </w:pPr>
            <w:r>
              <w:rPr>
                <w:rFonts w:hint="default" w:ascii="Times New Roman" w:hAnsi="Times New Roman" w:eastAsia="宋体" w:cs="Times New Roman"/>
                <w:color w:val="auto"/>
                <w:sz w:val="21"/>
                <w:szCs w:val="21"/>
              </w:rPr>
              <w:t>本项目产生的有机废气主要为实验室使用的挥发性有机试剂</w:t>
            </w:r>
            <w:r>
              <w:rPr>
                <w:rFonts w:hint="default" w:ascii="Times New Roman" w:hAnsi="Times New Roman" w:eastAsia="宋体" w:cs="Times New Roman"/>
                <w:color w:val="auto"/>
                <w:sz w:val="21"/>
                <w:szCs w:val="21"/>
                <w:lang w:val="en-US" w:eastAsia="zh-CN"/>
              </w:rPr>
              <w:t>苯酚、无水乙醇、石油醚、三氟乙酸、二氯甲烷、三氯甲烷、乙腈、2-巯基乙醇、乙酸乙酯、N,N-二甲基甲酰胺、丙酮、甲醇、甲醛</w:t>
            </w:r>
            <w:r>
              <w:rPr>
                <w:rFonts w:hint="eastAsia" w:cs="Times New Roman"/>
                <w:color w:val="auto"/>
                <w:sz w:val="21"/>
                <w:szCs w:val="21"/>
                <w:lang w:val="en-US" w:eastAsia="zh-CN"/>
              </w:rPr>
              <w:t>水</w:t>
            </w:r>
            <w:r>
              <w:rPr>
                <w:rFonts w:hint="default" w:ascii="Times New Roman" w:hAnsi="Times New Roman" w:eastAsia="宋体" w:cs="Times New Roman"/>
                <w:color w:val="auto"/>
                <w:sz w:val="21"/>
                <w:szCs w:val="21"/>
                <w:lang w:val="en-US" w:eastAsia="zh-CN"/>
              </w:rPr>
              <w:t>溶液产生的</w:t>
            </w:r>
            <w:r>
              <w:rPr>
                <w:rFonts w:hint="default" w:ascii="Times New Roman" w:hAnsi="Times New Roman" w:eastAsia="宋体" w:cs="Times New Roman"/>
                <w:color w:val="auto"/>
                <w:sz w:val="21"/>
                <w:szCs w:val="21"/>
              </w:rPr>
              <w:t>，而根据《环境影响评价技术导则-大气环境》(HJ2.2-2018)中8.2中对评价因子及预测因子的确定要求并结合项目实验试剂使用情况，本次评价易挥发性有机废气本次评价统一以非甲烷总烃（VOCs）计。</w:t>
            </w:r>
            <w:r>
              <w:rPr>
                <w:rFonts w:hint="default" w:ascii="Times New Roman" w:hAnsi="Times New Roman" w:eastAsia="宋体" w:cs="Times New Roman"/>
                <w:color w:val="auto"/>
                <w:sz w:val="21"/>
                <w:szCs w:val="21"/>
                <w:lang w:val="en-US" w:eastAsia="zh-CN"/>
              </w:rPr>
              <w:t>其中，选取有排放标准的甲醇、甲醛、非甲烷总烃为有机实验废气评价因子。</w:t>
            </w:r>
          </w:p>
          <w:p w14:paraId="7A70678D">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根据项目统计的实验试剂用量，项目使用有机试剂总量</w:t>
            </w:r>
            <w:r>
              <w:rPr>
                <w:rFonts w:hint="default" w:ascii="Times New Roman" w:hAnsi="Times New Roman" w:eastAsia="宋体" w:cs="Times New Roman"/>
                <w:color w:val="auto"/>
                <w:sz w:val="21"/>
                <w:szCs w:val="21"/>
                <w:lang w:val="en-US" w:eastAsia="zh-CN"/>
              </w:rPr>
              <w:t>46.248</w:t>
            </w:r>
            <w:r>
              <w:rPr>
                <w:rFonts w:hint="default" w:ascii="Times New Roman" w:hAnsi="Times New Roman" w:eastAsia="宋体" w:cs="Times New Roman"/>
                <w:color w:val="auto"/>
                <w:sz w:val="21"/>
                <w:szCs w:val="21"/>
              </w:rPr>
              <w:t>kg/a，具体统计详见表4-</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w:t>
            </w:r>
          </w:p>
          <w:p w14:paraId="32C412A1">
            <w:pPr>
              <w:bidi w:val="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lang w:val="en-US" w:eastAsia="zh-CN"/>
              </w:rPr>
              <w:t>表4-1  项目有机溶剂使用情况一览表</w:t>
            </w:r>
          </w:p>
          <w:tbl>
            <w:tblPr>
              <w:tblStyle w:val="21"/>
              <w:tblW w:w="8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8"/>
              <w:gridCol w:w="1194"/>
              <w:gridCol w:w="1748"/>
              <w:gridCol w:w="1500"/>
              <w:gridCol w:w="1242"/>
            </w:tblGrid>
            <w:tr w14:paraId="53530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4766F5BE">
                  <w:pPr>
                    <w:bidi w:val="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名称</w:t>
                  </w:r>
                </w:p>
              </w:tc>
              <w:tc>
                <w:tcPr>
                  <w:tcW w:w="1194" w:type="dxa"/>
                  <w:vAlign w:val="center"/>
                </w:tcPr>
                <w:p w14:paraId="079BA8E8">
                  <w:pPr>
                    <w:bidi w:val="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规格</w:t>
                  </w:r>
                </w:p>
              </w:tc>
              <w:tc>
                <w:tcPr>
                  <w:tcW w:w="1748" w:type="dxa"/>
                  <w:vAlign w:val="center"/>
                </w:tcPr>
                <w:p w14:paraId="742A35CC">
                  <w:pPr>
                    <w:bidi w:val="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年用量</w:t>
                  </w:r>
                </w:p>
                <w:p w14:paraId="36C8F714">
                  <w:pPr>
                    <w:bidi w:val="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（瓶）</w:t>
                  </w:r>
                </w:p>
              </w:tc>
              <w:tc>
                <w:tcPr>
                  <w:tcW w:w="1500" w:type="dxa"/>
                  <w:vAlign w:val="center"/>
                </w:tcPr>
                <w:p w14:paraId="5CBB212F">
                  <w:pPr>
                    <w:bidi w:val="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密度</w:t>
                  </w:r>
                </w:p>
                <w:p w14:paraId="5FAE7F9D">
                  <w:pPr>
                    <w:bidi w:val="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（g/cm</w:t>
                  </w:r>
                  <w:r>
                    <w:rPr>
                      <w:rFonts w:hint="default" w:ascii="Times New Roman" w:hAnsi="Times New Roman" w:eastAsia="宋体" w:cs="Times New Roman"/>
                      <w:b/>
                      <w:bCs/>
                      <w:color w:val="auto"/>
                      <w:sz w:val="18"/>
                      <w:szCs w:val="18"/>
                      <w:vertAlign w:val="superscript"/>
                      <w:lang w:val="en-US" w:eastAsia="zh-CN"/>
                    </w:rPr>
                    <w:t>3</w:t>
                  </w:r>
                  <w:r>
                    <w:rPr>
                      <w:rFonts w:hint="default" w:ascii="Times New Roman" w:hAnsi="Times New Roman" w:eastAsia="宋体" w:cs="Times New Roman"/>
                      <w:b/>
                      <w:bCs/>
                      <w:color w:val="auto"/>
                      <w:sz w:val="18"/>
                      <w:szCs w:val="18"/>
                      <w:vertAlign w:val="baseline"/>
                      <w:lang w:val="en-US" w:eastAsia="zh-CN"/>
                    </w:rPr>
                    <w:t>）</w:t>
                  </w:r>
                </w:p>
              </w:tc>
              <w:tc>
                <w:tcPr>
                  <w:tcW w:w="1242" w:type="dxa"/>
                  <w:vAlign w:val="center"/>
                </w:tcPr>
                <w:p w14:paraId="5401D53D">
                  <w:pPr>
                    <w:bidi w:val="0"/>
                    <w:jc w:val="center"/>
                    <w:outlineLvl w:val="9"/>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年使用量（kg/a）</w:t>
                  </w:r>
                </w:p>
              </w:tc>
            </w:tr>
            <w:tr w14:paraId="696E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7D3DB78D">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苯酚</w:t>
                  </w:r>
                </w:p>
              </w:tc>
              <w:tc>
                <w:tcPr>
                  <w:tcW w:w="1194" w:type="dxa"/>
                  <w:vAlign w:val="center"/>
                </w:tcPr>
                <w:p w14:paraId="69647079">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500g</w:t>
                  </w:r>
                  <w:r>
                    <w:rPr>
                      <w:rFonts w:hint="eastAsia" w:cs="Times New Roman"/>
                      <w:color w:val="auto"/>
                      <w:sz w:val="18"/>
                      <w:szCs w:val="18"/>
                      <w:vertAlign w:val="baseline"/>
                      <w:lang w:val="en-US" w:eastAsia="zh-CN"/>
                    </w:rPr>
                    <w:t>/瓶</w:t>
                  </w:r>
                </w:p>
              </w:tc>
              <w:tc>
                <w:tcPr>
                  <w:tcW w:w="1748" w:type="dxa"/>
                  <w:vAlign w:val="center"/>
                </w:tcPr>
                <w:p w14:paraId="2F6A6945">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1500" w:type="dxa"/>
                  <w:vAlign w:val="center"/>
                </w:tcPr>
                <w:p w14:paraId="3CE06AC4">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1242" w:type="dxa"/>
                  <w:vAlign w:val="center"/>
                </w:tcPr>
                <w:p w14:paraId="092B0ECB">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r>
            <w:tr w14:paraId="40B8A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19397C14">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无水乙醇</w:t>
                  </w:r>
                </w:p>
              </w:tc>
              <w:tc>
                <w:tcPr>
                  <w:tcW w:w="1194" w:type="dxa"/>
                  <w:vAlign w:val="center"/>
                </w:tcPr>
                <w:p w14:paraId="65B9C504">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500ml/瓶</w:t>
                  </w:r>
                </w:p>
              </w:tc>
              <w:tc>
                <w:tcPr>
                  <w:tcW w:w="1748" w:type="dxa"/>
                  <w:vAlign w:val="center"/>
                </w:tcPr>
                <w:p w14:paraId="1601C2D6">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w:t>
                  </w:r>
                </w:p>
              </w:tc>
              <w:tc>
                <w:tcPr>
                  <w:tcW w:w="1500" w:type="dxa"/>
                  <w:vAlign w:val="center"/>
                </w:tcPr>
                <w:p w14:paraId="370F61E8">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0.789</w:t>
                  </w:r>
                </w:p>
              </w:tc>
              <w:tc>
                <w:tcPr>
                  <w:tcW w:w="1242" w:type="dxa"/>
                  <w:vAlign w:val="center"/>
                </w:tcPr>
                <w:p w14:paraId="72B4AE45">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3.15</w:t>
                  </w:r>
                  <w:r>
                    <w:rPr>
                      <w:rFonts w:hint="eastAsia" w:cs="Times New Roman"/>
                      <w:color w:val="auto"/>
                      <w:sz w:val="18"/>
                      <w:szCs w:val="18"/>
                      <w:vertAlign w:val="baseline"/>
                      <w:lang w:val="en-US" w:eastAsia="zh-CN"/>
                    </w:rPr>
                    <w:t>6</w:t>
                  </w:r>
                </w:p>
              </w:tc>
            </w:tr>
            <w:tr w14:paraId="35227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38" w:type="dxa"/>
                  <w:vAlign w:val="center"/>
                </w:tcPr>
                <w:p w14:paraId="766AC9AE">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石油醚</w:t>
                  </w:r>
                </w:p>
              </w:tc>
              <w:tc>
                <w:tcPr>
                  <w:tcW w:w="1194" w:type="dxa"/>
                  <w:vAlign w:val="center"/>
                </w:tcPr>
                <w:p w14:paraId="14051D58">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500ml/瓶</w:t>
                  </w:r>
                </w:p>
              </w:tc>
              <w:tc>
                <w:tcPr>
                  <w:tcW w:w="1748" w:type="dxa"/>
                  <w:vAlign w:val="center"/>
                </w:tcPr>
                <w:p w14:paraId="36314AAC">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1500" w:type="dxa"/>
                  <w:vAlign w:val="center"/>
                </w:tcPr>
                <w:p w14:paraId="58FF20BE">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0.64</w:t>
                  </w:r>
                </w:p>
              </w:tc>
              <w:tc>
                <w:tcPr>
                  <w:tcW w:w="1242" w:type="dxa"/>
                  <w:vAlign w:val="center"/>
                </w:tcPr>
                <w:p w14:paraId="7D241337">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1.28</w:t>
                  </w:r>
                </w:p>
              </w:tc>
            </w:tr>
            <w:tr w14:paraId="7273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4BF7032B">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三氟乙酸</w:t>
                  </w:r>
                </w:p>
              </w:tc>
              <w:tc>
                <w:tcPr>
                  <w:tcW w:w="1194" w:type="dxa"/>
                  <w:vAlign w:val="center"/>
                </w:tcPr>
                <w:p w14:paraId="58A77FB8">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500ml/瓶</w:t>
                  </w:r>
                </w:p>
              </w:tc>
              <w:tc>
                <w:tcPr>
                  <w:tcW w:w="1748" w:type="dxa"/>
                  <w:vAlign w:val="center"/>
                </w:tcPr>
                <w:p w14:paraId="7CF8C39F">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00" w:type="dxa"/>
                  <w:vAlign w:val="center"/>
                </w:tcPr>
                <w:p w14:paraId="050BCF5B">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1.535</w:t>
                  </w:r>
                </w:p>
              </w:tc>
              <w:tc>
                <w:tcPr>
                  <w:tcW w:w="1242" w:type="dxa"/>
                  <w:vAlign w:val="center"/>
                </w:tcPr>
                <w:p w14:paraId="6322FF7C">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0.7675</w:t>
                  </w:r>
                </w:p>
              </w:tc>
            </w:tr>
            <w:tr w14:paraId="7519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0288E134">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二氯甲烷</w:t>
                  </w:r>
                </w:p>
              </w:tc>
              <w:tc>
                <w:tcPr>
                  <w:tcW w:w="1194" w:type="dxa"/>
                  <w:vAlign w:val="center"/>
                </w:tcPr>
                <w:p w14:paraId="4EA5892E">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1L</w:t>
                  </w:r>
                  <w:r>
                    <w:rPr>
                      <w:rFonts w:hint="default" w:ascii="Times New Roman" w:hAnsi="Times New Roman" w:eastAsia="宋体" w:cs="Times New Roman"/>
                      <w:color w:val="auto"/>
                      <w:sz w:val="18"/>
                      <w:szCs w:val="18"/>
                      <w:vertAlign w:val="baseline"/>
                      <w:lang w:val="en-US" w:eastAsia="zh-CN"/>
                    </w:rPr>
                    <w:t>/瓶</w:t>
                  </w:r>
                </w:p>
              </w:tc>
              <w:tc>
                <w:tcPr>
                  <w:tcW w:w="1748" w:type="dxa"/>
                  <w:vAlign w:val="center"/>
                </w:tcPr>
                <w:p w14:paraId="534EEDCB">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w:t>
                  </w:r>
                </w:p>
              </w:tc>
              <w:tc>
                <w:tcPr>
                  <w:tcW w:w="1500" w:type="dxa"/>
                  <w:vAlign w:val="center"/>
                </w:tcPr>
                <w:p w14:paraId="64072D41">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1.325</w:t>
                  </w:r>
                </w:p>
              </w:tc>
              <w:tc>
                <w:tcPr>
                  <w:tcW w:w="1242" w:type="dxa"/>
                  <w:vAlign w:val="center"/>
                </w:tcPr>
                <w:p w14:paraId="779D3296">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5.3</w:t>
                  </w:r>
                </w:p>
              </w:tc>
            </w:tr>
            <w:tr w14:paraId="3E76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766BBC4F">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三氯甲烷</w:t>
                  </w:r>
                </w:p>
              </w:tc>
              <w:tc>
                <w:tcPr>
                  <w:tcW w:w="1194" w:type="dxa"/>
                  <w:vAlign w:val="center"/>
                </w:tcPr>
                <w:p w14:paraId="1195A2DE">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500ml/瓶</w:t>
                  </w:r>
                </w:p>
              </w:tc>
              <w:tc>
                <w:tcPr>
                  <w:tcW w:w="1748" w:type="dxa"/>
                  <w:vAlign w:val="center"/>
                </w:tcPr>
                <w:p w14:paraId="4EA8101A">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16</w:t>
                  </w:r>
                </w:p>
              </w:tc>
              <w:tc>
                <w:tcPr>
                  <w:tcW w:w="1500" w:type="dxa"/>
                  <w:vAlign w:val="center"/>
                </w:tcPr>
                <w:p w14:paraId="535C3430">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1.48</w:t>
                  </w:r>
                </w:p>
              </w:tc>
              <w:tc>
                <w:tcPr>
                  <w:tcW w:w="1242" w:type="dxa"/>
                  <w:vAlign w:val="center"/>
                </w:tcPr>
                <w:p w14:paraId="0DA7B591">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11.84</w:t>
                  </w:r>
                </w:p>
              </w:tc>
            </w:tr>
            <w:tr w14:paraId="5AA3E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69231014">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乙腈</w:t>
                  </w:r>
                </w:p>
              </w:tc>
              <w:tc>
                <w:tcPr>
                  <w:tcW w:w="1194" w:type="dxa"/>
                  <w:vAlign w:val="center"/>
                </w:tcPr>
                <w:p w14:paraId="7D62CB0A">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1L/瓶</w:t>
                  </w:r>
                </w:p>
              </w:tc>
              <w:tc>
                <w:tcPr>
                  <w:tcW w:w="1748" w:type="dxa"/>
                  <w:vAlign w:val="center"/>
                </w:tcPr>
                <w:p w14:paraId="65AEFDE3">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1500" w:type="dxa"/>
                  <w:vAlign w:val="center"/>
                </w:tcPr>
                <w:p w14:paraId="3528076D">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0.786</w:t>
                  </w:r>
                </w:p>
              </w:tc>
              <w:tc>
                <w:tcPr>
                  <w:tcW w:w="1242" w:type="dxa"/>
                  <w:vAlign w:val="center"/>
                </w:tcPr>
                <w:p w14:paraId="2FE01285">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7.86</w:t>
                  </w:r>
                </w:p>
              </w:tc>
            </w:tr>
            <w:tr w14:paraId="2BFE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7FC655F6">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2-巯基乙醇</w:t>
                  </w:r>
                </w:p>
              </w:tc>
              <w:tc>
                <w:tcPr>
                  <w:tcW w:w="1194" w:type="dxa"/>
                  <w:vAlign w:val="center"/>
                </w:tcPr>
                <w:p w14:paraId="323F26FF">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500ml/瓶</w:t>
                  </w:r>
                </w:p>
              </w:tc>
              <w:tc>
                <w:tcPr>
                  <w:tcW w:w="1748" w:type="dxa"/>
                  <w:vAlign w:val="center"/>
                </w:tcPr>
                <w:p w14:paraId="2501D4E3">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1500" w:type="dxa"/>
                  <w:vAlign w:val="center"/>
                </w:tcPr>
                <w:p w14:paraId="077F6DF8">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1.115</w:t>
                  </w:r>
                </w:p>
              </w:tc>
              <w:tc>
                <w:tcPr>
                  <w:tcW w:w="1242" w:type="dxa"/>
                  <w:vAlign w:val="center"/>
                </w:tcPr>
                <w:p w14:paraId="4F98B2B4">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1.115</w:t>
                  </w:r>
                </w:p>
              </w:tc>
            </w:tr>
            <w:tr w14:paraId="06B8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373C11DB">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乙酸乙酯</w:t>
                  </w:r>
                </w:p>
              </w:tc>
              <w:tc>
                <w:tcPr>
                  <w:tcW w:w="1194" w:type="dxa"/>
                  <w:vAlign w:val="center"/>
                </w:tcPr>
                <w:p w14:paraId="2FC662EE">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500ml/瓶</w:t>
                  </w:r>
                </w:p>
              </w:tc>
              <w:tc>
                <w:tcPr>
                  <w:tcW w:w="1748" w:type="dxa"/>
                  <w:vAlign w:val="center"/>
                </w:tcPr>
                <w:p w14:paraId="56D76046">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w:t>
                  </w:r>
                </w:p>
              </w:tc>
              <w:tc>
                <w:tcPr>
                  <w:tcW w:w="1500" w:type="dxa"/>
                  <w:vAlign w:val="center"/>
                </w:tcPr>
                <w:p w14:paraId="00D97936">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0.902</w:t>
                  </w:r>
                </w:p>
              </w:tc>
              <w:tc>
                <w:tcPr>
                  <w:tcW w:w="1242" w:type="dxa"/>
                  <w:vAlign w:val="center"/>
                </w:tcPr>
                <w:p w14:paraId="57182AAD">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4.51</w:t>
                  </w:r>
                </w:p>
              </w:tc>
            </w:tr>
            <w:tr w14:paraId="1BF1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60B5FE32">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N,N-二甲基甲酰胺</w:t>
                  </w:r>
                </w:p>
              </w:tc>
              <w:tc>
                <w:tcPr>
                  <w:tcW w:w="1194" w:type="dxa"/>
                  <w:vAlign w:val="center"/>
                </w:tcPr>
                <w:p w14:paraId="0F168F52">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1L/瓶</w:t>
                  </w:r>
                </w:p>
              </w:tc>
              <w:tc>
                <w:tcPr>
                  <w:tcW w:w="1748" w:type="dxa"/>
                  <w:vAlign w:val="center"/>
                </w:tcPr>
                <w:p w14:paraId="04BD1A5E">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00" w:type="dxa"/>
                  <w:vAlign w:val="center"/>
                </w:tcPr>
                <w:p w14:paraId="527C4B7F">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0.948</w:t>
                  </w:r>
                </w:p>
              </w:tc>
              <w:tc>
                <w:tcPr>
                  <w:tcW w:w="1242" w:type="dxa"/>
                  <w:vAlign w:val="center"/>
                </w:tcPr>
                <w:p w14:paraId="114EC004">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0.948</w:t>
                  </w:r>
                </w:p>
              </w:tc>
            </w:tr>
            <w:tr w14:paraId="79136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27374324">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丙酮</w:t>
                  </w:r>
                </w:p>
              </w:tc>
              <w:tc>
                <w:tcPr>
                  <w:tcW w:w="1194" w:type="dxa"/>
                  <w:vAlign w:val="center"/>
                </w:tcPr>
                <w:p w14:paraId="4AB5DD14">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500ml/瓶</w:t>
                  </w:r>
                </w:p>
              </w:tc>
              <w:tc>
                <w:tcPr>
                  <w:tcW w:w="1748" w:type="dxa"/>
                  <w:vAlign w:val="center"/>
                </w:tcPr>
                <w:p w14:paraId="33F779A8">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w:t>
                  </w:r>
                </w:p>
              </w:tc>
              <w:tc>
                <w:tcPr>
                  <w:tcW w:w="1500" w:type="dxa"/>
                  <w:vAlign w:val="center"/>
                </w:tcPr>
                <w:p w14:paraId="04CD7033">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0.79</w:t>
                  </w:r>
                </w:p>
              </w:tc>
              <w:tc>
                <w:tcPr>
                  <w:tcW w:w="1242" w:type="dxa"/>
                  <w:vAlign w:val="center"/>
                </w:tcPr>
                <w:p w14:paraId="6757C8C1">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3.16</w:t>
                  </w:r>
                </w:p>
              </w:tc>
            </w:tr>
            <w:tr w14:paraId="1F373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Merge w:val="restart"/>
                  <w:vAlign w:val="center"/>
                </w:tcPr>
                <w:p w14:paraId="61F1B06E">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甲醇</w:t>
                  </w:r>
                </w:p>
              </w:tc>
              <w:tc>
                <w:tcPr>
                  <w:tcW w:w="1194" w:type="dxa"/>
                  <w:vAlign w:val="center"/>
                </w:tcPr>
                <w:p w14:paraId="187F8C74">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500ml/瓶</w:t>
                  </w:r>
                </w:p>
              </w:tc>
              <w:tc>
                <w:tcPr>
                  <w:tcW w:w="1748" w:type="dxa"/>
                  <w:vAlign w:val="center"/>
                </w:tcPr>
                <w:p w14:paraId="2C7307C6">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8</w:t>
                  </w:r>
                </w:p>
              </w:tc>
              <w:tc>
                <w:tcPr>
                  <w:tcW w:w="1500" w:type="dxa"/>
                  <w:vMerge w:val="restart"/>
                  <w:vAlign w:val="center"/>
                </w:tcPr>
                <w:p w14:paraId="15171112">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0.795</w:t>
                  </w:r>
                </w:p>
              </w:tc>
              <w:tc>
                <w:tcPr>
                  <w:tcW w:w="1242" w:type="dxa"/>
                  <w:vMerge w:val="restart"/>
                  <w:vAlign w:val="center"/>
                </w:tcPr>
                <w:p w14:paraId="32C490A2">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4.77</w:t>
                  </w:r>
                </w:p>
              </w:tc>
            </w:tr>
            <w:tr w14:paraId="16F5D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Merge w:val="continue"/>
                  <w:vAlign w:val="center"/>
                </w:tcPr>
                <w:p w14:paraId="41E6DD2B">
                  <w:pPr>
                    <w:bidi w:val="0"/>
                    <w:jc w:val="center"/>
                    <w:outlineLvl w:val="9"/>
                    <w:rPr>
                      <w:rFonts w:hint="default" w:ascii="Times New Roman" w:hAnsi="Times New Roman" w:eastAsia="宋体" w:cs="Times New Roman"/>
                      <w:color w:val="auto"/>
                      <w:sz w:val="18"/>
                      <w:szCs w:val="18"/>
                      <w:lang w:val="en-US" w:eastAsia="zh-CN"/>
                    </w:rPr>
                  </w:pPr>
                </w:p>
              </w:tc>
              <w:tc>
                <w:tcPr>
                  <w:tcW w:w="1194" w:type="dxa"/>
                  <w:vAlign w:val="center"/>
                </w:tcPr>
                <w:p w14:paraId="0635EB49">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1L/瓶</w:t>
                  </w:r>
                </w:p>
              </w:tc>
              <w:tc>
                <w:tcPr>
                  <w:tcW w:w="1748" w:type="dxa"/>
                  <w:vAlign w:val="center"/>
                </w:tcPr>
                <w:p w14:paraId="564F4123">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2</w:t>
                  </w:r>
                </w:p>
              </w:tc>
              <w:tc>
                <w:tcPr>
                  <w:tcW w:w="1500" w:type="dxa"/>
                  <w:vMerge w:val="continue"/>
                  <w:vAlign w:val="center"/>
                </w:tcPr>
                <w:p w14:paraId="41E60A3D">
                  <w:pPr>
                    <w:bidi w:val="0"/>
                    <w:jc w:val="center"/>
                    <w:outlineLvl w:val="9"/>
                    <w:rPr>
                      <w:rFonts w:hint="default" w:ascii="Times New Roman" w:hAnsi="Times New Roman" w:eastAsia="宋体" w:cs="Times New Roman"/>
                      <w:color w:val="auto"/>
                      <w:sz w:val="18"/>
                      <w:szCs w:val="18"/>
                      <w:vertAlign w:val="baseline"/>
                      <w:lang w:val="en-US" w:eastAsia="zh-CN"/>
                    </w:rPr>
                  </w:pPr>
                </w:p>
              </w:tc>
              <w:tc>
                <w:tcPr>
                  <w:tcW w:w="1242" w:type="dxa"/>
                  <w:vMerge w:val="continue"/>
                  <w:vAlign w:val="center"/>
                </w:tcPr>
                <w:p w14:paraId="1CE23284">
                  <w:pPr>
                    <w:bidi w:val="0"/>
                    <w:jc w:val="center"/>
                    <w:outlineLvl w:val="9"/>
                    <w:rPr>
                      <w:rFonts w:hint="default" w:ascii="Times New Roman" w:hAnsi="Times New Roman" w:eastAsia="宋体" w:cs="Times New Roman"/>
                      <w:color w:val="auto"/>
                      <w:sz w:val="18"/>
                      <w:szCs w:val="18"/>
                      <w:vertAlign w:val="baseline"/>
                      <w:lang w:val="en-US" w:eastAsia="zh-CN"/>
                    </w:rPr>
                  </w:pPr>
                </w:p>
              </w:tc>
            </w:tr>
            <w:tr w14:paraId="3D947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8" w:type="dxa"/>
                  <w:vAlign w:val="center"/>
                </w:tcPr>
                <w:p w14:paraId="33F578A4">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lang w:val="en-US" w:eastAsia="zh-CN"/>
                    </w:rPr>
                    <w:t>甲醛</w:t>
                  </w:r>
                  <w:r>
                    <w:rPr>
                      <w:rFonts w:hint="eastAsia" w:cs="Times New Roman"/>
                      <w:color w:val="auto"/>
                      <w:sz w:val="18"/>
                      <w:szCs w:val="18"/>
                      <w:lang w:val="en-US" w:eastAsia="zh-CN"/>
                    </w:rPr>
                    <w:t>水</w:t>
                  </w:r>
                  <w:r>
                    <w:rPr>
                      <w:rFonts w:hint="default" w:ascii="Times New Roman" w:hAnsi="Times New Roman" w:eastAsia="宋体" w:cs="Times New Roman"/>
                      <w:color w:val="auto"/>
                      <w:sz w:val="18"/>
                      <w:szCs w:val="18"/>
                      <w:lang w:val="en-US" w:eastAsia="zh-CN"/>
                    </w:rPr>
                    <w:t>溶液</w:t>
                  </w:r>
                </w:p>
              </w:tc>
              <w:tc>
                <w:tcPr>
                  <w:tcW w:w="1194" w:type="dxa"/>
                  <w:vAlign w:val="center"/>
                </w:tcPr>
                <w:p w14:paraId="09DA499A">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500ml/瓶</w:t>
                  </w:r>
                </w:p>
              </w:tc>
              <w:tc>
                <w:tcPr>
                  <w:tcW w:w="1748" w:type="dxa"/>
                  <w:vAlign w:val="center"/>
                </w:tcPr>
                <w:p w14:paraId="4CD93F8E">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w:t>
                  </w:r>
                </w:p>
              </w:tc>
              <w:tc>
                <w:tcPr>
                  <w:tcW w:w="1500" w:type="dxa"/>
                  <w:vAlign w:val="center"/>
                </w:tcPr>
                <w:p w14:paraId="05F56E03">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1.083</w:t>
                  </w:r>
                </w:p>
              </w:tc>
              <w:tc>
                <w:tcPr>
                  <w:tcW w:w="1242" w:type="dxa"/>
                  <w:vAlign w:val="center"/>
                </w:tcPr>
                <w:p w14:paraId="1FB640F5">
                  <w:pPr>
                    <w:bidi w:val="0"/>
                    <w:jc w:val="center"/>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0.5415</w:t>
                  </w:r>
                </w:p>
              </w:tc>
            </w:tr>
            <w:tr w14:paraId="7BC8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80" w:type="dxa"/>
                  <w:gridSpan w:val="4"/>
                  <w:vAlign w:val="center"/>
                </w:tcPr>
                <w:p w14:paraId="3DBFD41C">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合计</w:t>
                  </w:r>
                </w:p>
              </w:tc>
              <w:tc>
                <w:tcPr>
                  <w:tcW w:w="1242" w:type="dxa"/>
                  <w:vAlign w:val="center"/>
                </w:tcPr>
                <w:p w14:paraId="56FFACF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46.248</w:t>
                  </w:r>
                </w:p>
              </w:tc>
            </w:tr>
          </w:tbl>
          <w:p w14:paraId="124C576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根据建设单位</w:t>
            </w:r>
            <w:r>
              <w:rPr>
                <w:rFonts w:hint="eastAsia" w:cs="Times New Roman"/>
                <w:color w:val="auto"/>
                <w:sz w:val="21"/>
                <w:szCs w:val="21"/>
                <w:lang w:val="en-US" w:eastAsia="zh-CN"/>
              </w:rPr>
              <w:t>经验估算</w:t>
            </w:r>
            <w:r>
              <w:rPr>
                <w:rFonts w:hint="default" w:ascii="Times New Roman" w:hAnsi="Times New Roman" w:eastAsia="宋体" w:cs="Times New Roman"/>
                <w:color w:val="auto"/>
                <w:sz w:val="21"/>
                <w:szCs w:val="21"/>
              </w:rPr>
              <w:t>，项目有机试剂主要用于萃取、浓缩工序，使用的有机试剂占总使用量的80%，有机实验萃取、浓缩过程中有机试剂挥发按使用量50%计。</w:t>
            </w:r>
          </w:p>
          <w:p w14:paraId="00D0F456">
            <w:pPr>
              <w:pStyle w:val="17"/>
              <w:adjustRightInd w:val="0"/>
              <w:snapToGrid w:val="0"/>
              <w:spacing w:before="0" w:beforeAutospacing="0" w:after="0" w:afterAutospacing="0" w:line="360" w:lineRule="auto"/>
              <w:ind w:firstLine="422" w:firstLineChars="200"/>
              <w:jc w:val="both"/>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①萃取、浓缩工序</w:t>
            </w:r>
          </w:p>
          <w:p w14:paraId="20B00666">
            <w:pPr>
              <w:pStyle w:val="17"/>
              <w:adjustRightInd w:val="0"/>
              <w:snapToGrid w:val="0"/>
              <w:spacing w:before="0" w:beforeAutospacing="0" w:after="0" w:afterAutospacing="0" w:line="360" w:lineRule="auto"/>
              <w:ind w:firstLine="420" w:firstLineChars="200"/>
              <w:jc w:val="both"/>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非甲烷总烃：项目有机试剂用量为</w:t>
            </w:r>
            <w:r>
              <w:rPr>
                <w:rFonts w:hint="default" w:ascii="Times New Roman" w:hAnsi="Times New Roman" w:eastAsia="宋体" w:cs="Times New Roman"/>
                <w:color w:val="auto"/>
                <w:sz w:val="21"/>
                <w:szCs w:val="21"/>
                <w:vertAlign w:val="baseline"/>
                <w:lang w:val="en-US" w:eastAsia="zh-CN"/>
              </w:rPr>
              <w:t>46.248</w:t>
            </w:r>
            <w:r>
              <w:rPr>
                <w:rFonts w:hint="default" w:ascii="Times New Roman" w:hAnsi="Times New Roman" w:eastAsia="宋体" w:cs="Times New Roman"/>
                <w:color w:val="auto"/>
                <w:sz w:val="21"/>
                <w:szCs w:val="21"/>
              </w:rPr>
              <w:t>kg/a，则有机室</w:t>
            </w:r>
            <w:r>
              <w:rPr>
                <w:rFonts w:hint="default" w:ascii="Times New Roman" w:hAnsi="Times New Roman" w:eastAsia="宋体" w:cs="Times New Roman"/>
                <w:color w:val="auto"/>
                <w:sz w:val="21"/>
                <w:szCs w:val="21"/>
                <w:lang w:val="en-US" w:eastAsia="zh-CN"/>
              </w:rPr>
              <w:t>实验室</w:t>
            </w:r>
            <w:r>
              <w:rPr>
                <w:rFonts w:hint="default" w:ascii="Times New Roman" w:hAnsi="Times New Roman" w:eastAsia="宋体" w:cs="Times New Roman"/>
                <w:color w:val="auto"/>
                <w:sz w:val="21"/>
                <w:szCs w:val="21"/>
              </w:rPr>
              <w:t>操作过程（有机试剂配比、萃取、浓缩等）有机试剂使用量为</w:t>
            </w:r>
            <w:r>
              <w:rPr>
                <w:rFonts w:hint="default" w:ascii="Times New Roman" w:hAnsi="Times New Roman" w:eastAsia="宋体" w:cs="Times New Roman"/>
                <w:color w:val="auto"/>
                <w:sz w:val="21"/>
                <w:szCs w:val="21"/>
                <w:lang w:val="en-US" w:eastAsia="zh-CN"/>
              </w:rPr>
              <w:t>36.9984</w:t>
            </w:r>
            <w:r>
              <w:rPr>
                <w:rFonts w:hint="default" w:ascii="Times New Roman" w:hAnsi="Times New Roman" w:eastAsia="宋体" w:cs="Times New Roman"/>
                <w:color w:val="auto"/>
                <w:sz w:val="21"/>
                <w:szCs w:val="21"/>
              </w:rPr>
              <w:t>kg/a，产生挥发性有机物（非甲烷总烃）</w:t>
            </w:r>
            <w:r>
              <w:rPr>
                <w:rFonts w:hint="default" w:ascii="Times New Roman" w:hAnsi="Times New Roman" w:eastAsia="宋体" w:cs="Times New Roman"/>
                <w:color w:val="auto"/>
                <w:sz w:val="21"/>
                <w:szCs w:val="21"/>
                <w:lang w:val="en-US" w:eastAsia="zh-CN"/>
              </w:rPr>
              <w:t>18.4992</w:t>
            </w:r>
            <w:r>
              <w:rPr>
                <w:rFonts w:hint="default" w:ascii="Times New Roman" w:hAnsi="Times New Roman" w:eastAsia="宋体" w:cs="Times New Roman"/>
                <w:color w:val="auto"/>
                <w:sz w:val="21"/>
                <w:szCs w:val="21"/>
              </w:rPr>
              <w:t>kg/a。</w:t>
            </w:r>
          </w:p>
          <w:p w14:paraId="34D5C06B">
            <w:pPr>
              <w:pStyle w:val="17"/>
              <w:adjustRightInd w:val="0"/>
              <w:snapToGrid w:val="0"/>
              <w:spacing w:before="0" w:beforeAutospacing="0" w:after="0" w:afterAutospacing="0" w:line="360" w:lineRule="auto"/>
              <w:ind w:firstLine="420" w:firstLineChars="200"/>
              <w:jc w:val="both"/>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其中，评价因子甲醇挥发量为1.908</w:t>
            </w:r>
            <w:r>
              <w:rPr>
                <w:rFonts w:hint="default" w:ascii="Times New Roman" w:hAnsi="Times New Roman" w:eastAsia="宋体" w:cs="Times New Roman"/>
                <w:color w:val="auto"/>
                <w:sz w:val="21"/>
                <w:szCs w:val="21"/>
              </w:rPr>
              <w:t>kg/a，</w:t>
            </w:r>
            <w:r>
              <w:rPr>
                <w:rFonts w:hint="default" w:ascii="Times New Roman" w:hAnsi="Times New Roman" w:eastAsia="宋体" w:cs="Times New Roman"/>
                <w:color w:val="auto"/>
                <w:sz w:val="21"/>
                <w:szCs w:val="21"/>
                <w:lang w:val="en-US" w:eastAsia="zh-CN"/>
              </w:rPr>
              <w:t>甲醛挥发量为0.2166</w:t>
            </w:r>
            <w:r>
              <w:rPr>
                <w:rFonts w:hint="default" w:ascii="Times New Roman" w:hAnsi="Times New Roman" w:eastAsia="宋体" w:cs="Times New Roman"/>
                <w:color w:val="auto"/>
                <w:sz w:val="21"/>
                <w:szCs w:val="21"/>
              </w:rPr>
              <w:t>kg/a</w:t>
            </w:r>
            <w:r>
              <w:rPr>
                <w:rFonts w:hint="default" w:ascii="Times New Roman" w:hAnsi="Times New Roman" w:eastAsia="宋体" w:cs="Times New Roman"/>
                <w:color w:val="auto"/>
                <w:sz w:val="21"/>
                <w:szCs w:val="21"/>
                <w:lang w:eastAsia="zh-CN"/>
              </w:rPr>
              <w:t>。</w:t>
            </w:r>
          </w:p>
          <w:p w14:paraId="6EF4D142">
            <w:pPr>
              <w:pStyle w:val="17"/>
              <w:adjustRightInd w:val="0"/>
              <w:snapToGrid w:val="0"/>
              <w:spacing w:before="0" w:beforeAutospacing="0" w:after="0" w:afterAutospacing="0" w:line="360" w:lineRule="auto"/>
              <w:ind w:firstLine="422" w:firstLineChars="200"/>
              <w:jc w:val="both"/>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②仪器分析室</w:t>
            </w:r>
          </w:p>
          <w:p w14:paraId="48CD1CD3">
            <w:pPr>
              <w:pStyle w:val="17"/>
              <w:adjustRightInd w:val="0"/>
              <w:snapToGrid w:val="0"/>
              <w:spacing w:before="0" w:beforeAutospacing="0" w:after="0" w:afterAutospacing="0" w:line="360" w:lineRule="auto"/>
              <w:ind w:firstLine="420" w:firstLineChars="200"/>
              <w:jc w:val="both"/>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气、液相色谱等仪器分析室检验样品组成成分，样品使用仪器之前均经过预处理，可挥发性气体大部分已经挥发，使用气、液相色谱仪产生少量的非甲烷总烃。根据美国环境保护局编写的《空气污染物排放和控制手册工业污染源调查与研究》等相关资料可知，在实验、研发状态下，有机试剂的挥发比例一般为试剂使用量的1%~4%，出于保守考虑，本次评价取高值，上机检测有机试剂的挥发比例以使用量（萃取、浓缩）的4%计。则气、液相色谱仪产生非甲烷总烃</w:t>
            </w:r>
            <w:r>
              <w:rPr>
                <w:rFonts w:hint="eastAsia" w:ascii="Times New Roman" w:hAnsi="Times New Roman" w:cs="Times New Roman"/>
                <w:color w:val="auto"/>
                <w:sz w:val="21"/>
                <w:szCs w:val="21"/>
                <w:lang w:val="en-US" w:eastAsia="zh-CN"/>
              </w:rPr>
              <w:t>约</w:t>
            </w:r>
            <w:r>
              <w:rPr>
                <w:rFonts w:hint="default" w:ascii="Times New Roman" w:hAnsi="Times New Roman" w:eastAsia="宋体" w:cs="Times New Roman"/>
                <w:color w:val="auto"/>
                <w:sz w:val="21"/>
                <w:szCs w:val="21"/>
              </w:rPr>
              <w:t>为</w:t>
            </w:r>
            <w:r>
              <w:rPr>
                <w:rFonts w:hint="eastAsia" w:ascii="Times New Roman" w:hAnsi="Times New Roman" w:cs="Times New Roman"/>
                <w:color w:val="auto"/>
                <w:sz w:val="21"/>
                <w:szCs w:val="21"/>
                <w:lang w:val="en-US" w:eastAsia="zh-CN"/>
              </w:rPr>
              <w:t>36.9984*0.04=</w:t>
            </w:r>
            <w:r>
              <w:rPr>
                <w:rFonts w:hint="default" w:ascii="Times New Roman" w:hAnsi="Times New Roman" w:eastAsia="宋体" w:cs="Times New Roman"/>
                <w:color w:val="auto"/>
                <w:sz w:val="21"/>
                <w:szCs w:val="21"/>
                <w:lang w:val="en-US" w:eastAsia="zh-CN"/>
              </w:rPr>
              <w:t>1.4799</w:t>
            </w:r>
            <w:r>
              <w:rPr>
                <w:rFonts w:hint="default" w:ascii="Times New Roman" w:hAnsi="Times New Roman" w:eastAsia="宋体" w:cs="Times New Roman"/>
                <w:color w:val="auto"/>
                <w:sz w:val="21"/>
                <w:szCs w:val="21"/>
              </w:rPr>
              <w:t>kg/a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其中评价因子甲醇挥发量</w:t>
            </w:r>
            <w:r>
              <w:rPr>
                <w:rFonts w:hint="eastAsia" w:ascii="Times New Roman" w:hAnsi="Times New Roman" w:cs="Times New Roman"/>
                <w:color w:val="auto"/>
                <w:sz w:val="21"/>
                <w:szCs w:val="21"/>
                <w:lang w:val="en-US" w:eastAsia="zh-CN"/>
              </w:rPr>
              <w:t>约</w:t>
            </w:r>
            <w:r>
              <w:rPr>
                <w:rFonts w:hint="default" w:ascii="Times New Roman" w:hAnsi="Times New Roman" w:eastAsia="宋体" w:cs="Times New Roman"/>
                <w:color w:val="auto"/>
                <w:sz w:val="21"/>
                <w:szCs w:val="21"/>
                <w:lang w:val="en-US" w:eastAsia="zh-CN"/>
              </w:rPr>
              <w:t>为</w:t>
            </w:r>
            <w:r>
              <w:rPr>
                <w:rFonts w:hint="eastAsia" w:ascii="Times New Roman" w:hAnsi="Times New Roman" w:cs="Times New Roman"/>
                <w:color w:val="auto"/>
                <w:sz w:val="21"/>
                <w:szCs w:val="21"/>
                <w:lang w:val="en-US" w:eastAsia="zh-CN"/>
              </w:rPr>
              <w:t>3.816*0.04=</w:t>
            </w:r>
            <w:r>
              <w:rPr>
                <w:rFonts w:hint="default" w:ascii="Times New Roman" w:hAnsi="Times New Roman" w:eastAsia="宋体" w:cs="Times New Roman"/>
                <w:color w:val="auto"/>
                <w:sz w:val="21"/>
                <w:szCs w:val="21"/>
                <w:lang w:val="en-US" w:eastAsia="zh-CN"/>
              </w:rPr>
              <w:t>0.1526</w:t>
            </w:r>
            <w:r>
              <w:rPr>
                <w:rFonts w:hint="default" w:ascii="Times New Roman" w:hAnsi="Times New Roman" w:eastAsia="宋体" w:cs="Times New Roman"/>
                <w:color w:val="auto"/>
                <w:sz w:val="21"/>
                <w:szCs w:val="21"/>
              </w:rPr>
              <w:t>kg/a，</w:t>
            </w:r>
            <w:r>
              <w:rPr>
                <w:rFonts w:hint="default" w:ascii="Times New Roman" w:hAnsi="Times New Roman" w:eastAsia="宋体" w:cs="Times New Roman"/>
                <w:color w:val="auto"/>
                <w:sz w:val="21"/>
                <w:szCs w:val="21"/>
                <w:lang w:val="en-US" w:eastAsia="zh-CN"/>
              </w:rPr>
              <w:t>甲醛挥发量</w:t>
            </w:r>
            <w:r>
              <w:rPr>
                <w:rFonts w:hint="eastAsia" w:ascii="Times New Roman" w:hAnsi="Times New Roman" w:cs="Times New Roman"/>
                <w:color w:val="auto"/>
                <w:sz w:val="21"/>
                <w:szCs w:val="21"/>
                <w:lang w:val="en-US" w:eastAsia="zh-CN"/>
              </w:rPr>
              <w:t>约</w:t>
            </w:r>
            <w:r>
              <w:rPr>
                <w:rFonts w:hint="default" w:ascii="Times New Roman" w:hAnsi="Times New Roman" w:eastAsia="宋体" w:cs="Times New Roman"/>
                <w:color w:val="auto"/>
                <w:sz w:val="21"/>
                <w:szCs w:val="21"/>
                <w:lang w:val="en-US" w:eastAsia="zh-CN"/>
              </w:rPr>
              <w:t>为</w:t>
            </w:r>
            <w:r>
              <w:rPr>
                <w:rFonts w:hint="eastAsia" w:ascii="Times New Roman" w:hAnsi="Times New Roman" w:cs="Times New Roman"/>
                <w:color w:val="auto"/>
                <w:sz w:val="21"/>
                <w:szCs w:val="21"/>
                <w:lang w:val="en-US" w:eastAsia="zh-CN"/>
              </w:rPr>
              <w:t>0.4332*0.04=</w:t>
            </w:r>
            <w:r>
              <w:rPr>
                <w:rFonts w:hint="default" w:ascii="Times New Roman" w:hAnsi="Times New Roman" w:eastAsia="宋体" w:cs="Times New Roman"/>
                <w:color w:val="auto"/>
                <w:sz w:val="21"/>
                <w:szCs w:val="21"/>
                <w:lang w:val="en-US" w:eastAsia="zh-CN"/>
              </w:rPr>
              <w:t>0.0173</w:t>
            </w:r>
            <w:r>
              <w:rPr>
                <w:rFonts w:hint="default" w:ascii="Times New Roman" w:hAnsi="Times New Roman" w:eastAsia="宋体" w:cs="Times New Roman"/>
                <w:color w:val="auto"/>
                <w:sz w:val="21"/>
                <w:szCs w:val="21"/>
              </w:rPr>
              <w:t>kg/a</w:t>
            </w:r>
            <w:r>
              <w:rPr>
                <w:rFonts w:hint="default" w:ascii="Times New Roman" w:hAnsi="Times New Roman" w:eastAsia="宋体" w:cs="Times New Roman"/>
                <w:color w:val="auto"/>
                <w:sz w:val="21"/>
                <w:szCs w:val="21"/>
                <w:lang w:eastAsia="zh-CN"/>
              </w:rPr>
              <w:t>。</w:t>
            </w:r>
          </w:p>
          <w:p w14:paraId="2D6F559B">
            <w:pPr>
              <w:pStyle w:val="17"/>
              <w:adjustRightInd w:val="0"/>
              <w:snapToGrid w:val="0"/>
              <w:spacing w:before="0" w:beforeAutospacing="0" w:after="0" w:afterAutospacing="0" w:line="360" w:lineRule="auto"/>
              <w:ind w:firstLine="420" w:firstLineChars="200"/>
              <w:jc w:val="both"/>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综上所述，项目非甲烷总烃总产生量为19.9791</w:t>
            </w:r>
            <w:r>
              <w:rPr>
                <w:rFonts w:hint="default" w:ascii="Times New Roman" w:hAnsi="Times New Roman" w:eastAsia="宋体" w:cs="Times New Roman"/>
                <w:color w:val="auto"/>
                <w:sz w:val="21"/>
                <w:szCs w:val="21"/>
              </w:rPr>
              <w:t>kg/a</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其中甲醇总产生量为2.0606</w:t>
            </w:r>
            <w:r>
              <w:rPr>
                <w:rFonts w:hint="default" w:ascii="Times New Roman" w:hAnsi="Times New Roman" w:eastAsia="宋体" w:cs="Times New Roman"/>
                <w:color w:val="auto"/>
                <w:sz w:val="21"/>
                <w:szCs w:val="21"/>
              </w:rPr>
              <w:t>kg/a，</w:t>
            </w:r>
            <w:r>
              <w:rPr>
                <w:rFonts w:hint="default" w:ascii="Times New Roman" w:hAnsi="Times New Roman" w:eastAsia="宋体" w:cs="Times New Roman"/>
                <w:color w:val="auto"/>
                <w:sz w:val="21"/>
                <w:szCs w:val="21"/>
                <w:lang w:val="en-US" w:eastAsia="zh-CN"/>
              </w:rPr>
              <w:t>甲醛总产生量为0.2339</w:t>
            </w:r>
            <w:r>
              <w:rPr>
                <w:rFonts w:hint="default" w:ascii="Times New Roman" w:hAnsi="Times New Roman" w:eastAsia="宋体" w:cs="Times New Roman"/>
                <w:color w:val="auto"/>
                <w:sz w:val="21"/>
                <w:szCs w:val="21"/>
              </w:rPr>
              <w:t>kg/a</w:t>
            </w:r>
            <w:r>
              <w:rPr>
                <w:rFonts w:hint="default" w:ascii="Times New Roman" w:hAnsi="Times New Roman" w:eastAsia="宋体" w:cs="Times New Roman"/>
                <w:color w:val="auto"/>
                <w:sz w:val="21"/>
                <w:szCs w:val="21"/>
                <w:lang w:eastAsia="zh-CN"/>
              </w:rPr>
              <w:t>。</w:t>
            </w:r>
          </w:p>
          <w:p w14:paraId="569D0B0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有机实验过程中涉及有机溶剂挥发的有机试剂配比、萃取、浓缩等有机前处理工序在通风橱内进行，检测设备上方设置集气罩。有机实验废气经通风橱、集气罩收集后引至</w:t>
            </w:r>
            <w:r>
              <w:rPr>
                <w:rFonts w:hint="default" w:ascii="Times New Roman" w:hAnsi="Times New Roman" w:eastAsia="宋体" w:cs="Times New Roman"/>
                <w:color w:val="auto"/>
                <w:sz w:val="21"/>
                <w:szCs w:val="21"/>
                <w:lang w:val="en-US" w:eastAsia="zh-CN"/>
              </w:rPr>
              <w:t>实验室西南角处</w:t>
            </w:r>
            <w:r>
              <w:rPr>
                <w:rFonts w:hint="default" w:ascii="Times New Roman" w:hAnsi="Times New Roman" w:eastAsia="宋体" w:cs="Times New Roman"/>
                <w:color w:val="auto"/>
                <w:sz w:val="21"/>
                <w:szCs w:val="21"/>
              </w:rPr>
              <w:t>活性炭吸附装置处理后经</w:t>
            </w:r>
            <w:r>
              <w:rPr>
                <w:rFonts w:hint="default" w:ascii="Times New Roman" w:hAnsi="Times New Roman" w:eastAsia="宋体" w:cs="Times New Roman"/>
                <w:color w:val="auto"/>
                <w:sz w:val="21"/>
                <w:szCs w:val="21"/>
                <w:lang w:val="en-US" w:eastAsia="zh-CN"/>
              </w:rPr>
              <w:t>15m高</w:t>
            </w:r>
            <w:r>
              <w:rPr>
                <w:rFonts w:hint="default" w:ascii="Times New Roman" w:hAnsi="Times New Roman" w:eastAsia="宋体" w:cs="Times New Roman"/>
                <w:color w:val="auto"/>
                <w:sz w:val="21"/>
                <w:szCs w:val="21"/>
                <w:lang w:eastAsia="zh-CN"/>
              </w:rPr>
              <w:t>排气筒</w:t>
            </w:r>
            <w:r>
              <w:rPr>
                <w:rFonts w:hint="default" w:ascii="Times New Roman" w:hAnsi="Times New Roman" w:eastAsia="宋体" w:cs="Times New Roman"/>
                <w:color w:val="auto"/>
                <w:sz w:val="21"/>
                <w:szCs w:val="21"/>
              </w:rPr>
              <w:t>DA001排放。未收集的废气呈无组织形式排放。</w:t>
            </w:r>
          </w:p>
          <w:p w14:paraId="1B5BFC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参考《主要污染物总量减排核算技术指南(2022年修订)》中表2-3 VOCs废气收集率和治理设施去除率通用系数中半密闭集气罩(含排气柜)收集效率取65%。采用一次性活性炭吸附按其再生方式测算去除效率，不再生、集中再生和集中再生并活化 VOCs 去除率分别按15%、30%、50%取值，采用二级活性炭吸附的去除率可叠加取值，本项目三级活性炭吸附(不再生)效率为1-(1-0.15)*(1-0.15)*(1-0.15)=39%。</w:t>
            </w:r>
          </w:p>
          <w:p w14:paraId="27F0AEB0">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根据建设单位提供资料，有机室实验台全年工作2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0d，4h/d，</w:t>
            </w:r>
            <w:r>
              <w:rPr>
                <w:rFonts w:hint="default" w:ascii="Times New Roman" w:hAnsi="Times New Roman" w:eastAsia="宋体" w:cs="Times New Roman"/>
                <w:color w:val="auto"/>
                <w:sz w:val="21"/>
                <w:szCs w:val="21"/>
                <w:lang w:val="en-US" w:eastAsia="zh-CN"/>
              </w:rPr>
              <w:t>风机风量20000m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。项目有机实验废气产生排放情况见下表</w:t>
            </w:r>
            <w:r>
              <w:rPr>
                <w:rFonts w:hint="default" w:ascii="Times New Roman" w:hAnsi="Times New Roman" w:eastAsia="宋体" w:cs="Times New Roman"/>
                <w:color w:val="auto"/>
                <w:sz w:val="21"/>
                <w:szCs w:val="21"/>
                <w:lang w:eastAsia="zh-CN"/>
              </w:rPr>
              <w:t>。</w:t>
            </w:r>
          </w:p>
          <w:p w14:paraId="14F2E97B">
            <w:pPr>
              <w:keepNext/>
              <w:keepLines/>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表4-</w:t>
            </w:r>
            <w:r>
              <w:rPr>
                <w:rFonts w:hint="default" w:ascii="Times New Roman" w:hAnsi="Times New Roman" w:eastAsia="宋体" w:cs="Times New Roman"/>
                <w:b/>
                <w:bCs/>
                <w:color w:val="auto"/>
                <w:sz w:val="18"/>
                <w:szCs w:val="18"/>
                <w:lang w:val="en-US" w:eastAsia="zh-CN"/>
              </w:rPr>
              <w:t xml:space="preserve">2  </w:t>
            </w:r>
            <w:r>
              <w:rPr>
                <w:rFonts w:hint="default" w:ascii="Times New Roman" w:hAnsi="Times New Roman" w:eastAsia="宋体" w:cs="Times New Roman"/>
                <w:b/>
                <w:bCs/>
                <w:color w:val="auto"/>
                <w:sz w:val="18"/>
                <w:szCs w:val="18"/>
              </w:rPr>
              <w:t>本项目有机废气产排情况一览表</w:t>
            </w:r>
          </w:p>
          <w:tbl>
            <w:tblPr>
              <w:tblStyle w:val="20"/>
              <w:tblW w:w="49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
              <w:gridCol w:w="451"/>
              <w:gridCol w:w="525"/>
              <w:gridCol w:w="728"/>
              <w:gridCol w:w="1107"/>
              <w:gridCol w:w="881"/>
              <w:gridCol w:w="1215"/>
              <w:gridCol w:w="831"/>
              <w:gridCol w:w="1106"/>
              <w:gridCol w:w="844"/>
            </w:tblGrid>
            <w:tr w14:paraId="17BD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pct"/>
                  <w:gridSpan w:val="2"/>
                  <w:noWrap w:val="0"/>
                  <w:vAlign w:val="center"/>
                </w:tcPr>
                <w:p w14:paraId="17450B8A">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污染物名称</w:t>
                  </w:r>
                </w:p>
              </w:tc>
              <w:tc>
                <w:tcPr>
                  <w:tcW w:w="328" w:type="pct"/>
                  <w:noWrap w:val="0"/>
                  <w:vAlign w:val="center"/>
                </w:tcPr>
                <w:p w14:paraId="3D3C593F">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排放方式</w:t>
                  </w:r>
                </w:p>
              </w:tc>
              <w:tc>
                <w:tcPr>
                  <w:tcW w:w="455" w:type="pct"/>
                  <w:noWrap w:val="0"/>
                  <w:vAlign w:val="center"/>
                </w:tcPr>
                <w:p w14:paraId="4AD58137">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产生浓度mg/m</w:t>
                  </w:r>
                  <w:r>
                    <w:rPr>
                      <w:rFonts w:hint="default" w:ascii="Times New Roman" w:hAnsi="Times New Roman" w:eastAsia="宋体" w:cs="Times New Roman"/>
                      <w:b/>
                      <w:bCs/>
                      <w:color w:val="auto"/>
                      <w:sz w:val="18"/>
                      <w:szCs w:val="18"/>
                      <w:vertAlign w:val="superscript"/>
                    </w:rPr>
                    <w:t>3</w:t>
                  </w:r>
                </w:p>
              </w:tc>
              <w:tc>
                <w:tcPr>
                  <w:tcW w:w="692" w:type="pct"/>
                  <w:noWrap w:val="0"/>
                  <w:vAlign w:val="center"/>
                </w:tcPr>
                <w:p w14:paraId="613E70CC">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产生速率kg/h</w:t>
                  </w:r>
                </w:p>
              </w:tc>
              <w:tc>
                <w:tcPr>
                  <w:tcW w:w="551" w:type="pct"/>
                  <w:noWrap w:val="0"/>
                  <w:vAlign w:val="center"/>
                </w:tcPr>
                <w:p w14:paraId="4D758FD7">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产生量kg/a</w:t>
                  </w:r>
                </w:p>
              </w:tc>
              <w:tc>
                <w:tcPr>
                  <w:tcW w:w="760" w:type="pct"/>
                  <w:noWrap w:val="0"/>
                  <w:vAlign w:val="center"/>
                </w:tcPr>
                <w:p w14:paraId="433E6043">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处理措施</w:t>
                  </w:r>
                </w:p>
              </w:tc>
              <w:tc>
                <w:tcPr>
                  <w:tcW w:w="519" w:type="pct"/>
                  <w:noWrap w:val="0"/>
                  <w:vAlign w:val="center"/>
                </w:tcPr>
                <w:p w14:paraId="0F0C5AA6">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排放浓度mg/m</w:t>
                  </w:r>
                  <w:r>
                    <w:rPr>
                      <w:rFonts w:hint="default" w:ascii="Times New Roman" w:hAnsi="Times New Roman" w:eastAsia="宋体" w:cs="Times New Roman"/>
                      <w:b/>
                      <w:bCs/>
                      <w:color w:val="auto"/>
                      <w:sz w:val="18"/>
                      <w:szCs w:val="18"/>
                      <w:vertAlign w:val="superscript"/>
                    </w:rPr>
                    <w:t>3</w:t>
                  </w:r>
                </w:p>
              </w:tc>
              <w:tc>
                <w:tcPr>
                  <w:tcW w:w="691" w:type="pct"/>
                  <w:noWrap w:val="0"/>
                  <w:vAlign w:val="center"/>
                </w:tcPr>
                <w:p w14:paraId="78816270">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排放速率kg/h</w:t>
                  </w:r>
                </w:p>
              </w:tc>
              <w:tc>
                <w:tcPr>
                  <w:tcW w:w="528" w:type="pct"/>
                  <w:noWrap w:val="0"/>
                  <w:vAlign w:val="center"/>
                </w:tcPr>
                <w:p w14:paraId="5E0C0567">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排放量kg/a</w:t>
                  </w:r>
                </w:p>
              </w:tc>
            </w:tr>
            <w:tr w14:paraId="4A55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pct"/>
                  <w:gridSpan w:val="2"/>
                  <w:noWrap w:val="0"/>
                  <w:vAlign w:val="center"/>
                </w:tcPr>
                <w:p w14:paraId="138079A2">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非甲烷总烃</w:t>
                  </w:r>
                </w:p>
              </w:tc>
              <w:tc>
                <w:tcPr>
                  <w:tcW w:w="328" w:type="pct"/>
                  <w:vMerge w:val="restart"/>
                  <w:noWrap w:val="0"/>
                  <w:vAlign w:val="center"/>
                </w:tcPr>
                <w:p w14:paraId="0891F02C">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有组织排放</w:t>
                  </w:r>
                </w:p>
              </w:tc>
              <w:tc>
                <w:tcPr>
                  <w:tcW w:w="728" w:type="dxa"/>
                  <w:noWrap w:val="0"/>
                  <w:vAlign w:val="center"/>
                </w:tcPr>
                <w:p w14:paraId="00702BBD">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1</w:t>
                  </w:r>
                </w:p>
              </w:tc>
              <w:tc>
                <w:tcPr>
                  <w:tcW w:w="1107" w:type="dxa"/>
                  <w:noWrap w:val="0"/>
                  <w:vAlign w:val="center"/>
                </w:tcPr>
                <w:p w14:paraId="1B40ECB6">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 xml:space="preserve">0.02 </w:t>
                  </w:r>
                </w:p>
              </w:tc>
              <w:tc>
                <w:tcPr>
                  <w:tcW w:w="881" w:type="dxa"/>
                  <w:noWrap w:val="0"/>
                  <w:vAlign w:val="center"/>
                </w:tcPr>
                <w:p w14:paraId="1427856B">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19.9791</w:t>
                  </w:r>
                </w:p>
              </w:tc>
              <w:tc>
                <w:tcPr>
                  <w:tcW w:w="760" w:type="pct"/>
                  <w:vMerge w:val="restart"/>
                  <w:noWrap w:val="0"/>
                  <w:vAlign w:val="center"/>
                </w:tcPr>
                <w:p w14:paraId="197C9DFB">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通风橱、集气罩（收集效率</w:t>
                  </w:r>
                  <w:r>
                    <w:rPr>
                      <w:rFonts w:hint="default" w:ascii="Times New Roman" w:hAnsi="Times New Roman" w:eastAsia="宋体" w:cs="Times New Roman"/>
                      <w:color w:val="auto"/>
                      <w:sz w:val="18"/>
                      <w:szCs w:val="18"/>
                      <w:lang w:val="en-US" w:eastAsia="zh-CN"/>
                    </w:rPr>
                    <w:t>为</w:t>
                  </w:r>
                  <w:r>
                    <w:rPr>
                      <w:rFonts w:hint="eastAsia" w:cs="Times New Roman"/>
                      <w:color w:val="auto"/>
                      <w:sz w:val="18"/>
                      <w:szCs w:val="18"/>
                      <w:lang w:val="en-US" w:eastAsia="zh-CN"/>
                    </w:rPr>
                    <w:t>65</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val="en-US" w:eastAsia="zh-CN"/>
                    </w:rPr>
                    <w:t>+</w:t>
                  </w:r>
                  <w:r>
                    <w:rPr>
                      <w:rFonts w:hint="default" w:ascii="Times New Roman" w:hAnsi="Times New Roman" w:eastAsia="宋体" w:cs="Times New Roman"/>
                      <w:color w:val="auto"/>
                      <w:sz w:val="18"/>
                      <w:szCs w:val="18"/>
                    </w:rPr>
                    <w:t>活性炭吸附装置（处理效率为</w:t>
                  </w:r>
                  <w:r>
                    <w:rPr>
                      <w:rFonts w:hint="eastAsia" w:cs="Times New Roman"/>
                      <w:color w:val="auto"/>
                      <w:sz w:val="18"/>
                      <w:szCs w:val="18"/>
                      <w:lang w:val="en-US" w:eastAsia="zh-CN"/>
                    </w:rPr>
                    <w:t>39</w:t>
                  </w:r>
                  <w:r>
                    <w:rPr>
                      <w:rFonts w:hint="default" w:ascii="Times New Roman" w:hAnsi="Times New Roman" w:eastAsia="宋体" w:cs="Times New Roman"/>
                      <w:color w:val="auto"/>
                      <w:sz w:val="18"/>
                      <w:szCs w:val="18"/>
                    </w:rPr>
                    <w:t>%）处理后经</w:t>
                  </w:r>
                  <w:r>
                    <w:rPr>
                      <w:rFonts w:hint="default" w:ascii="Times New Roman" w:hAnsi="Times New Roman" w:eastAsia="宋体" w:cs="Times New Roman"/>
                      <w:color w:val="auto"/>
                      <w:sz w:val="18"/>
                      <w:szCs w:val="18"/>
                      <w:lang w:val="en-US" w:eastAsia="zh-CN"/>
                    </w:rPr>
                    <w:t>15m高</w:t>
                  </w:r>
                  <w:r>
                    <w:rPr>
                      <w:rFonts w:hint="default" w:ascii="Times New Roman" w:hAnsi="Times New Roman" w:eastAsia="宋体" w:cs="Times New Roman"/>
                      <w:color w:val="auto"/>
                      <w:sz w:val="18"/>
                      <w:szCs w:val="18"/>
                    </w:rPr>
                    <w:t>排气筒（DA00</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）排放</w:t>
                  </w:r>
                </w:p>
              </w:tc>
              <w:tc>
                <w:tcPr>
                  <w:tcW w:w="831" w:type="dxa"/>
                  <w:noWrap w:val="0"/>
                  <w:vAlign w:val="center"/>
                </w:tcPr>
                <w:p w14:paraId="744EBA62">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0.395</w:t>
                  </w:r>
                </w:p>
              </w:tc>
              <w:tc>
                <w:tcPr>
                  <w:tcW w:w="1106" w:type="dxa"/>
                  <w:noWrap w:val="0"/>
                  <w:vAlign w:val="center"/>
                </w:tcPr>
                <w:p w14:paraId="09120F00">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 xml:space="preserve">0.0079 </w:t>
                  </w:r>
                </w:p>
              </w:tc>
              <w:tc>
                <w:tcPr>
                  <w:tcW w:w="844" w:type="dxa"/>
                  <w:noWrap w:val="0"/>
                  <w:vAlign w:val="center"/>
                </w:tcPr>
                <w:p w14:paraId="26BE8140">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eastAsia" w:cs="Times New Roman"/>
                      <w:color w:val="auto"/>
                      <w:sz w:val="18"/>
                      <w:szCs w:val="18"/>
                      <w:lang w:val="en-US" w:eastAsia="zh-CN"/>
                    </w:rPr>
                    <w:t>7.9217</w:t>
                  </w:r>
                </w:p>
              </w:tc>
            </w:tr>
            <w:tr w14:paraId="34E8C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90" w:type="pct"/>
                  <w:vMerge w:val="restart"/>
                  <w:noWrap w:val="0"/>
                  <w:vAlign w:val="center"/>
                </w:tcPr>
                <w:p w14:paraId="4885C5FA">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其中</w:t>
                  </w:r>
                </w:p>
              </w:tc>
              <w:tc>
                <w:tcPr>
                  <w:tcW w:w="282" w:type="pct"/>
                  <w:noWrap w:val="0"/>
                  <w:vAlign w:val="center"/>
                </w:tcPr>
                <w:p w14:paraId="0CB8C872">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甲醇</w:t>
                  </w:r>
                </w:p>
              </w:tc>
              <w:tc>
                <w:tcPr>
                  <w:tcW w:w="328" w:type="pct"/>
                  <w:vMerge w:val="continue"/>
                  <w:noWrap w:val="0"/>
                  <w:vAlign w:val="center"/>
                </w:tcPr>
                <w:p w14:paraId="74927319">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728" w:type="dxa"/>
                  <w:noWrap w:val="0"/>
                  <w:vAlign w:val="center"/>
                </w:tcPr>
                <w:p w14:paraId="31ABDC66">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0.105</w:t>
                  </w:r>
                </w:p>
              </w:tc>
              <w:tc>
                <w:tcPr>
                  <w:tcW w:w="1107" w:type="dxa"/>
                  <w:noWrap w:val="0"/>
                  <w:vAlign w:val="center"/>
                </w:tcPr>
                <w:p w14:paraId="6B5765A4">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 xml:space="preserve">0.0021 </w:t>
                  </w:r>
                </w:p>
              </w:tc>
              <w:tc>
                <w:tcPr>
                  <w:tcW w:w="881" w:type="dxa"/>
                  <w:noWrap w:val="0"/>
                  <w:vAlign w:val="center"/>
                </w:tcPr>
                <w:p w14:paraId="3F36E538">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2.0606</w:t>
                  </w:r>
                </w:p>
              </w:tc>
              <w:tc>
                <w:tcPr>
                  <w:tcW w:w="760" w:type="pct"/>
                  <w:vMerge w:val="continue"/>
                  <w:noWrap w:val="0"/>
                  <w:vAlign w:val="center"/>
                </w:tcPr>
                <w:p w14:paraId="2FD30623">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831" w:type="dxa"/>
                  <w:noWrap w:val="0"/>
                  <w:vAlign w:val="center"/>
                </w:tcPr>
                <w:p w14:paraId="4DF9D904">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0.04</w:t>
                  </w:r>
                </w:p>
              </w:tc>
              <w:tc>
                <w:tcPr>
                  <w:tcW w:w="1106" w:type="dxa"/>
                  <w:noWrap w:val="0"/>
                  <w:vAlign w:val="center"/>
                </w:tcPr>
                <w:p w14:paraId="3910F5D0">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 xml:space="preserve">0.0008 </w:t>
                  </w:r>
                </w:p>
              </w:tc>
              <w:tc>
                <w:tcPr>
                  <w:tcW w:w="844" w:type="dxa"/>
                  <w:noWrap w:val="0"/>
                  <w:vAlign w:val="center"/>
                </w:tcPr>
                <w:p w14:paraId="69ED0213">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eastAsia" w:cs="Times New Roman"/>
                      <w:color w:val="auto"/>
                      <w:sz w:val="18"/>
                      <w:szCs w:val="18"/>
                      <w:lang w:val="en-US" w:eastAsia="zh-CN"/>
                    </w:rPr>
                    <w:t>0.817</w:t>
                  </w:r>
                </w:p>
              </w:tc>
            </w:tr>
            <w:tr w14:paraId="79037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90" w:type="pct"/>
                  <w:vMerge w:val="continue"/>
                  <w:noWrap w:val="0"/>
                  <w:vAlign w:val="center"/>
                </w:tcPr>
                <w:p w14:paraId="143A874A">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p>
              </w:tc>
              <w:tc>
                <w:tcPr>
                  <w:tcW w:w="282" w:type="pct"/>
                  <w:noWrap w:val="0"/>
                  <w:vAlign w:val="center"/>
                </w:tcPr>
                <w:p w14:paraId="648AC9BC">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甲醛</w:t>
                  </w:r>
                </w:p>
              </w:tc>
              <w:tc>
                <w:tcPr>
                  <w:tcW w:w="328" w:type="pct"/>
                  <w:vMerge w:val="continue"/>
                  <w:noWrap w:val="0"/>
                  <w:vAlign w:val="center"/>
                </w:tcPr>
                <w:p w14:paraId="0B3DBA7B">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728" w:type="dxa"/>
                  <w:noWrap w:val="0"/>
                  <w:vAlign w:val="center"/>
                </w:tcPr>
                <w:p w14:paraId="4722100F">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0.01</w:t>
                  </w:r>
                </w:p>
              </w:tc>
              <w:tc>
                <w:tcPr>
                  <w:tcW w:w="1107" w:type="dxa"/>
                  <w:noWrap w:val="0"/>
                  <w:vAlign w:val="center"/>
                </w:tcPr>
                <w:p w14:paraId="41D45B8F">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 xml:space="preserve">0.0002 </w:t>
                  </w:r>
                </w:p>
              </w:tc>
              <w:tc>
                <w:tcPr>
                  <w:tcW w:w="881" w:type="dxa"/>
                  <w:noWrap w:val="0"/>
                  <w:vAlign w:val="center"/>
                </w:tcPr>
                <w:p w14:paraId="5D73554D">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0.2339</w:t>
                  </w:r>
                </w:p>
              </w:tc>
              <w:tc>
                <w:tcPr>
                  <w:tcW w:w="760" w:type="pct"/>
                  <w:vMerge w:val="continue"/>
                  <w:noWrap w:val="0"/>
                  <w:vAlign w:val="center"/>
                </w:tcPr>
                <w:p w14:paraId="78D3E4C6">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831" w:type="dxa"/>
                  <w:noWrap w:val="0"/>
                  <w:vAlign w:val="center"/>
                </w:tcPr>
                <w:p w14:paraId="7A2086CD">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0.005</w:t>
                  </w:r>
                </w:p>
              </w:tc>
              <w:tc>
                <w:tcPr>
                  <w:tcW w:w="1106" w:type="dxa"/>
                  <w:noWrap w:val="0"/>
                  <w:vAlign w:val="center"/>
                </w:tcPr>
                <w:p w14:paraId="45ACE8EA">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default" w:cs="Times New Roman"/>
                      <w:color w:val="auto"/>
                      <w:sz w:val="18"/>
                      <w:szCs w:val="18"/>
                      <w:lang w:val="en-US" w:eastAsia="zh-CN"/>
                    </w:rPr>
                    <w:t xml:space="preserve">0.0001 </w:t>
                  </w:r>
                </w:p>
              </w:tc>
              <w:tc>
                <w:tcPr>
                  <w:tcW w:w="844" w:type="dxa"/>
                  <w:noWrap w:val="0"/>
                  <w:vAlign w:val="center"/>
                </w:tcPr>
                <w:p w14:paraId="263A4E7E">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cs="Times New Roman"/>
                      <w:color w:val="auto"/>
                      <w:sz w:val="18"/>
                      <w:szCs w:val="18"/>
                      <w:lang w:val="en-US" w:eastAsia="zh-CN"/>
                    </w:rPr>
                  </w:pPr>
                  <w:r>
                    <w:rPr>
                      <w:rFonts w:hint="eastAsia" w:cs="Times New Roman"/>
                      <w:color w:val="auto"/>
                      <w:sz w:val="18"/>
                      <w:szCs w:val="18"/>
                      <w:lang w:val="en-US" w:eastAsia="zh-CN"/>
                    </w:rPr>
                    <w:t>0.0927</w:t>
                  </w:r>
                </w:p>
              </w:tc>
            </w:tr>
            <w:tr w14:paraId="53B04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2" w:type="pct"/>
                  <w:gridSpan w:val="2"/>
                  <w:noWrap w:val="0"/>
                  <w:vAlign w:val="center"/>
                </w:tcPr>
                <w:p w14:paraId="7C496CFB">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非甲烷总烃</w:t>
                  </w:r>
                </w:p>
              </w:tc>
              <w:tc>
                <w:tcPr>
                  <w:tcW w:w="328" w:type="pct"/>
                  <w:vMerge w:val="restart"/>
                  <w:noWrap w:val="0"/>
                  <w:vAlign w:val="center"/>
                </w:tcPr>
                <w:p w14:paraId="1D8ED5DA">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无组织排放</w:t>
                  </w:r>
                </w:p>
              </w:tc>
              <w:tc>
                <w:tcPr>
                  <w:tcW w:w="455" w:type="pct"/>
                  <w:noWrap w:val="0"/>
                  <w:vAlign w:val="center"/>
                </w:tcPr>
                <w:p w14:paraId="20F1E436">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107" w:type="dxa"/>
                  <w:noWrap w:val="0"/>
                  <w:vAlign w:val="center"/>
                </w:tcPr>
                <w:p w14:paraId="4CABB123">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0.007</w:t>
                  </w:r>
                </w:p>
              </w:tc>
              <w:tc>
                <w:tcPr>
                  <w:tcW w:w="881" w:type="dxa"/>
                  <w:noWrap w:val="0"/>
                  <w:vAlign w:val="center"/>
                </w:tcPr>
                <w:p w14:paraId="548AE658">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6.9927 </w:t>
                  </w:r>
                </w:p>
              </w:tc>
              <w:tc>
                <w:tcPr>
                  <w:tcW w:w="760" w:type="pct"/>
                  <w:vMerge w:val="restart"/>
                  <w:noWrap w:val="0"/>
                  <w:vAlign w:val="center"/>
                </w:tcPr>
                <w:p w14:paraId="5B78F0FF">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经门窗自然通风外排、</w:t>
                  </w:r>
                  <w:r>
                    <w:rPr>
                      <w:rFonts w:hint="eastAsia" w:cs="Times New Roman"/>
                      <w:color w:val="auto"/>
                      <w:sz w:val="18"/>
                      <w:szCs w:val="18"/>
                      <w:lang w:val="en-US" w:eastAsia="zh-CN"/>
                    </w:rPr>
                    <w:t>绿化植物吸附、</w:t>
                  </w:r>
                  <w:r>
                    <w:rPr>
                      <w:rFonts w:hint="default" w:ascii="Times New Roman" w:hAnsi="Times New Roman" w:eastAsia="宋体" w:cs="Times New Roman"/>
                      <w:color w:val="auto"/>
                      <w:sz w:val="18"/>
                      <w:szCs w:val="18"/>
                    </w:rPr>
                    <w:t>大气扩散</w:t>
                  </w:r>
                </w:p>
              </w:tc>
              <w:tc>
                <w:tcPr>
                  <w:tcW w:w="519" w:type="pct"/>
                  <w:noWrap w:val="0"/>
                  <w:vAlign w:val="center"/>
                </w:tcPr>
                <w:p w14:paraId="39F9C003">
                  <w:pPr>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106" w:type="dxa"/>
                  <w:noWrap w:val="0"/>
                  <w:vAlign w:val="center"/>
                </w:tcPr>
                <w:p w14:paraId="08CAC4CB">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0.007</w:t>
                  </w:r>
                </w:p>
              </w:tc>
              <w:tc>
                <w:tcPr>
                  <w:tcW w:w="844" w:type="dxa"/>
                  <w:noWrap w:val="0"/>
                  <w:vAlign w:val="center"/>
                </w:tcPr>
                <w:p w14:paraId="53978DBB">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6.9927 </w:t>
                  </w:r>
                </w:p>
              </w:tc>
            </w:tr>
            <w:tr w14:paraId="3F63B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90" w:type="pct"/>
                  <w:vMerge w:val="restart"/>
                  <w:noWrap w:val="0"/>
                  <w:vAlign w:val="center"/>
                </w:tcPr>
                <w:p w14:paraId="4A822EFA">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其中</w:t>
                  </w:r>
                </w:p>
              </w:tc>
              <w:tc>
                <w:tcPr>
                  <w:tcW w:w="282" w:type="pct"/>
                  <w:noWrap w:val="0"/>
                  <w:vAlign w:val="center"/>
                </w:tcPr>
                <w:p w14:paraId="46DA6AB4">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甲醇</w:t>
                  </w:r>
                </w:p>
              </w:tc>
              <w:tc>
                <w:tcPr>
                  <w:tcW w:w="328" w:type="pct"/>
                  <w:vMerge w:val="continue"/>
                  <w:noWrap w:val="0"/>
                  <w:vAlign w:val="center"/>
                </w:tcPr>
                <w:p w14:paraId="6A6944D4">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455" w:type="pct"/>
                  <w:noWrap w:val="0"/>
                  <w:vAlign w:val="center"/>
                </w:tcPr>
                <w:p w14:paraId="22A3109E">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107" w:type="dxa"/>
                  <w:noWrap w:val="0"/>
                  <w:vAlign w:val="center"/>
                </w:tcPr>
                <w:p w14:paraId="4092A8DD">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0.0007</w:t>
                  </w:r>
                </w:p>
              </w:tc>
              <w:tc>
                <w:tcPr>
                  <w:tcW w:w="881" w:type="dxa"/>
                  <w:noWrap w:val="0"/>
                  <w:vAlign w:val="center"/>
                </w:tcPr>
                <w:p w14:paraId="32C28517">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0.7212 </w:t>
                  </w:r>
                </w:p>
              </w:tc>
              <w:tc>
                <w:tcPr>
                  <w:tcW w:w="760" w:type="pct"/>
                  <w:vMerge w:val="continue"/>
                  <w:noWrap w:val="0"/>
                  <w:vAlign w:val="center"/>
                </w:tcPr>
                <w:p w14:paraId="5A5A617A">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519" w:type="pct"/>
                  <w:noWrap w:val="0"/>
                  <w:vAlign w:val="center"/>
                </w:tcPr>
                <w:p w14:paraId="7BAE05DA">
                  <w:pPr>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106" w:type="dxa"/>
                  <w:noWrap w:val="0"/>
                  <w:vAlign w:val="center"/>
                </w:tcPr>
                <w:p w14:paraId="64500DF5">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0.0007</w:t>
                  </w:r>
                </w:p>
              </w:tc>
              <w:tc>
                <w:tcPr>
                  <w:tcW w:w="844" w:type="dxa"/>
                  <w:noWrap w:val="0"/>
                  <w:vAlign w:val="center"/>
                </w:tcPr>
                <w:p w14:paraId="16617BB4">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0.7212 </w:t>
                  </w:r>
                </w:p>
              </w:tc>
            </w:tr>
            <w:tr w14:paraId="19D2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90" w:type="pct"/>
                  <w:vMerge w:val="continue"/>
                  <w:noWrap w:val="0"/>
                  <w:vAlign w:val="center"/>
                </w:tcPr>
                <w:p w14:paraId="17063A2C">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282" w:type="pct"/>
                  <w:noWrap w:val="0"/>
                  <w:vAlign w:val="center"/>
                </w:tcPr>
                <w:p w14:paraId="00A30615">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甲醛</w:t>
                  </w:r>
                </w:p>
              </w:tc>
              <w:tc>
                <w:tcPr>
                  <w:tcW w:w="328" w:type="pct"/>
                  <w:vMerge w:val="continue"/>
                  <w:noWrap w:val="0"/>
                  <w:vAlign w:val="center"/>
                </w:tcPr>
                <w:p w14:paraId="42928D98">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455" w:type="pct"/>
                  <w:noWrap w:val="0"/>
                  <w:vAlign w:val="center"/>
                </w:tcPr>
                <w:p w14:paraId="39DDD392">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1107" w:type="dxa"/>
                  <w:noWrap w:val="0"/>
                  <w:vAlign w:val="center"/>
                </w:tcPr>
                <w:p w14:paraId="0E28C864">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0.0001</w:t>
                  </w:r>
                </w:p>
              </w:tc>
              <w:tc>
                <w:tcPr>
                  <w:tcW w:w="881" w:type="dxa"/>
                  <w:noWrap w:val="0"/>
                  <w:vAlign w:val="center"/>
                </w:tcPr>
                <w:p w14:paraId="3332BC92">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0.0819 </w:t>
                  </w:r>
                </w:p>
              </w:tc>
              <w:tc>
                <w:tcPr>
                  <w:tcW w:w="760" w:type="pct"/>
                  <w:vMerge w:val="continue"/>
                  <w:noWrap w:val="0"/>
                  <w:vAlign w:val="center"/>
                </w:tcPr>
                <w:p w14:paraId="09AB9B88">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519" w:type="pct"/>
                  <w:noWrap w:val="0"/>
                  <w:vAlign w:val="center"/>
                </w:tcPr>
                <w:p w14:paraId="25BEAA12">
                  <w:pPr>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106" w:type="dxa"/>
                  <w:noWrap w:val="0"/>
                  <w:vAlign w:val="center"/>
                </w:tcPr>
                <w:p w14:paraId="7127F9EC">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0.0001</w:t>
                  </w:r>
                </w:p>
              </w:tc>
              <w:tc>
                <w:tcPr>
                  <w:tcW w:w="844" w:type="dxa"/>
                  <w:noWrap w:val="0"/>
                  <w:vAlign w:val="center"/>
                </w:tcPr>
                <w:p w14:paraId="5043FD39">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0.0819 </w:t>
                  </w:r>
                </w:p>
              </w:tc>
            </w:tr>
          </w:tbl>
          <w:p w14:paraId="245483F0">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（2）无机酸性废气产排情况</w:t>
            </w:r>
          </w:p>
          <w:p w14:paraId="39465D6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项目实验室无机废气主要产生于无机前处理室及常规分析室，使用盐酸、硫酸、硝酸</w:t>
            </w:r>
            <w:r>
              <w:rPr>
                <w:rFonts w:hint="eastAsia" w:cs="Times New Roman"/>
                <w:color w:val="auto"/>
                <w:lang w:val="en-US" w:eastAsia="zh-CN"/>
              </w:rPr>
              <w:t>、氨水</w:t>
            </w:r>
            <w:r>
              <w:rPr>
                <w:rFonts w:hint="default" w:ascii="Times New Roman" w:hAnsi="Times New Roman" w:eastAsia="宋体" w:cs="Times New Roman"/>
                <w:color w:val="auto"/>
                <w:lang w:val="en-US" w:eastAsia="zh-CN"/>
              </w:rPr>
              <w:t>等试剂过程中会产生氯化氢、硫酸雾、硝酸雾</w:t>
            </w:r>
            <w:r>
              <w:rPr>
                <w:rFonts w:hint="eastAsia" w:cs="Times New Roman"/>
                <w:color w:val="auto"/>
                <w:lang w:val="en-US" w:eastAsia="zh-CN"/>
              </w:rPr>
              <w:t>（</w:t>
            </w:r>
            <w:r>
              <w:rPr>
                <w:rFonts w:hint="default" w:ascii="Times New Roman" w:hAnsi="Times New Roman" w:eastAsia="宋体" w:cs="Times New Roman"/>
                <w:color w:val="auto"/>
                <w:lang w:val="en-US" w:eastAsia="zh-CN"/>
              </w:rPr>
              <w:t>氮氧化物</w:t>
            </w:r>
            <w:r>
              <w:rPr>
                <w:rFonts w:hint="eastAsia" w:cs="Times New Roman"/>
                <w:color w:val="auto"/>
                <w:lang w:val="en-US" w:eastAsia="zh-CN"/>
              </w:rPr>
              <w:t>）、氨气</w:t>
            </w:r>
            <w:r>
              <w:rPr>
                <w:rFonts w:hint="default" w:ascii="Times New Roman" w:hAnsi="Times New Roman" w:eastAsia="宋体" w:cs="Times New Roman"/>
                <w:color w:val="auto"/>
                <w:lang w:val="en-US" w:eastAsia="zh-CN"/>
              </w:rPr>
              <w:t>等酸性气体。酸性气体主要在取样、消解过程中产生，其中取样过程中主要为常温下自然挥发，消解过程中主要为加热过程中挥发，其消解过程中酸性基本全部挥发出来。原子吸收分光光度计及原子荧光光度计使用时产生的酸性废气，为灼烧时产生少量酸性废气，可忽略不计。</w:t>
            </w:r>
          </w:p>
          <w:p w14:paraId="2077A2B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根据建设单位</w:t>
            </w:r>
            <w:r>
              <w:rPr>
                <w:rFonts w:hint="eastAsia" w:cs="Times New Roman"/>
                <w:color w:val="auto"/>
                <w:lang w:val="en-US" w:eastAsia="zh-CN"/>
              </w:rPr>
              <w:t>介绍</w:t>
            </w:r>
            <w:r>
              <w:rPr>
                <w:rFonts w:hint="default" w:ascii="Times New Roman" w:hAnsi="Times New Roman" w:eastAsia="宋体" w:cs="Times New Roman"/>
                <w:color w:val="auto"/>
                <w:lang w:val="en-US" w:eastAsia="zh-CN"/>
              </w:rPr>
              <w:t>，无机前处理过程使用的</w:t>
            </w:r>
            <w:r>
              <w:rPr>
                <w:rFonts w:hint="eastAsia" w:cs="Times New Roman"/>
                <w:color w:val="auto"/>
                <w:lang w:val="en-US" w:eastAsia="zh-CN"/>
              </w:rPr>
              <w:t>挥发性无</w:t>
            </w:r>
            <w:r>
              <w:rPr>
                <w:rFonts w:hint="eastAsia" w:cs="Times New Roman"/>
                <w:color w:val="auto"/>
                <w:highlight w:val="none"/>
                <w:lang w:val="en-US" w:eastAsia="zh-CN"/>
              </w:rPr>
              <w:t>机试剂</w:t>
            </w:r>
            <w:r>
              <w:rPr>
                <w:rFonts w:hint="default" w:ascii="Times New Roman" w:hAnsi="Times New Roman" w:eastAsia="宋体" w:cs="Times New Roman"/>
                <w:color w:val="auto"/>
                <w:highlight w:val="none"/>
                <w:lang w:val="en-US" w:eastAsia="zh-CN"/>
              </w:rPr>
              <w:t>约占总用量的</w:t>
            </w:r>
            <w:r>
              <w:rPr>
                <w:rFonts w:hint="eastAsia" w:cs="Times New Roman"/>
                <w:color w:val="auto"/>
                <w:lang w:val="en-US" w:eastAsia="zh-CN"/>
              </w:rPr>
              <w:t>8</w:t>
            </w:r>
            <w:r>
              <w:rPr>
                <w:rFonts w:hint="default" w:ascii="Times New Roman" w:hAnsi="Times New Roman" w:eastAsia="宋体" w:cs="Times New Roman"/>
                <w:color w:val="auto"/>
                <w:lang w:val="en-US" w:eastAsia="zh-CN"/>
              </w:rPr>
              <w:t>0%，按最不利条件考虑</w:t>
            </w:r>
            <w:r>
              <w:rPr>
                <w:rFonts w:hint="eastAsia" w:cs="Times New Roman"/>
                <w:color w:val="auto"/>
                <w:lang w:val="en-US" w:eastAsia="zh-CN"/>
              </w:rPr>
              <w:t>，</w:t>
            </w:r>
            <w:r>
              <w:rPr>
                <w:rFonts w:hint="default" w:ascii="Times New Roman" w:hAnsi="Times New Roman" w:eastAsia="宋体" w:cs="Times New Roman"/>
                <w:color w:val="auto"/>
                <w:lang w:val="en-US" w:eastAsia="zh-CN"/>
              </w:rPr>
              <w:t>使用的无机试剂全部挥发，项目消解酸雾产生情况如下：</w:t>
            </w:r>
          </w:p>
          <w:p w14:paraId="5DFCCAFE">
            <w:pPr>
              <w:pStyle w:val="1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exact"/>
              <w:jc w:val="center"/>
              <w:textAlignment w:val="auto"/>
              <w:outlineLvl w:val="9"/>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w:t>
            </w:r>
            <w:r>
              <w:rPr>
                <w:rFonts w:hint="default" w:ascii="Times New Roman" w:hAnsi="Times New Roman" w:eastAsia="宋体" w:cs="Times New Roman"/>
                <w:b/>
                <w:bCs/>
                <w:color w:val="auto"/>
                <w:sz w:val="18"/>
                <w:szCs w:val="18"/>
                <w:lang w:val="en-US" w:eastAsia="zh-CN"/>
              </w:rPr>
              <w:t>4-3  项目无机废气</w:t>
            </w:r>
            <w:r>
              <w:rPr>
                <w:rFonts w:hint="default" w:ascii="Times New Roman" w:hAnsi="Times New Roman" w:eastAsia="宋体" w:cs="Times New Roman"/>
                <w:b/>
                <w:bCs/>
                <w:color w:val="auto"/>
                <w:sz w:val="18"/>
                <w:szCs w:val="18"/>
              </w:rPr>
              <w:t>挥发情况</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220"/>
              <w:gridCol w:w="1624"/>
              <w:gridCol w:w="1355"/>
              <w:gridCol w:w="1488"/>
              <w:gridCol w:w="1637"/>
            </w:tblGrid>
            <w:tr w14:paraId="5916A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noWrap w:val="0"/>
                  <w:vAlign w:val="center"/>
                </w:tcPr>
                <w:p w14:paraId="6C3E1FDE">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761" w:type="pct"/>
                  <w:noWrap w:val="0"/>
                  <w:vAlign w:val="center"/>
                </w:tcPr>
                <w:p w14:paraId="38840F66">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规格</w:t>
                  </w:r>
                </w:p>
              </w:tc>
              <w:tc>
                <w:tcPr>
                  <w:tcW w:w="1013" w:type="pct"/>
                  <w:noWrap w:val="0"/>
                  <w:vAlign w:val="center"/>
                </w:tcPr>
                <w:p w14:paraId="5164B139">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年用量（瓶/年）</w:t>
                  </w:r>
                </w:p>
              </w:tc>
              <w:tc>
                <w:tcPr>
                  <w:tcW w:w="845" w:type="pct"/>
                  <w:noWrap w:val="0"/>
                  <w:vAlign w:val="center"/>
                </w:tcPr>
                <w:p w14:paraId="1F062E79">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密度（g/ml）</w:t>
                  </w:r>
                </w:p>
              </w:tc>
              <w:tc>
                <w:tcPr>
                  <w:tcW w:w="928" w:type="pct"/>
                  <w:noWrap w:val="0"/>
                  <w:vAlign w:val="center"/>
                </w:tcPr>
                <w:p w14:paraId="42F9A61E">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使用量（kg/a）</w:t>
                  </w:r>
                </w:p>
              </w:tc>
              <w:tc>
                <w:tcPr>
                  <w:tcW w:w="1021" w:type="pct"/>
                  <w:noWrap w:val="0"/>
                  <w:vAlign w:val="center"/>
                </w:tcPr>
                <w:p w14:paraId="2FC3B759">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消解挥发量kg/a</w:t>
                  </w:r>
                </w:p>
              </w:tc>
            </w:tr>
            <w:tr w14:paraId="17821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noWrap w:val="0"/>
                  <w:vAlign w:val="center"/>
                </w:tcPr>
                <w:p w14:paraId="6423EC94">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盐酸</w:t>
                  </w:r>
                </w:p>
              </w:tc>
              <w:tc>
                <w:tcPr>
                  <w:tcW w:w="761" w:type="pct"/>
                  <w:noWrap w:val="0"/>
                  <w:vAlign w:val="center"/>
                </w:tcPr>
                <w:p w14:paraId="6BFE2578">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500ml/瓶</w:t>
                  </w:r>
                </w:p>
              </w:tc>
              <w:tc>
                <w:tcPr>
                  <w:tcW w:w="1013" w:type="pct"/>
                  <w:noWrap w:val="0"/>
                  <w:vAlign w:val="center"/>
                </w:tcPr>
                <w:p w14:paraId="725726A6">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rPr>
                    <w:t>1</w:t>
                  </w:r>
                  <w:r>
                    <w:rPr>
                      <w:rFonts w:hint="eastAsia" w:ascii="Times New Roman" w:hAnsi="Times New Roman" w:eastAsia="宋体" w:cs="Times New Roman"/>
                      <w:color w:val="auto"/>
                      <w:sz w:val="18"/>
                      <w:szCs w:val="18"/>
                      <w:lang w:val="en-US" w:eastAsia="zh-CN"/>
                    </w:rPr>
                    <w:t>6</w:t>
                  </w:r>
                  <w:r>
                    <w:rPr>
                      <w:rFonts w:hint="default" w:ascii="Times New Roman" w:hAnsi="Times New Roman" w:eastAsia="宋体" w:cs="Times New Roman"/>
                      <w:color w:val="auto"/>
                      <w:sz w:val="18"/>
                      <w:szCs w:val="18"/>
                    </w:rPr>
                    <w:t>瓶</w:t>
                  </w:r>
                </w:p>
              </w:tc>
              <w:tc>
                <w:tcPr>
                  <w:tcW w:w="845" w:type="pct"/>
                  <w:noWrap w:val="0"/>
                  <w:vAlign w:val="center"/>
                </w:tcPr>
                <w:p w14:paraId="634A67D2">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1.</w:t>
                  </w:r>
                  <w:r>
                    <w:rPr>
                      <w:rFonts w:hint="eastAsia" w:ascii="Times New Roman" w:hAnsi="Times New Roman" w:eastAsia="宋体" w:cs="Times New Roman"/>
                      <w:color w:val="auto"/>
                      <w:sz w:val="18"/>
                      <w:szCs w:val="18"/>
                      <w:lang w:val="en-US" w:eastAsia="zh-CN"/>
                    </w:rPr>
                    <w:t>159</w:t>
                  </w:r>
                </w:p>
              </w:tc>
              <w:tc>
                <w:tcPr>
                  <w:tcW w:w="928" w:type="pct"/>
                  <w:noWrap w:val="0"/>
                  <w:vAlign w:val="center"/>
                </w:tcPr>
                <w:p w14:paraId="3D369866">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9.272</w:t>
                  </w:r>
                </w:p>
              </w:tc>
              <w:tc>
                <w:tcPr>
                  <w:tcW w:w="1021" w:type="pct"/>
                  <w:noWrap w:val="0"/>
                  <w:vAlign w:val="center"/>
                </w:tcPr>
                <w:p w14:paraId="59D79442">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7.4176</w:t>
                  </w:r>
                </w:p>
              </w:tc>
            </w:tr>
            <w:tr w14:paraId="0BD8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noWrap w:val="0"/>
                  <w:vAlign w:val="center"/>
                </w:tcPr>
                <w:p w14:paraId="7404CEEF">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硫酸</w:t>
                  </w:r>
                </w:p>
              </w:tc>
              <w:tc>
                <w:tcPr>
                  <w:tcW w:w="761" w:type="pct"/>
                  <w:noWrap w:val="0"/>
                  <w:vAlign w:val="center"/>
                </w:tcPr>
                <w:p w14:paraId="52D189A3">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500ml/瓶</w:t>
                  </w:r>
                </w:p>
              </w:tc>
              <w:tc>
                <w:tcPr>
                  <w:tcW w:w="1013" w:type="pct"/>
                  <w:noWrap w:val="0"/>
                  <w:vAlign w:val="center"/>
                </w:tcPr>
                <w:p w14:paraId="2C112A9A">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38瓶</w:t>
                  </w:r>
                </w:p>
              </w:tc>
              <w:tc>
                <w:tcPr>
                  <w:tcW w:w="845" w:type="pct"/>
                  <w:noWrap w:val="0"/>
                  <w:vAlign w:val="center"/>
                </w:tcPr>
                <w:p w14:paraId="2A6C2F40">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1.84</w:t>
                  </w:r>
                </w:p>
              </w:tc>
              <w:tc>
                <w:tcPr>
                  <w:tcW w:w="928" w:type="pct"/>
                  <w:noWrap w:val="0"/>
                  <w:vAlign w:val="center"/>
                </w:tcPr>
                <w:p w14:paraId="283A4A9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34.96</w:t>
                  </w:r>
                </w:p>
              </w:tc>
              <w:tc>
                <w:tcPr>
                  <w:tcW w:w="1021" w:type="pct"/>
                  <w:noWrap w:val="0"/>
                  <w:vAlign w:val="center"/>
                </w:tcPr>
                <w:p w14:paraId="61669994">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27.968</w:t>
                  </w:r>
                </w:p>
              </w:tc>
            </w:tr>
            <w:tr w14:paraId="76EDA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noWrap w:val="0"/>
                  <w:vAlign w:val="center"/>
                </w:tcPr>
                <w:p w14:paraId="1D3C4B06">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硝酸</w:t>
                  </w:r>
                </w:p>
              </w:tc>
              <w:tc>
                <w:tcPr>
                  <w:tcW w:w="761" w:type="pct"/>
                  <w:noWrap w:val="0"/>
                  <w:vAlign w:val="center"/>
                </w:tcPr>
                <w:p w14:paraId="7B9F55CE">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vertAlign w:val="baseline"/>
                      <w:lang w:val="en-US" w:eastAsia="zh-CN"/>
                    </w:rPr>
                    <w:t>1L/瓶</w:t>
                  </w:r>
                </w:p>
              </w:tc>
              <w:tc>
                <w:tcPr>
                  <w:tcW w:w="1013" w:type="pct"/>
                  <w:noWrap w:val="0"/>
                  <w:vAlign w:val="center"/>
                </w:tcPr>
                <w:p w14:paraId="0D34EE86">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w:t>
                  </w:r>
                  <w:r>
                    <w:rPr>
                      <w:rFonts w:hint="default" w:ascii="Times New Roman" w:hAnsi="Times New Roman" w:eastAsia="宋体" w:cs="Times New Roman"/>
                      <w:color w:val="auto"/>
                      <w:sz w:val="18"/>
                      <w:szCs w:val="18"/>
                    </w:rPr>
                    <w:t>瓶</w:t>
                  </w:r>
                </w:p>
              </w:tc>
              <w:tc>
                <w:tcPr>
                  <w:tcW w:w="845" w:type="pct"/>
                  <w:noWrap w:val="0"/>
                  <w:vAlign w:val="center"/>
                </w:tcPr>
                <w:p w14:paraId="7AD75781">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w:t>
                  </w:r>
                </w:p>
              </w:tc>
              <w:tc>
                <w:tcPr>
                  <w:tcW w:w="928" w:type="pct"/>
                  <w:noWrap w:val="0"/>
                  <w:vAlign w:val="center"/>
                </w:tcPr>
                <w:p w14:paraId="3655ED83">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7.5</w:t>
                  </w:r>
                </w:p>
              </w:tc>
              <w:tc>
                <w:tcPr>
                  <w:tcW w:w="1021" w:type="pct"/>
                  <w:noWrap w:val="0"/>
                  <w:vAlign w:val="center"/>
                </w:tcPr>
                <w:p w14:paraId="187A9B3E">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w:t>
                  </w:r>
                </w:p>
              </w:tc>
            </w:tr>
            <w:tr w14:paraId="4E03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noWrap w:val="0"/>
                  <w:vAlign w:val="center"/>
                </w:tcPr>
                <w:p w14:paraId="0DAEA600">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氨水</w:t>
                  </w:r>
                </w:p>
              </w:tc>
              <w:tc>
                <w:tcPr>
                  <w:tcW w:w="761" w:type="pct"/>
                  <w:noWrap w:val="0"/>
                  <w:vAlign w:val="center"/>
                </w:tcPr>
                <w:p w14:paraId="1D78AE96">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500ml/瓶</w:t>
                  </w:r>
                </w:p>
              </w:tc>
              <w:tc>
                <w:tcPr>
                  <w:tcW w:w="1013" w:type="pct"/>
                  <w:noWrap w:val="0"/>
                  <w:vAlign w:val="center"/>
                </w:tcPr>
                <w:p w14:paraId="068C9D42">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eastAsia"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16瓶</w:t>
                  </w:r>
                </w:p>
              </w:tc>
              <w:tc>
                <w:tcPr>
                  <w:tcW w:w="845" w:type="pct"/>
                  <w:noWrap w:val="0"/>
                  <w:vAlign w:val="center"/>
                </w:tcPr>
                <w:p w14:paraId="0C0DDA6D">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0.91</w:t>
                  </w:r>
                </w:p>
              </w:tc>
              <w:tc>
                <w:tcPr>
                  <w:tcW w:w="928" w:type="pct"/>
                  <w:noWrap w:val="0"/>
                  <w:vAlign w:val="center"/>
                </w:tcPr>
                <w:p w14:paraId="351F3467">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7.28</w:t>
                  </w:r>
                </w:p>
              </w:tc>
              <w:tc>
                <w:tcPr>
                  <w:tcW w:w="1021" w:type="pct"/>
                  <w:noWrap w:val="0"/>
                  <w:vAlign w:val="center"/>
                </w:tcPr>
                <w:p w14:paraId="446A725F">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5.824</w:t>
                  </w:r>
                </w:p>
              </w:tc>
            </w:tr>
          </w:tbl>
          <w:p w14:paraId="7CC04EA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本项目理化室全年工作250d，使用酸的无机实验时间约4h/d，年运行1000h/a，通风橱配套风机风量20000m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/h。涉及到酸性试剂的所有操作均在通风橱内完成，挥发出来的酸雾经通风橱收集</w:t>
            </w:r>
            <w:r>
              <w:rPr>
                <w:rFonts w:hint="eastAsia" w:cs="Times New Roman"/>
                <w:color w:val="auto"/>
                <w:sz w:val="21"/>
                <w:szCs w:val="21"/>
                <w:lang w:val="en-US" w:eastAsia="zh-CN"/>
              </w:rPr>
              <w:t>（收集效率参考有机实验废气收集效率按65%计）</w:t>
            </w:r>
            <w:r>
              <w:rPr>
                <w:rFonts w:hint="default" w:ascii="Times New Roman" w:hAnsi="Times New Roman" w:eastAsia="宋体" w:cs="Times New Roman"/>
                <w:color w:val="auto"/>
                <w:sz w:val="21"/>
                <w:szCs w:val="21"/>
                <w:lang w:val="en-US" w:eastAsia="zh-CN"/>
              </w:rPr>
              <w:t>后，引至实验室西南角处1套</w:t>
            </w:r>
            <w:r>
              <w:rPr>
                <w:rFonts w:hint="eastAsia" w:cs="Times New Roman"/>
                <w:color w:val="auto"/>
                <w:sz w:val="21"/>
                <w:szCs w:val="21"/>
                <w:lang w:val="en-US" w:eastAsia="zh-CN"/>
              </w:rPr>
              <w:t>碱液喷淋装置</w:t>
            </w:r>
            <w:r>
              <w:rPr>
                <w:rFonts w:hint="default" w:ascii="Times New Roman" w:hAnsi="Times New Roman" w:eastAsia="宋体" w:cs="Times New Roman"/>
                <w:color w:val="auto"/>
                <w:sz w:val="21"/>
                <w:szCs w:val="21"/>
                <w:lang w:val="en-US" w:eastAsia="zh-CN"/>
              </w:rPr>
              <w:t>处理后进入15m高排气筒（DA001）排放，未收集的</w:t>
            </w:r>
            <w:r>
              <w:rPr>
                <w:rFonts w:hint="eastAsia" w:cs="Times New Roman"/>
                <w:color w:val="auto"/>
                <w:sz w:val="21"/>
                <w:szCs w:val="21"/>
                <w:lang w:val="en-US" w:eastAsia="zh-CN"/>
              </w:rPr>
              <w:t>35</w:t>
            </w:r>
            <w:r>
              <w:rPr>
                <w:rFonts w:hint="default" w:ascii="Times New Roman" w:hAnsi="Times New Roman" w:eastAsia="宋体" w:cs="Times New Roman"/>
                <w:color w:val="auto"/>
                <w:sz w:val="21"/>
                <w:szCs w:val="21"/>
                <w:lang w:val="en-US" w:eastAsia="zh-CN"/>
              </w:rPr>
              <w:t>%呈无组织形式排放。</w:t>
            </w:r>
          </w:p>
          <w:p w14:paraId="7827C8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参考《化学实验室通风及废气治理工程设计》(丁智军等，中国环保产业，2008.06)，采用 5%NaOH溶液作为吸收液时，吸收塔对硫酸雾、盐酸雾的吸收率分别为75%、95%，按照保守估算，本项目</w:t>
            </w:r>
            <w:r>
              <w:rPr>
                <w:rFonts w:hint="eastAsia" w:cs="Times New Roman"/>
                <w:color w:val="auto"/>
                <w:sz w:val="21"/>
                <w:szCs w:val="21"/>
                <w:lang w:val="en-US" w:eastAsia="zh-CN"/>
              </w:rPr>
              <w:t>碱液喷淋装置</w:t>
            </w:r>
            <w:r>
              <w:rPr>
                <w:rFonts w:hint="default" w:ascii="Times New Roman" w:hAnsi="Times New Roman" w:eastAsia="宋体" w:cs="Times New Roman"/>
                <w:color w:val="auto"/>
                <w:sz w:val="21"/>
                <w:szCs w:val="21"/>
                <w:lang w:val="en-US" w:eastAsia="zh-CN"/>
              </w:rPr>
              <w:t>对硫酸雾、盐酸雾的去除效率均按75%计，</w:t>
            </w:r>
            <w:r>
              <w:rPr>
                <w:rFonts w:hint="default" w:ascii="Times New Roman" w:hAnsi="Times New Roman" w:eastAsia="宋体" w:cs="Times New Roman"/>
                <w:color w:val="auto"/>
                <w:sz w:val="21"/>
                <w:szCs w:val="21"/>
              </w:rPr>
              <w:t>对氮氧化物</w:t>
            </w:r>
            <w:r>
              <w:rPr>
                <w:rFonts w:hint="eastAsia" w:cs="Times New Roman"/>
                <w:color w:val="auto"/>
                <w:sz w:val="21"/>
                <w:szCs w:val="21"/>
                <w:lang w:eastAsia="zh-CN"/>
              </w:rPr>
              <w:t>、</w:t>
            </w:r>
            <w:r>
              <w:rPr>
                <w:rFonts w:hint="eastAsia" w:cs="Times New Roman"/>
                <w:color w:val="auto"/>
                <w:sz w:val="21"/>
                <w:szCs w:val="21"/>
                <w:lang w:val="en-US" w:eastAsia="zh-CN"/>
              </w:rPr>
              <w:t>氨的</w:t>
            </w:r>
            <w:r>
              <w:rPr>
                <w:rFonts w:hint="default" w:ascii="Times New Roman" w:hAnsi="Times New Roman" w:eastAsia="宋体" w:cs="Times New Roman"/>
                <w:color w:val="auto"/>
                <w:sz w:val="21"/>
                <w:szCs w:val="21"/>
              </w:rPr>
              <w:t>去除率为0计</w:t>
            </w:r>
            <w:r>
              <w:rPr>
                <w:rFonts w:hint="default" w:ascii="Times New Roman" w:hAnsi="Times New Roman" w:eastAsia="宋体" w:cs="Times New Roman"/>
                <w:color w:val="auto"/>
                <w:sz w:val="21"/>
                <w:szCs w:val="21"/>
                <w:lang w:val="en-US" w:eastAsia="zh-CN"/>
              </w:rPr>
              <w:t>。项目无机实验废气产生排放情况见下表。</w:t>
            </w:r>
          </w:p>
          <w:p w14:paraId="66A2F724">
            <w:pPr>
              <w:keepNext/>
              <w:keepLines/>
              <w:pageBreakBefore w:val="0"/>
              <w:widowControl w:val="0"/>
              <w:kinsoku/>
              <w:wordWrap/>
              <w:overflowPunct/>
              <w:topLinePunct w:val="0"/>
              <w:autoSpaceDE/>
              <w:autoSpaceDN/>
              <w:bidi w:val="0"/>
              <w:adjustRightInd w:val="0"/>
              <w:snapToGrid w:val="0"/>
              <w:spacing w:line="360" w:lineRule="exact"/>
              <w:jc w:val="center"/>
              <w:textAlignment w:val="auto"/>
              <w:outlineLvl w:val="9"/>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表4-</w:t>
            </w:r>
            <w:r>
              <w:rPr>
                <w:rFonts w:hint="default" w:ascii="Times New Roman" w:hAnsi="Times New Roman" w:eastAsia="宋体" w:cs="Times New Roman"/>
                <w:b/>
                <w:bCs w:val="0"/>
                <w:color w:val="auto"/>
                <w:sz w:val="18"/>
                <w:szCs w:val="18"/>
                <w:lang w:val="en-US" w:eastAsia="zh-CN"/>
              </w:rPr>
              <w:t xml:space="preserve">4  </w:t>
            </w:r>
            <w:r>
              <w:rPr>
                <w:rFonts w:hint="default" w:ascii="Times New Roman" w:hAnsi="Times New Roman" w:eastAsia="宋体" w:cs="Times New Roman"/>
                <w:b/>
                <w:bCs w:val="0"/>
                <w:color w:val="auto"/>
                <w:sz w:val="18"/>
                <w:szCs w:val="18"/>
              </w:rPr>
              <w:t>本项目无机废气产排情况一览表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627"/>
              <w:gridCol w:w="759"/>
              <w:gridCol w:w="941"/>
              <w:gridCol w:w="856"/>
              <w:gridCol w:w="1493"/>
              <w:gridCol w:w="771"/>
              <w:gridCol w:w="943"/>
              <w:gridCol w:w="857"/>
            </w:tblGrid>
            <w:tr w14:paraId="4A33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7" w:type="pct"/>
                  <w:noWrap w:val="0"/>
                  <w:vAlign w:val="center"/>
                </w:tcPr>
                <w:p w14:paraId="3B35078A">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污染物名称</w:t>
                  </w:r>
                </w:p>
              </w:tc>
              <w:tc>
                <w:tcPr>
                  <w:tcW w:w="391" w:type="pct"/>
                  <w:noWrap w:val="0"/>
                  <w:vAlign w:val="center"/>
                </w:tcPr>
                <w:p w14:paraId="48E5E893">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排放方式</w:t>
                  </w:r>
                </w:p>
              </w:tc>
              <w:tc>
                <w:tcPr>
                  <w:tcW w:w="473" w:type="pct"/>
                  <w:noWrap w:val="0"/>
                  <w:vAlign w:val="center"/>
                </w:tcPr>
                <w:p w14:paraId="07C1BB8D">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产生浓度mg/m</w:t>
                  </w:r>
                  <w:r>
                    <w:rPr>
                      <w:rFonts w:hint="default" w:ascii="Times New Roman" w:hAnsi="Times New Roman" w:eastAsia="宋体" w:cs="Times New Roman"/>
                      <w:b/>
                      <w:bCs w:val="0"/>
                      <w:color w:val="auto"/>
                      <w:sz w:val="18"/>
                      <w:szCs w:val="18"/>
                      <w:vertAlign w:val="superscript"/>
                    </w:rPr>
                    <w:t>3</w:t>
                  </w:r>
                </w:p>
              </w:tc>
              <w:tc>
                <w:tcPr>
                  <w:tcW w:w="587" w:type="pct"/>
                  <w:noWrap w:val="0"/>
                  <w:vAlign w:val="center"/>
                </w:tcPr>
                <w:p w14:paraId="781ECE48">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产生速率kg/h</w:t>
                  </w:r>
                </w:p>
              </w:tc>
              <w:tc>
                <w:tcPr>
                  <w:tcW w:w="534" w:type="pct"/>
                  <w:noWrap w:val="0"/>
                  <w:vAlign w:val="center"/>
                </w:tcPr>
                <w:p w14:paraId="62329745">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产生量kg/a</w:t>
                  </w:r>
                </w:p>
              </w:tc>
              <w:tc>
                <w:tcPr>
                  <w:tcW w:w="931" w:type="pct"/>
                  <w:noWrap w:val="0"/>
                  <w:vAlign w:val="center"/>
                </w:tcPr>
                <w:p w14:paraId="6DADAB98">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处理措施</w:t>
                  </w:r>
                </w:p>
              </w:tc>
              <w:tc>
                <w:tcPr>
                  <w:tcW w:w="481" w:type="pct"/>
                  <w:noWrap w:val="0"/>
                  <w:vAlign w:val="center"/>
                </w:tcPr>
                <w:p w14:paraId="0CEE3937">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排放浓度mg/m</w:t>
                  </w:r>
                  <w:r>
                    <w:rPr>
                      <w:rFonts w:hint="default" w:ascii="Times New Roman" w:hAnsi="Times New Roman" w:eastAsia="宋体" w:cs="Times New Roman"/>
                      <w:b/>
                      <w:bCs w:val="0"/>
                      <w:color w:val="auto"/>
                      <w:sz w:val="18"/>
                      <w:szCs w:val="18"/>
                      <w:vertAlign w:val="superscript"/>
                    </w:rPr>
                    <w:t>3</w:t>
                  </w:r>
                </w:p>
              </w:tc>
              <w:tc>
                <w:tcPr>
                  <w:tcW w:w="588" w:type="pct"/>
                  <w:noWrap w:val="0"/>
                  <w:vAlign w:val="center"/>
                </w:tcPr>
                <w:p w14:paraId="74F60577">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排放速率kg/h</w:t>
                  </w:r>
                </w:p>
              </w:tc>
              <w:tc>
                <w:tcPr>
                  <w:tcW w:w="534" w:type="pct"/>
                  <w:noWrap w:val="0"/>
                  <w:vAlign w:val="center"/>
                </w:tcPr>
                <w:p w14:paraId="1AC995A8">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排放量kg/a</w:t>
                  </w:r>
                </w:p>
              </w:tc>
            </w:tr>
            <w:tr w14:paraId="3C78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6" w:hRule="atLeast"/>
                <w:jc w:val="center"/>
              </w:trPr>
              <w:tc>
                <w:tcPr>
                  <w:tcW w:w="477" w:type="pct"/>
                  <w:noWrap w:val="0"/>
                  <w:vAlign w:val="center"/>
                </w:tcPr>
                <w:p w14:paraId="0AD94B30">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HCL</w:t>
                  </w:r>
                </w:p>
              </w:tc>
              <w:tc>
                <w:tcPr>
                  <w:tcW w:w="391" w:type="pct"/>
                  <w:vMerge w:val="restart"/>
                  <w:noWrap w:val="0"/>
                  <w:vAlign w:val="center"/>
                </w:tcPr>
                <w:p w14:paraId="13D6944B">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有组织排放</w:t>
                  </w:r>
                </w:p>
              </w:tc>
              <w:tc>
                <w:tcPr>
                  <w:tcW w:w="473" w:type="pct"/>
                  <w:noWrap w:val="0"/>
                  <w:vAlign w:val="center"/>
                </w:tcPr>
                <w:p w14:paraId="23A1F07A">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0.37</w:t>
                  </w:r>
                  <w:r>
                    <w:rPr>
                      <w:rFonts w:hint="eastAsia" w:cs="Times New Roman"/>
                      <w:color w:val="auto"/>
                      <w:sz w:val="18"/>
                      <w:szCs w:val="18"/>
                      <w:lang w:val="en-US" w:eastAsia="zh-CN"/>
                    </w:rPr>
                    <w:t>1</w:t>
                  </w:r>
                </w:p>
              </w:tc>
              <w:tc>
                <w:tcPr>
                  <w:tcW w:w="587" w:type="pct"/>
                  <w:noWrap w:val="0"/>
                  <w:vAlign w:val="center"/>
                </w:tcPr>
                <w:p w14:paraId="5E08315C">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0.0074</w:t>
                  </w:r>
                </w:p>
              </w:tc>
              <w:tc>
                <w:tcPr>
                  <w:tcW w:w="534" w:type="pct"/>
                  <w:noWrap w:val="0"/>
                  <w:vAlign w:val="center"/>
                </w:tcPr>
                <w:p w14:paraId="1AAF6015">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7.4176</w:t>
                  </w:r>
                </w:p>
              </w:tc>
              <w:tc>
                <w:tcPr>
                  <w:tcW w:w="931" w:type="pct"/>
                  <w:vMerge w:val="restart"/>
                  <w:noWrap w:val="0"/>
                  <w:vAlign w:val="center"/>
                </w:tcPr>
                <w:p w14:paraId="533CA6E3">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通风橱</w:t>
                  </w:r>
                  <w:r>
                    <w:rPr>
                      <w:rFonts w:hint="eastAsia" w:ascii="Times New Roman" w:hAnsi="Times New Roman" w:eastAsia="宋体" w:cs="Times New Roman"/>
                      <w:color w:val="auto"/>
                      <w:sz w:val="18"/>
                      <w:szCs w:val="18"/>
                      <w:lang w:eastAsia="zh-CN"/>
                    </w:rPr>
                    <w:t>、</w:t>
                  </w:r>
                  <w:r>
                    <w:rPr>
                      <w:rFonts w:hint="eastAsia" w:ascii="Times New Roman" w:hAnsi="Times New Roman" w:eastAsia="宋体" w:cs="Times New Roman"/>
                      <w:color w:val="auto"/>
                      <w:sz w:val="18"/>
                      <w:szCs w:val="18"/>
                      <w:lang w:val="en-US" w:eastAsia="zh-CN"/>
                    </w:rPr>
                    <w:t>集气罩</w:t>
                  </w:r>
                  <w:r>
                    <w:rPr>
                      <w:rFonts w:hint="default" w:ascii="Times New Roman" w:hAnsi="Times New Roman" w:eastAsia="宋体" w:cs="Times New Roman"/>
                      <w:color w:val="auto"/>
                      <w:sz w:val="18"/>
                      <w:szCs w:val="18"/>
                    </w:rPr>
                    <w:t>（收集率</w:t>
                  </w:r>
                  <w:r>
                    <w:rPr>
                      <w:rFonts w:hint="eastAsia" w:cs="Times New Roman"/>
                      <w:color w:val="auto"/>
                      <w:sz w:val="18"/>
                      <w:szCs w:val="18"/>
                      <w:lang w:val="en-US" w:eastAsia="zh-CN"/>
                    </w:rPr>
                    <w:t>65</w:t>
                  </w:r>
                  <w:r>
                    <w:rPr>
                      <w:rFonts w:hint="default" w:ascii="Times New Roman" w:hAnsi="Times New Roman" w:eastAsia="宋体" w:cs="Times New Roman"/>
                      <w:color w:val="auto"/>
                      <w:sz w:val="18"/>
                      <w:szCs w:val="18"/>
                    </w:rPr>
                    <w:t>%）、管道收集后</w:t>
                  </w:r>
                  <w:r>
                    <w:rPr>
                      <w:rFonts w:hint="eastAsia" w:ascii="Times New Roman" w:hAnsi="Times New Roman" w:eastAsia="宋体" w:cs="Times New Roman"/>
                      <w:color w:val="auto"/>
                      <w:sz w:val="18"/>
                      <w:szCs w:val="18"/>
                      <w:lang w:val="en-US" w:eastAsia="zh-CN"/>
                    </w:rPr>
                    <w:t>+</w:t>
                  </w:r>
                  <w:r>
                    <w:rPr>
                      <w:rFonts w:hint="eastAsia" w:cs="Times New Roman"/>
                      <w:color w:val="auto"/>
                      <w:sz w:val="18"/>
                      <w:szCs w:val="18"/>
                      <w:lang w:val="en-US" w:eastAsia="zh-CN"/>
                    </w:rPr>
                    <w:t>碱液喷淋装置</w:t>
                  </w:r>
                  <w:r>
                    <w:rPr>
                      <w:rFonts w:hint="default" w:ascii="Times New Roman" w:hAnsi="Times New Roman" w:eastAsia="宋体" w:cs="Times New Roman"/>
                      <w:color w:val="auto"/>
                      <w:sz w:val="18"/>
                      <w:szCs w:val="18"/>
                    </w:rPr>
                    <w:t>（硫酸雾、盐酸雾处理效率为75%，对NOx</w:t>
                  </w:r>
                  <w:r>
                    <w:rPr>
                      <w:rFonts w:hint="eastAsia" w:cs="Times New Roman"/>
                      <w:color w:val="auto"/>
                      <w:sz w:val="18"/>
                      <w:szCs w:val="18"/>
                      <w:lang w:eastAsia="zh-CN"/>
                    </w:rPr>
                    <w:t>、</w:t>
                  </w:r>
                  <w:r>
                    <w:rPr>
                      <w:rFonts w:hint="eastAsia" w:cs="Times New Roman"/>
                      <w:color w:val="auto"/>
                      <w:sz w:val="18"/>
                      <w:szCs w:val="18"/>
                      <w:lang w:val="en-US" w:eastAsia="zh-CN"/>
                    </w:rPr>
                    <w:t>氨</w:t>
                  </w:r>
                  <w:r>
                    <w:rPr>
                      <w:rFonts w:hint="default" w:ascii="Times New Roman" w:hAnsi="Times New Roman" w:eastAsia="宋体" w:cs="Times New Roman"/>
                      <w:color w:val="auto"/>
                      <w:sz w:val="18"/>
                      <w:szCs w:val="18"/>
                    </w:rPr>
                    <w:t>无处理效率）处理后经</w:t>
                  </w:r>
                  <w:r>
                    <w:rPr>
                      <w:rFonts w:hint="eastAsia" w:ascii="Times New Roman" w:hAnsi="Times New Roman" w:eastAsia="宋体" w:cs="Times New Roman"/>
                      <w:color w:val="auto"/>
                      <w:sz w:val="18"/>
                      <w:szCs w:val="18"/>
                      <w:lang w:val="en-US" w:eastAsia="zh-CN"/>
                    </w:rPr>
                    <w:t>15m</w:t>
                  </w:r>
                  <w:r>
                    <w:rPr>
                      <w:rFonts w:hint="default" w:ascii="Times New Roman" w:hAnsi="Times New Roman" w:eastAsia="宋体" w:cs="Times New Roman"/>
                      <w:color w:val="auto"/>
                      <w:sz w:val="18"/>
                      <w:szCs w:val="18"/>
                    </w:rPr>
                    <w:t>排气筒（DA001）排放</w:t>
                  </w:r>
                </w:p>
              </w:tc>
              <w:tc>
                <w:tcPr>
                  <w:tcW w:w="771" w:type="dxa"/>
                  <w:noWrap w:val="0"/>
                  <w:vAlign w:val="center"/>
                </w:tcPr>
                <w:p w14:paraId="0ED815E3">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0.06 </w:t>
                  </w:r>
                </w:p>
              </w:tc>
              <w:tc>
                <w:tcPr>
                  <w:tcW w:w="943" w:type="dxa"/>
                  <w:noWrap w:val="0"/>
                  <w:vAlign w:val="center"/>
                </w:tcPr>
                <w:p w14:paraId="4627DA40">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0.0012 </w:t>
                  </w:r>
                </w:p>
              </w:tc>
              <w:tc>
                <w:tcPr>
                  <w:tcW w:w="857" w:type="dxa"/>
                  <w:noWrap w:val="0"/>
                  <w:vAlign w:val="center"/>
                </w:tcPr>
                <w:p w14:paraId="1C4C05B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1.2054 </w:t>
                  </w:r>
                </w:p>
              </w:tc>
            </w:tr>
            <w:tr w14:paraId="2FA29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477" w:type="pct"/>
                  <w:noWrap w:val="0"/>
                  <w:vAlign w:val="center"/>
                </w:tcPr>
                <w:p w14:paraId="4E3B9E9B">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硫酸雾</w:t>
                  </w:r>
                </w:p>
              </w:tc>
              <w:tc>
                <w:tcPr>
                  <w:tcW w:w="391" w:type="pct"/>
                  <w:vMerge w:val="continue"/>
                  <w:noWrap w:val="0"/>
                  <w:vAlign w:val="center"/>
                </w:tcPr>
                <w:p w14:paraId="6E1C2D4C">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473" w:type="pct"/>
                  <w:noWrap w:val="0"/>
                  <w:vAlign w:val="center"/>
                </w:tcPr>
                <w:p w14:paraId="191FB05D">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r>
                    <w:rPr>
                      <w:rFonts w:hint="eastAsia" w:cs="Times New Roman"/>
                      <w:color w:val="auto"/>
                      <w:sz w:val="18"/>
                      <w:szCs w:val="18"/>
                      <w:lang w:val="en-US" w:eastAsia="zh-CN"/>
                    </w:rPr>
                    <w:t>398</w:t>
                  </w:r>
                </w:p>
              </w:tc>
              <w:tc>
                <w:tcPr>
                  <w:tcW w:w="587" w:type="pct"/>
                  <w:noWrap w:val="0"/>
                  <w:vAlign w:val="center"/>
                </w:tcPr>
                <w:p w14:paraId="1939A455">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0.028</w:t>
                  </w:r>
                </w:p>
              </w:tc>
              <w:tc>
                <w:tcPr>
                  <w:tcW w:w="534" w:type="pct"/>
                  <w:noWrap w:val="0"/>
                  <w:vAlign w:val="center"/>
                </w:tcPr>
                <w:p w14:paraId="0A03C92D">
                  <w:pPr>
                    <w:keepNext w:val="0"/>
                    <w:keepLines w:val="0"/>
                    <w:pageBreakBefore w:val="0"/>
                    <w:widowControl w:val="0"/>
                    <w:kinsoku/>
                    <w:wordWrap/>
                    <w:overflowPunct/>
                    <w:topLinePunct w:val="0"/>
                    <w:autoSpaceDE/>
                    <w:autoSpaceDN/>
                    <w:bidi w:val="0"/>
                    <w:adjustRightInd/>
                    <w:snapToGrid/>
                    <w:spacing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27.968</w:t>
                  </w:r>
                </w:p>
              </w:tc>
              <w:tc>
                <w:tcPr>
                  <w:tcW w:w="931" w:type="pct"/>
                  <w:vMerge w:val="continue"/>
                  <w:noWrap w:val="0"/>
                  <w:vAlign w:val="center"/>
                </w:tcPr>
                <w:p w14:paraId="705C2581">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771" w:type="dxa"/>
                  <w:noWrap w:val="0"/>
                  <w:vAlign w:val="center"/>
                </w:tcPr>
                <w:p w14:paraId="0562BC72">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0.225 </w:t>
                  </w:r>
                </w:p>
              </w:tc>
              <w:tc>
                <w:tcPr>
                  <w:tcW w:w="943" w:type="dxa"/>
                  <w:noWrap w:val="0"/>
                  <w:vAlign w:val="center"/>
                </w:tcPr>
                <w:p w14:paraId="35E3619D">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0.0045 </w:t>
                  </w:r>
                </w:p>
              </w:tc>
              <w:tc>
                <w:tcPr>
                  <w:tcW w:w="857" w:type="dxa"/>
                  <w:noWrap w:val="0"/>
                  <w:vAlign w:val="center"/>
                </w:tcPr>
                <w:p w14:paraId="1D752343">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4.5448 </w:t>
                  </w:r>
                </w:p>
              </w:tc>
            </w:tr>
            <w:tr w14:paraId="67CC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7" w:type="pct"/>
                  <w:noWrap w:val="0"/>
                  <w:vAlign w:val="center"/>
                </w:tcPr>
                <w:p w14:paraId="31954818">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NOx</w:t>
                  </w:r>
                </w:p>
              </w:tc>
              <w:tc>
                <w:tcPr>
                  <w:tcW w:w="391" w:type="pct"/>
                  <w:vMerge w:val="continue"/>
                  <w:noWrap w:val="0"/>
                  <w:vAlign w:val="center"/>
                </w:tcPr>
                <w:p w14:paraId="3E15FB49">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473" w:type="pct"/>
                  <w:noWrap w:val="0"/>
                  <w:vAlign w:val="center"/>
                </w:tcPr>
                <w:p w14:paraId="0234D842">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0.3</w:t>
                  </w:r>
                </w:p>
              </w:tc>
              <w:tc>
                <w:tcPr>
                  <w:tcW w:w="587" w:type="pct"/>
                  <w:noWrap w:val="0"/>
                  <w:vAlign w:val="center"/>
                </w:tcPr>
                <w:p w14:paraId="36E3FFA7">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0.006</w:t>
                  </w:r>
                </w:p>
              </w:tc>
              <w:tc>
                <w:tcPr>
                  <w:tcW w:w="534" w:type="pct"/>
                  <w:noWrap w:val="0"/>
                  <w:vAlign w:val="center"/>
                </w:tcPr>
                <w:p w14:paraId="77CDAA5F">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w:t>
                  </w:r>
                </w:p>
              </w:tc>
              <w:tc>
                <w:tcPr>
                  <w:tcW w:w="931" w:type="pct"/>
                  <w:vMerge w:val="continue"/>
                  <w:noWrap w:val="0"/>
                  <w:vAlign w:val="center"/>
                </w:tcPr>
                <w:p w14:paraId="07A84FA1">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771" w:type="dxa"/>
                  <w:noWrap w:val="0"/>
                  <w:vAlign w:val="center"/>
                </w:tcPr>
                <w:p w14:paraId="5F261DDC">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0.195</w:t>
                  </w:r>
                </w:p>
              </w:tc>
              <w:tc>
                <w:tcPr>
                  <w:tcW w:w="943" w:type="dxa"/>
                  <w:noWrap w:val="0"/>
                  <w:vAlign w:val="center"/>
                </w:tcPr>
                <w:p w14:paraId="5CA3E84E">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0.0039 </w:t>
                  </w:r>
                </w:p>
              </w:tc>
              <w:tc>
                <w:tcPr>
                  <w:tcW w:w="857" w:type="dxa"/>
                  <w:noWrap w:val="0"/>
                  <w:vAlign w:val="center"/>
                </w:tcPr>
                <w:p w14:paraId="7F9C5A5A">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3.9</w:t>
                  </w:r>
                </w:p>
              </w:tc>
            </w:tr>
            <w:tr w14:paraId="5DE2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7" w:type="pct"/>
                  <w:noWrap w:val="0"/>
                  <w:vAlign w:val="center"/>
                </w:tcPr>
                <w:p w14:paraId="27C6F6ED">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氨</w:t>
                  </w:r>
                </w:p>
              </w:tc>
              <w:tc>
                <w:tcPr>
                  <w:tcW w:w="391" w:type="pct"/>
                  <w:vMerge w:val="continue"/>
                  <w:noWrap w:val="0"/>
                  <w:vAlign w:val="center"/>
                </w:tcPr>
                <w:p w14:paraId="1905B5B8">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473" w:type="pct"/>
                  <w:noWrap w:val="0"/>
                  <w:vAlign w:val="center"/>
                </w:tcPr>
                <w:p w14:paraId="1B7A4E03">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0.291</w:t>
                  </w:r>
                </w:p>
              </w:tc>
              <w:tc>
                <w:tcPr>
                  <w:tcW w:w="587" w:type="pct"/>
                  <w:noWrap w:val="0"/>
                  <w:vAlign w:val="center"/>
                </w:tcPr>
                <w:p w14:paraId="2854CAC7">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0.0058</w:t>
                  </w:r>
                </w:p>
              </w:tc>
              <w:tc>
                <w:tcPr>
                  <w:tcW w:w="534" w:type="pct"/>
                  <w:noWrap w:val="0"/>
                  <w:vAlign w:val="center"/>
                </w:tcPr>
                <w:p w14:paraId="6E455C26">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outlineLvl w:val="9"/>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5.824</w:t>
                  </w:r>
                </w:p>
              </w:tc>
              <w:tc>
                <w:tcPr>
                  <w:tcW w:w="931" w:type="pct"/>
                  <w:vMerge w:val="continue"/>
                  <w:noWrap w:val="0"/>
                  <w:vAlign w:val="center"/>
                </w:tcPr>
                <w:p w14:paraId="6407796C">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771" w:type="dxa"/>
                  <w:noWrap w:val="0"/>
                  <w:vAlign w:val="center"/>
                </w:tcPr>
                <w:p w14:paraId="0175D6F9">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0.19</w:t>
                  </w:r>
                </w:p>
              </w:tc>
              <w:tc>
                <w:tcPr>
                  <w:tcW w:w="943" w:type="dxa"/>
                  <w:noWrap w:val="0"/>
                  <w:vAlign w:val="center"/>
                </w:tcPr>
                <w:p w14:paraId="29364962">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0.0038 </w:t>
                  </w:r>
                </w:p>
              </w:tc>
              <w:tc>
                <w:tcPr>
                  <w:tcW w:w="857" w:type="dxa"/>
                  <w:noWrap w:val="0"/>
                  <w:vAlign w:val="center"/>
                </w:tcPr>
                <w:p w14:paraId="49767152">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3.7856</w:t>
                  </w:r>
                </w:p>
              </w:tc>
            </w:tr>
            <w:tr w14:paraId="10155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7" w:type="pct"/>
                  <w:noWrap w:val="0"/>
                  <w:vAlign w:val="center"/>
                </w:tcPr>
                <w:p w14:paraId="5EC295FB">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HCL</w:t>
                  </w:r>
                </w:p>
              </w:tc>
              <w:tc>
                <w:tcPr>
                  <w:tcW w:w="391" w:type="pct"/>
                  <w:vMerge w:val="restart"/>
                  <w:noWrap w:val="0"/>
                  <w:vAlign w:val="center"/>
                </w:tcPr>
                <w:p w14:paraId="2ED8AAA1">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无组织排放</w:t>
                  </w:r>
                </w:p>
              </w:tc>
              <w:tc>
                <w:tcPr>
                  <w:tcW w:w="473" w:type="pct"/>
                  <w:noWrap w:val="0"/>
                  <w:vAlign w:val="center"/>
                </w:tcPr>
                <w:p w14:paraId="1B84D6BD">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941" w:type="dxa"/>
                  <w:noWrap w:val="0"/>
                  <w:vAlign w:val="center"/>
                </w:tcPr>
                <w:p w14:paraId="446ECF07">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0.0026 </w:t>
                  </w:r>
                </w:p>
              </w:tc>
              <w:tc>
                <w:tcPr>
                  <w:tcW w:w="856" w:type="dxa"/>
                  <w:noWrap w:val="0"/>
                  <w:vAlign w:val="center"/>
                </w:tcPr>
                <w:p w14:paraId="6D3E430D">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2.596</w:t>
                  </w:r>
                  <w:r>
                    <w:rPr>
                      <w:rFonts w:hint="eastAsia" w:cs="Times New Roman"/>
                      <w:i w:val="0"/>
                      <w:iCs w:val="0"/>
                      <w:color w:val="auto"/>
                      <w:kern w:val="0"/>
                      <w:sz w:val="18"/>
                      <w:szCs w:val="18"/>
                      <w:u w:val="none"/>
                      <w:lang w:val="en-US" w:eastAsia="zh-CN" w:bidi="ar"/>
                    </w:rPr>
                    <w:t>2</w:t>
                  </w:r>
                </w:p>
              </w:tc>
              <w:tc>
                <w:tcPr>
                  <w:tcW w:w="931" w:type="pct"/>
                  <w:vMerge w:val="restart"/>
                  <w:noWrap w:val="0"/>
                  <w:vAlign w:val="center"/>
                </w:tcPr>
                <w:p w14:paraId="1683E736">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经门窗自然通风外排、</w:t>
                  </w:r>
                  <w:r>
                    <w:rPr>
                      <w:rFonts w:hint="default" w:ascii="Times New Roman" w:hAnsi="Times New Roman" w:eastAsia="宋体" w:cs="Times New Roman"/>
                      <w:color w:val="auto"/>
                      <w:sz w:val="18"/>
                      <w:szCs w:val="18"/>
                      <w:lang w:val="en-US" w:eastAsia="zh-CN"/>
                    </w:rPr>
                    <w:t>绿化植物吸附、</w:t>
                  </w:r>
                  <w:r>
                    <w:rPr>
                      <w:rFonts w:hint="default" w:ascii="Times New Roman" w:hAnsi="Times New Roman" w:eastAsia="宋体" w:cs="Times New Roman"/>
                      <w:color w:val="auto"/>
                      <w:sz w:val="18"/>
                      <w:szCs w:val="18"/>
                    </w:rPr>
                    <w:t>大气扩散</w:t>
                  </w:r>
                </w:p>
              </w:tc>
              <w:tc>
                <w:tcPr>
                  <w:tcW w:w="481" w:type="pct"/>
                  <w:noWrap w:val="0"/>
                  <w:vAlign w:val="center"/>
                </w:tcPr>
                <w:p w14:paraId="73076379">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943" w:type="dxa"/>
                  <w:noWrap w:val="0"/>
                  <w:vAlign w:val="center"/>
                </w:tcPr>
                <w:p w14:paraId="55FFF66E">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0.0026 </w:t>
                  </w:r>
                </w:p>
              </w:tc>
              <w:tc>
                <w:tcPr>
                  <w:tcW w:w="857" w:type="dxa"/>
                  <w:noWrap w:val="0"/>
                  <w:vAlign w:val="center"/>
                </w:tcPr>
                <w:p w14:paraId="107D1222">
                  <w:pPr>
                    <w:keepNext w:val="0"/>
                    <w:keepLines w:val="0"/>
                    <w:widowControl/>
                    <w:suppressLineNumbers w:val="0"/>
                    <w:jc w:val="center"/>
                    <w:textAlignment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2.596</w:t>
                  </w:r>
                  <w:r>
                    <w:rPr>
                      <w:rFonts w:hint="eastAsia" w:cs="Times New Roman"/>
                      <w:i w:val="0"/>
                      <w:iCs w:val="0"/>
                      <w:color w:val="auto"/>
                      <w:kern w:val="0"/>
                      <w:sz w:val="18"/>
                      <w:szCs w:val="18"/>
                      <w:u w:val="none"/>
                      <w:lang w:val="en-US" w:eastAsia="zh-CN" w:bidi="ar"/>
                    </w:rPr>
                    <w:t>2</w:t>
                  </w:r>
                </w:p>
              </w:tc>
            </w:tr>
            <w:tr w14:paraId="6C29A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7" w:type="pct"/>
                  <w:noWrap w:val="0"/>
                  <w:vAlign w:val="center"/>
                </w:tcPr>
                <w:p w14:paraId="3F4C90E6">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硫酸雾</w:t>
                  </w:r>
                </w:p>
              </w:tc>
              <w:tc>
                <w:tcPr>
                  <w:tcW w:w="391" w:type="pct"/>
                  <w:vMerge w:val="continue"/>
                  <w:noWrap w:val="0"/>
                  <w:vAlign w:val="center"/>
                </w:tcPr>
                <w:p w14:paraId="54394B76">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473" w:type="pct"/>
                  <w:noWrap w:val="0"/>
                  <w:vAlign w:val="center"/>
                </w:tcPr>
                <w:p w14:paraId="7F501085">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941" w:type="dxa"/>
                  <w:noWrap w:val="0"/>
                  <w:vAlign w:val="center"/>
                </w:tcPr>
                <w:p w14:paraId="533167C5">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0.0098 </w:t>
                  </w:r>
                </w:p>
              </w:tc>
              <w:tc>
                <w:tcPr>
                  <w:tcW w:w="856" w:type="dxa"/>
                  <w:noWrap w:val="0"/>
                  <w:vAlign w:val="center"/>
                </w:tcPr>
                <w:p w14:paraId="2243BAC2">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9.7888</w:t>
                  </w:r>
                </w:p>
              </w:tc>
              <w:tc>
                <w:tcPr>
                  <w:tcW w:w="931" w:type="pct"/>
                  <w:vMerge w:val="continue"/>
                  <w:noWrap w:val="0"/>
                  <w:vAlign w:val="center"/>
                </w:tcPr>
                <w:p w14:paraId="6914F1AD">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481" w:type="pct"/>
                  <w:noWrap w:val="0"/>
                  <w:vAlign w:val="center"/>
                </w:tcPr>
                <w:p w14:paraId="724CEE30">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943" w:type="dxa"/>
                  <w:noWrap w:val="0"/>
                  <w:vAlign w:val="center"/>
                </w:tcPr>
                <w:p w14:paraId="79C6B4D4">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0.0098 </w:t>
                  </w:r>
                </w:p>
              </w:tc>
              <w:tc>
                <w:tcPr>
                  <w:tcW w:w="857" w:type="dxa"/>
                  <w:noWrap w:val="0"/>
                  <w:vAlign w:val="center"/>
                </w:tcPr>
                <w:p w14:paraId="7AE46EDE">
                  <w:pPr>
                    <w:keepNext w:val="0"/>
                    <w:keepLines w:val="0"/>
                    <w:widowControl/>
                    <w:suppressLineNumbers w:val="0"/>
                    <w:jc w:val="center"/>
                    <w:textAlignment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9.7888</w:t>
                  </w:r>
                </w:p>
              </w:tc>
            </w:tr>
            <w:tr w14:paraId="44A68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7" w:type="pct"/>
                  <w:noWrap w:val="0"/>
                  <w:vAlign w:val="center"/>
                </w:tcPr>
                <w:p w14:paraId="78F58A6F">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NOx</w:t>
                  </w:r>
                </w:p>
              </w:tc>
              <w:tc>
                <w:tcPr>
                  <w:tcW w:w="391" w:type="pct"/>
                  <w:vMerge w:val="continue"/>
                  <w:noWrap w:val="0"/>
                  <w:vAlign w:val="center"/>
                </w:tcPr>
                <w:p w14:paraId="0025DCE5">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473" w:type="pct"/>
                  <w:noWrap w:val="0"/>
                  <w:vAlign w:val="center"/>
                </w:tcPr>
                <w:p w14:paraId="46F29D1F">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941" w:type="dxa"/>
                  <w:noWrap w:val="0"/>
                  <w:vAlign w:val="center"/>
                </w:tcPr>
                <w:p w14:paraId="4F2A97CA">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0.0021 </w:t>
                  </w:r>
                </w:p>
              </w:tc>
              <w:tc>
                <w:tcPr>
                  <w:tcW w:w="856" w:type="dxa"/>
                  <w:noWrap w:val="0"/>
                  <w:vAlign w:val="center"/>
                </w:tcPr>
                <w:p w14:paraId="0D4B819F">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2.1</w:t>
                  </w:r>
                </w:p>
              </w:tc>
              <w:tc>
                <w:tcPr>
                  <w:tcW w:w="931" w:type="pct"/>
                  <w:vMerge w:val="continue"/>
                  <w:noWrap w:val="0"/>
                  <w:vAlign w:val="center"/>
                </w:tcPr>
                <w:p w14:paraId="30558833">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481" w:type="pct"/>
                  <w:noWrap w:val="0"/>
                  <w:vAlign w:val="center"/>
                </w:tcPr>
                <w:p w14:paraId="3211B6F0">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943" w:type="dxa"/>
                  <w:noWrap w:val="0"/>
                  <w:vAlign w:val="center"/>
                </w:tcPr>
                <w:p w14:paraId="6C6ACB3D">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0.0021 </w:t>
                  </w:r>
                </w:p>
              </w:tc>
              <w:tc>
                <w:tcPr>
                  <w:tcW w:w="857" w:type="dxa"/>
                  <w:noWrap w:val="0"/>
                  <w:vAlign w:val="center"/>
                </w:tcPr>
                <w:p w14:paraId="5BE2F191">
                  <w:pPr>
                    <w:keepNext w:val="0"/>
                    <w:keepLines w:val="0"/>
                    <w:widowControl/>
                    <w:suppressLineNumbers w:val="0"/>
                    <w:jc w:val="center"/>
                    <w:textAlignment w:val="center"/>
                    <w:outlineLvl w:val="9"/>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2.1</w:t>
                  </w:r>
                </w:p>
              </w:tc>
            </w:tr>
            <w:tr w14:paraId="3FFDB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7" w:type="pct"/>
                  <w:noWrap w:val="0"/>
                  <w:vAlign w:val="center"/>
                </w:tcPr>
                <w:p w14:paraId="2275C7B4">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氨</w:t>
                  </w:r>
                </w:p>
              </w:tc>
              <w:tc>
                <w:tcPr>
                  <w:tcW w:w="391" w:type="pct"/>
                  <w:vMerge w:val="continue"/>
                  <w:noWrap w:val="0"/>
                  <w:vAlign w:val="center"/>
                </w:tcPr>
                <w:p w14:paraId="1C56520E">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473" w:type="pct"/>
                  <w:noWrap w:val="0"/>
                  <w:vAlign w:val="center"/>
                </w:tcPr>
                <w:p w14:paraId="0CCEB2A1">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941" w:type="dxa"/>
                  <w:noWrap w:val="0"/>
                  <w:vAlign w:val="center"/>
                </w:tcPr>
                <w:p w14:paraId="1A72FE4E">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0.002 </w:t>
                  </w:r>
                </w:p>
              </w:tc>
              <w:tc>
                <w:tcPr>
                  <w:tcW w:w="856" w:type="dxa"/>
                  <w:noWrap w:val="0"/>
                  <w:vAlign w:val="center"/>
                </w:tcPr>
                <w:p w14:paraId="7A02BC7C">
                  <w:pPr>
                    <w:keepNext w:val="0"/>
                    <w:keepLines w:val="0"/>
                    <w:widowControl/>
                    <w:suppressLineNumbers w:val="0"/>
                    <w:jc w:val="center"/>
                    <w:textAlignment w:val="center"/>
                    <w:outlineLvl w:val="9"/>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2.0384</w:t>
                  </w:r>
                </w:p>
              </w:tc>
              <w:tc>
                <w:tcPr>
                  <w:tcW w:w="931" w:type="pct"/>
                  <w:vMerge w:val="continue"/>
                  <w:noWrap w:val="0"/>
                  <w:vAlign w:val="center"/>
                </w:tcPr>
                <w:p w14:paraId="7A12088A">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default" w:ascii="Times New Roman" w:hAnsi="Times New Roman" w:eastAsia="宋体" w:cs="Times New Roman"/>
                      <w:color w:val="auto"/>
                      <w:sz w:val="18"/>
                      <w:szCs w:val="18"/>
                    </w:rPr>
                  </w:pPr>
                </w:p>
              </w:tc>
              <w:tc>
                <w:tcPr>
                  <w:tcW w:w="481" w:type="pct"/>
                  <w:noWrap w:val="0"/>
                  <w:vAlign w:val="center"/>
                </w:tcPr>
                <w:p w14:paraId="2D4D264E">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outlineLvl w:val="9"/>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943" w:type="dxa"/>
                  <w:noWrap w:val="0"/>
                  <w:vAlign w:val="center"/>
                </w:tcPr>
                <w:p w14:paraId="7FD7E539">
                  <w:pPr>
                    <w:keepNext w:val="0"/>
                    <w:keepLines w:val="0"/>
                    <w:widowControl/>
                    <w:suppressLineNumbers w:val="0"/>
                    <w:jc w:val="center"/>
                    <w:textAlignment w:val="center"/>
                    <w:outlineLvl w:val="9"/>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0.002 </w:t>
                  </w:r>
                </w:p>
              </w:tc>
              <w:tc>
                <w:tcPr>
                  <w:tcW w:w="857" w:type="dxa"/>
                  <w:noWrap w:val="0"/>
                  <w:vAlign w:val="center"/>
                </w:tcPr>
                <w:p w14:paraId="744742D7">
                  <w:pPr>
                    <w:keepNext w:val="0"/>
                    <w:keepLines w:val="0"/>
                    <w:widowControl/>
                    <w:suppressLineNumbers w:val="0"/>
                    <w:jc w:val="center"/>
                    <w:textAlignment w:val="center"/>
                    <w:outlineLvl w:val="9"/>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2.0384</w:t>
                  </w:r>
                </w:p>
              </w:tc>
            </w:tr>
          </w:tbl>
          <w:p w14:paraId="5A92EFD2">
            <w:pPr>
              <w:bidi w:val="0"/>
              <w:outlineLvl w:val="9"/>
              <w:rPr>
                <w:rFonts w:hint="eastAsia" w:ascii="Times New Roman" w:hAnsi="Times New Roman" w:eastAsia="宋体" w:cs="Times New Roman"/>
                <w:b/>
                <w:bCs/>
                <w:color w:val="auto"/>
                <w:lang w:val="en-US" w:eastAsia="zh-CN"/>
              </w:rPr>
            </w:pPr>
            <w:r>
              <w:rPr>
                <w:rFonts w:hint="eastAsia"/>
                <w:color w:val="auto"/>
                <w:lang w:val="en-US" w:eastAsia="zh-CN"/>
              </w:rPr>
              <w:t xml:space="preserve"> </w:t>
            </w:r>
            <w:r>
              <w:rPr>
                <w:rFonts w:hint="eastAsia" w:ascii="Times New Roman" w:hAnsi="Times New Roman" w:eastAsia="宋体" w:cs="Times New Roman"/>
                <w:b/>
                <w:bCs/>
                <w:color w:val="auto"/>
                <w:lang w:val="en-US" w:eastAsia="zh-CN"/>
              </w:rPr>
              <w:t>（3）项目废气排放量核算汇总</w:t>
            </w:r>
          </w:p>
          <w:p w14:paraId="34B606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b w:val="0"/>
                <w:bCs w:val="0"/>
                <w:color w:val="auto"/>
                <w:lang w:val="en-US" w:eastAsia="zh-CN"/>
              </w:rPr>
            </w:pPr>
            <w:r>
              <w:rPr>
                <w:rFonts w:hint="eastAsia" w:cs="Times New Roman"/>
                <w:b w:val="0"/>
                <w:bCs w:val="0"/>
                <w:color w:val="auto"/>
                <w:lang w:val="en-US" w:eastAsia="zh-CN"/>
              </w:rPr>
              <w:t>本</w:t>
            </w:r>
            <w:r>
              <w:rPr>
                <w:rFonts w:hint="eastAsia" w:ascii="Times New Roman" w:hAnsi="Times New Roman" w:eastAsia="宋体" w:cs="Times New Roman"/>
                <w:b w:val="0"/>
                <w:bCs w:val="0"/>
                <w:color w:val="auto"/>
                <w:lang w:val="en-US" w:eastAsia="zh-CN"/>
              </w:rPr>
              <w:t>项目实验室废气产排情况见表4-</w:t>
            </w:r>
            <w:r>
              <w:rPr>
                <w:rFonts w:hint="eastAsia" w:cs="Times New Roman"/>
                <w:b w:val="0"/>
                <w:bCs w:val="0"/>
                <w:color w:val="auto"/>
                <w:lang w:val="en-US" w:eastAsia="zh-CN"/>
              </w:rPr>
              <w:t>5</w:t>
            </w:r>
            <w:r>
              <w:rPr>
                <w:rFonts w:hint="eastAsia" w:ascii="Times New Roman" w:hAnsi="Times New Roman" w:eastAsia="宋体" w:cs="Times New Roman"/>
                <w:b w:val="0"/>
                <w:bCs w:val="0"/>
                <w:color w:val="auto"/>
                <w:lang w:val="en-US" w:eastAsia="zh-CN"/>
              </w:rPr>
              <w:t>。</w:t>
            </w:r>
          </w:p>
          <w:p w14:paraId="5BDBC054">
            <w:pPr>
              <w:bidi w:val="0"/>
              <w:outlineLvl w:val="9"/>
              <w:rPr>
                <w:rFonts w:hint="default"/>
                <w:color w:val="auto"/>
                <w:lang w:val="en-US" w:eastAsia="zh-CN"/>
              </w:rPr>
            </w:pPr>
          </w:p>
          <w:p w14:paraId="4670CFCE">
            <w:pPr>
              <w:outlineLvl w:val="9"/>
              <w:rPr>
                <w:rFonts w:hint="default"/>
                <w:color w:val="auto"/>
                <w:lang w:val="en-US" w:eastAsia="zh-CN"/>
              </w:rPr>
            </w:pPr>
          </w:p>
        </w:tc>
      </w:tr>
    </w:tbl>
    <w:p w14:paraId="428CB062">
      <w:pPr>
        <w:bidi w:val="0"/>
        <w:rPr>
          <w:color w:val="auto"/>
        </w:rPr>
        <w:sectPr>
          <w:pgSz w:w="11906" w:h="16838"/>
          <w:pgMar w:top="1440" w:right="1800" w:bottom="1440" w:left="1800" w:header="851" w:footer="992" w:gutter="0"/>
          <w:pgNumType w:fmt="decimal"/>
          <w:cols w:space="425" w:num="1"/>
          <w:docGrid w:type="lines" w:linePitch="312" w:charSpace="0"/>
        </w:sectPr>
      </w:pPr>
    </w:p>
    <w:p w14:paraId="03009D3F">
      <w:pPr>
        <w:keepNext w:val="0"/>
        <w:keepLines w:val="0"/>
        <w:pageBreakBefore w:val="0"/>
        <w:numPr>
          <w:ilvl w:val="0"/>
          <w:numId w:val="0"/>
        </w:numPr>
        <w:kinsoku/>
        <w:wordWrap/>
        <w:overflowPunct/>
        <w:topLinePunct w:val="0"/>
        <w:autoSpaceDE/>
        <w:autoSpaceDN/>
        <w:bidi w:val="0"/>
        <w:spacing w:line="360" w:lineRule="exact"/>
        <w:ind w:leftChars="0"/>
        <w:jc w:val="center"/>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表4-</w:t>
      </w:r>
      <w:r>
        <w:rPr>
          <w:rFonts w:hint="eastAsia" w:ascii="Times New Roman" w:hAnsi="Times New Roman" w:eastAsia="宋体" w:cs="Times New Roman"/>
          <w:b/>
          <w:bCs/>
          <w:color w:val="auto"/>
          <w:sz w:val="18"/>
          <w:szCs w:val="18"/>
          <w:highlight w:val="none"/>
          <w:vertAlign w:val="baseline"/>
          <w:lang w:val="en-US" w:eastAsia="zh-CN"/>
        </w:rPr>
        <w:t xml:space="preserve">5  </w:t>
      </w:r>
      <w:r>
        <w:rPr>
          <w:rFonts w:hint="default" w:ascii="Times New Roman" w:hAnsi="Times New Roman" w:eastAsia="宋体" w:cs="Times New Roman"/>
          <w:b/>
          <w:bCs/>
          <w:color w:val="auto"/>
          <w:sz w:val="18"/>
          <w:szCs w:val="18"/>
          <w:highlight w:val="none"/>
          <w:vertAlign w:val="baseline"/>
          <w:lang w:val="en-US" w:eastAsia="zh-CN"/>
        </w:rPr>
        <w:t>废气污染源源强核算结果集相关参数一览表</w:t>
      </w:r>
    </w:p>
    <w:tbl>
      <w:tblPr>
        <w:tblStyle w:val="20"/>
        <w:tblpPr w:leftFromText="180" w:rightFromText="180" w:vertAnchor="page" w:horzAnchor="page" w:tblpXSpec="center" w:tblpY="2343"/>
        <w:tblOverlap w:val="never"/>
        <w:tblW w:w="49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65"/>
        <w:gridCol w:w="860"/>
        <w:gridCol w:w="394"/>
        <w:gridCol w:w="399"/>
        <w:gridCol w:w="764"/>
        <w:gridCol w:w="1171"/>
        <w:gridCol w:w="885"/>
        <w:gridCol w:w="750"/>
        <w:gridCol w:w="1398"/>
        <w:gridCol w:w="1336"/>
        <w:gridCol w:w="880"/>
        <w:gridCol w:w="972"/>
        <w:gridCol w:w="1181"/>
        <w:gridCol w:w="955"/>
        <w:gridCol w:w="682"/>
      </w:tblGrid>
      <w:tr w14:paraId="5839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blHeader/>
          <w:jc w:val="center"/>
        </w:trPr>
        <w:tc>
          <w:tcPr>
            <w:tcW w:w="265" w:type="pct"/>
            <w:vMerge w:val="restart"/>
            <w:shd w:val="clear" w:color="auto" w:fill="auto"/>
            <w:vAlign w:val="center"/>
          </w:tcPr>
          <w:p w14:paraId="21935847">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序号</w:t>
            </w:r>
          </w:p>
        </w:tc>
        <w:tc>
          <w:tcPr>
            <w:tcW w:w="270" w:type="pct"/>
            <w:vMerge w:val="restart"/>
            <w:shd w:val="clear" w:color="auto" w:fill="auto"/>
            <w:vAlign w:val="center"/>
          </w:tcPr>
          <w:p w14:paraId="696E1E5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产污环节</w:t>
            </w:r>
          </w:p>
        </w:tc>
        <w:tc>
          <w:tcPr>
            <w:tcW w:w="304" w:type="pct"/>
            <w:vMerge w:val="restart"/>
            <w:shd w:val="clear" w:color="auto" w:fill="auto"/>
            <w:vAlign w:val="center"/>
          </w:tcPr>
          <w:p w14:paraId="4274EFA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排放形式</w:t>
            </w:r>
          </w:p>
        </w:tc>
        <w:tc>
          <w:tcPr>
            <w:tcW w:w="280" w:type="pct"/>
            <w:gridSpan w:val="2"/>
            <w:vMerge w:val="restart"/>
            <w:shd w:val="clear" w:color="auto" w:fill="auto"/>
            <w:vAlign w:val="center"/>
          </w:tcPr>
          <w:p w14:paraId="2C5E239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w:t>
            </w:r>
          </w:p>
        </w:tc>
        <w:tc>
          <w:tcPr>
            <w:tcW w:w="996" w:type="pct"/>
            <w:gridSpan w:val="3"/>
            <w:shd w:val="clear" w:color="auto" w:fill="auto"/>
            <w:vAlign w:val="center"/>
          </w:tcPr>
          <w:p w14:paraId="430BDEEB">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污染物产生情况</w:t>
            </w:r>
          </w:p>
        </w:tc>
        <w:tc>
          <w:tcPr>
            <w:tcW w:w="265" w:type="pct"/>
            <w:vMerge w:val="restart"/>
            <w:shd w:val="clear" w:color="auto" w:fill="auto"/>
            <w:vAlign w:val="center"/>
          </w:tcPr>
          <w:p w14:paraId="6127D2F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排放口</w:t>
            </w:r>
          </w:p>
        </w:tc>
        <w:tc>
          <w:tcPr>
            <w:tcW w:w="1277" w:type="pct"/>
            <w:gridSpan w:val="3"/>
            <w:shd w:val="clear" w:color="auto" w:fill="auto"/>
            <w:vAlign w:val="center"/>
          </w:tcPr>
          <w:p w14:paraId="406B2694">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治理措施</w:t>
            </w:r>
          </w:p>
        </w:tc>
        <w:tc>
          <w:tcPr>
            <w:tcW w:w="1098" w:type="pct"/>
            <w:gridSpan w:val="3"/>
            <w:shd w:val="clear" w:color="auto" w:fill="auto"/>
            <w:vAlign w:val="center"/>
          </w:tcPr>
          <w:p w14:paraId="5B21ABE7">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污染物排放</w:t>
            </w:r>
          </w:p>
        </w:tc>
        <w:tc>
          <w:tcPr>
            <w:tcW w:w="241" w:type="pct"/>
            <w:vMerge w:val="restart"/>
            <w:shd w:val="clear" w:color="auto" w:fill="auto"/>
            <w:vAlign w:val="center"/>
          </w:tcPr>
          <w:p w14:paraId="20C15A1E">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w:t>
            </w:r>
          </w:p>
          <w:p w14:paraId="3259F2A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时间</w:t>
            </w:r>
          </w:p>
        </w:tc>
      </w:tr>
      <w:tr w14:paraId="4A9A9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265" w:type="pct"/>
            <w:vMerge w:val="continue"/>
            <w:shd w:val="clear" w:color="auto" w:fill="auto"/>
            <w:vAlign w:val="center"/>
          </w:tcPr>
          <w:p w14:paraId="7F8A7AC5">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270" w:type="pct"/>
            <w:vMerge w:val="continue"/>
            <w:shd w:val="clear" w:color="auto" w:fill="auto"/>
            <w:vAlign w:val="center"/>
          </w:tcPr>
          <w:p w14:paraId="2F06A6C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304" w:type="pct"/>
            <w:vMerge w:val="continue"/>
            <w:shd w:val="clear" w:color="auto" w:fill="auto"/>
            <w:vAlign w:val="center"/>
          </w:tcPr>
          <w:p w14:paraId="08FF556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280" w:type="pct"/>
            <w:gridSpan w:val="2"/>
            <w:vMerge w:val="continue"/>
            <w:shd w:val="clear" w:color="auto" w:fill="auto"/>
            <w:vAlign w:val="center"/>
          </w:tcPr>
          <w:p w14:paraId="25D89AE7">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270" w:type="pct"/>
            <w:shd w:val="clear" w:color="auto" w:fill="auto"/>
            <w:vAlign w:val="center"/>
          </w:tcPr>
          <w:p w14:paraId="065C67BF">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产生浓度</w:t>
            </w:r>
          </w:p>
        </w:tc>
        <w:tc>
          <w:tcPr>
            <w:tcW w:w="413" w:type="pct"/>
            <w:shd w:val="clear" w:color="auto" w:fill="auto"/>
            <w:vAlign w:val="center"/>
          </w:tcPr>
          <w:p w14:paraId="7B8F75F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产生速率</w:t>
            </w:r>
          </w:p>
        </w:tc>
        <w:tc>
          <w:tcPr>
            <w:tcW w:w="312" w:type="pct"/>
            <w:shd w:val="clear" w:color="auto" w:fill="auto"/>
            <w:vAlign w:val="center"/>
          </w:tcPr>
          <w:p w14:paraId="07217F9C">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产生量</w:t>
            </w:r>
          </w:p>
        </w:tc>
        <w:tc>
          <w:tcPr>
            <w:tcW w:w="265" w:type="pct"/>
            <w:vMerge w:val="continue"/>
            <w:shd w:val="clear" w:color="auto" w:fill="auto"/>
            <w:vAlign w:val="center"/>
          </w:tcPr>
          <w:p w14:paraId="1381D67A">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494" w:type="pct"/>
            <w:vMerge w:val="restart"/>
            <w:shd w:val="clear" w:color="auto" w:fill="auto"/>
            <w:vAlign w:val="center"/>
          </w:tcPr>
          <w:p w14:paraId="12E196F0">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工艺</w:t>
            </w:r>
          </w:p>
        </w:tc>
        <w:tc>
          <w:tcPr>
            <w:tcW w:w="472" w:type="pct"/>
            <w:shd w:val="clear" w:color="auto" w:fill="auto"/>
            <w:vAlign w:val="center"/>
          </w:tcPr>
          <w:p w14:paraId="458F57D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处理</w:t>
            </w:r>
            <w:r>
              <w:rPr>
                <w:rFonts w:hint="default" w:ascii="Times New Roman" w:hAnsi="Times New Roman" w:eastAsia="宋体" w:cs="Times New Roman"/>
                <w:b/>
                <w:bCs/>
                <w:color w:val="auto"/>
                <w:sz w:val="18"/>
                <w:szCs w:val="18"/>
              </w:rPr>
              <w:t>效率</w:t>
            </w:r>
          </w:p>
        </w:tc>
        <w:tc>
          <w:tcPr>
            <w:tcW w:w="311" w:type="pct"/>
            <w:shd w:val="clear" w:color="auto" w:fill="auto"/>
            <w:vAlign w:val="center"/>
          </w:tcPr>
          <w:p w14:paraId="41864C2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是否为可行技术</w:t>
            </w:r>
          </w:p>
        </w:tc>
        <w:tc>
          <w:tcPr>
            <w:tcW w:w="343" w:type="pct"/>
            <w:shd w:val="clear" w:color="auto" w:fill="auto"/>
            <w:vAlign w:val="center"/>
          </w:tcPr>
          <w:p w14:paraId="281195EB">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排放浓度</w:t>
            </w:r>
          </w:p>
        </w:tc>
        <w:tc>
          <w:tcPr>
            <w:tcW w:w="417" w:type="pct"/>
            <w:shd w:val="clear" w:color="auto" w:fill="auto"/>
            <w:vAlign w:val="center"/>
          </w:tcPr>
          <w:p w14:paraId="17A0A59C">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排放速率</w:t>
            </w:r>
          </w:p>
        </w:tc>
        <w:tc>
          <w:tcPr>
            <w:tcW w:w="337" w:type="pct"/>
            <w:shd w:val="clear" w:color="auto" w:fill="auto"/>
            <w:vAlign w:val="center"/>
          </w:tcPr>
          <w:p w14:paraId="7AEAA68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排放量</w:t>
            </w:r>
          </w:p>
        </w:tc>
        <w:tc>
          <w:tcPr>
            <w:tcW w:w="241" w:type="pct"/>
            <w:vMerge w:val="continue"/>
            <w:shd w:val="clear" w:color="auto" w:fill="auto"/>
            <w:vAlign w:val="center"/>
          </w:tcPr>
          <w:p w14:paraId="58CC34E5">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r>
      <w:tr w14:paraId="103E5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265" w:type="pct"/>
            <w:vMerge w:val="continue"/>
            <w:shd w:val="clear" w:color="auto" w:fill="auto"/>
            <w:vAlign w:val="center"/>
          </w:tcPr>
          <w:p w14:paraId="7F9B3C64">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270" w:type="pct"/>
            <w:vMerge w:val="continue"/>
            <w:shd w:val="clear" w:color="auto" w:fill="auto"/>
            <w:vAlign w:val="center"/>
          </w:tcPr>
          <w:p w14:paraId="22283CB0">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304" w:type="pct"/>
            <w:vMerge w:val="continue"/>
            <w:shd w:val="clear" w:color="auto" w:fill="auto"/>
            <w:vAlign w:val="center"/>
          </w:tcPr>
          <w:p w14:paraId="2145B17A">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280" w:type="pct"/>
            <w:gridSpan w:val="2"/>
            <w:vMerge w:val="continue"/>
            <w:shd w:val="clear" w:color="auto" w:fill="auto"/>
            <w:vAlign w:val="center"/>
          </w:tcPr>
          <w:p w14:paraId="2EA83FA6">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270" w:type="pct"/>
            <w:shd w:val="clear" w:color="auto" w:fill="auto"/>
            <w:vAlign w:val="center"/>
          </w:tcPr>
          <w:p w14:paraId="5C83E904">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mg/m³</w:t>
            </w:r>
          </w:p>
        </w:tc>
        <w:tc>
          <w:tcPr>
            <w:tcW w:w="413" w:type="pct"/>
            <w:shd w:val="clear" w:color="auto" w:fill="auto"/>
            <w:vAlign w:val="center"/>
          </w:tcPr>
          <w:p w14:paraId="6984C05C">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kg/h</w:t>
            </w:r>
          </w:p>
        </w:tc>
        <w:tc>
          <w:tcPr>
            <w:tcW w:w="312" w:type="pct"/>
            <w:shd w:val="clear" w:color="auto" w:fill="auto"/>
            <w:vAlign w:val="center"/>
          </w:tcPr>
          <w:p w14:paraId="429F750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kg</w:t>
            </w:r>
            <w:r>
              <w:rPr>
                <w:rFonts w:hint="default" w:ascii="Times New Roman" w:hAnsi="Times New Roman" w:eastAsia="宋体" w:cs="Times New Roman"/>
                <w:b/>
                <w:bCs/>
                <w:color w:val="auto"/>
                <w:sz w:val="18"/>
                <w:szCs w:val="18"/>
              </w:rPr>
              <w:t>/a</w:t>
            </w:r>
          </w:p>
        </w:tc>
        <w:tc>
          <w:tcPr>
            <w:tcW w:w="265" w:type="pct"/>
            <w:vMerge w:val="continue"/>
            <w:shd w:val="clear" w:color="auto" w:fill="auto"/>
            <w:vAlign w:val="center"/>
          </w:tcPr>
          <w:p w14:paraId="7225A04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494" w:type="pct"/>
            <w:vMerge w:val="continue"/>
            <w:shd w:val="clear" w:color="auto" w:fill="auto"/>
            <w:vAlign w:val="center"/>
          </w:tcPr>
          <w:p w14:paraId="717056EA">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472" w:type="pct"/>
            <w:shd w:val="clear" w:color="auto" w:fill="auto"/>
            <w:vAlign w:val="center"/>
          </w:tcPr>
          <w:p w14:paraId="7C2148F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w:t>
            </w:r>
          </w:p>
        </w:tc>
        <w:tc>
          <w:tcPr>
            <w:tcW w:w="311" w:type="pct"/>
            <w:shd w:val="clear" w:color="auto" w:fill="auto"/>
            <w:vAlign w:val="center"/>
          </w:tcPr>
          <w:p w14:paraId="4A11B23E">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p>
        </w:tc>
        <w:tc>
          <w:tcPr>
            <w:tcW w:w="343" w:type="pct"/>
            <w:shd w:val="clear" w:color="auto" w:fill="auto"/>
            <w:vAlign w:val="center"/>
          </w:tcPr>
          <w:p w14:paraId="3AF5E524">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mg/m³</w:t>
            </w:r>
          </w:p>
        </w:tc>
        <w:tc>
          <w:tcPr>
            <w:tcW w:w="417" w:type="pct"/>
            <w:shd w:val="clear" w:color="auto" w:fill="auto"/>
            <w:vAlign w:val="center"/>
          </w:tcPr>
          <w:p w14:paraId="69B7F85C">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kg/h</w:t>
            </w:r>
          </w:p>
        </w:tc>
        <w:tc>
          <w:tcPr>
            <w:tcW w:w="337" w:type="pct"/>
            <w:shd w:val="clear" w:color="auto" w:fill="auto"/>
            <w:vAlign w:val="center"/>
          </w:tcPr>
          <w:p w14:paraId="0577AB8B">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kg</w:t>
            </w:r>
            <w:r>
              <w:rPr>
                <w:rFonts w:hint="default" w:ascii="Times New Roman" w:hAnsi="Times New Roman" w:eastAsia="宋体" w:cs="Times New Roman"/>
                <w:b/>
                <w:bCs/>
                <w:color w:val="auto"/>
                <w:sz w:val="18"/>
                <w:szCs w:val="18"/>
              </w:rPr>
              <w:t>/a</w:t>
            </w:r>
          </w:p>
        </w:tc>
        <w:tc>
          <w:tcPr>
            <w:tcW w:w="241" w:type="pct"/>
            <w:shd w:val="clear" w:color="auto" w:fill="auto"/>
            <w:noWrap/>
            <w:vAlign w:val="center"/>
          </w:tcPr>
          <w:p w14:paraId="3E0E4C3A">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h</w:t>
            </w:r>
          </w:p>
        </w:tc>
      </w:tr>
      <w:tr w14:paraId="6798C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5" w:type="pct"/>
            <w:vMerge w:val="restart"/>
            <w:shd w:val="clear" w:color="auto" w:fill="auto"/>
            <w:vAlign w:val="center"/>
          </w:tcPr>
          <w:p w14:paraId="07F08878">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270" w:type="pct"/>
            <w:vMerge w:val="restart"/>
            <w:shd w:val="clear" w:color="auto" w:fill="auto"/>
            <w:vAlign w:val="center"/>
          </w:tcPr>
          <w:p w14:paraId="078EAD66">
            <w:pPr>
              <w:keepNext w:val="0"/>
              <w:keepLines w:val="0"/>
              <w:pageBreakBefore w:val="0"/>
              <w:kinsoku/>
              <w:wordWrap/>
              <w:overflowPunct/>
              <w:topLinePunct w:val="0"/>
              <w:autoSpaceDE/>
              <w:autoSpaceDN/>
              <w:bidi w:val="0"/>
              <w:spacing w:line="36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有机实</w:t>
            </w:r>
          </w:p>
          <w:p w14:paraId="69ACD6D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验</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样品浓缩萃取过程</w:t>
            </w:r>
          </w:p>
        </w:tc>
        <w:tc>
          <w:tcPr>
            <w:tcW w:w="304" w:type="pct"/>
            <w:vMerge w:val="restart"/>
            <w:shd w:val="clear" w:color="auto" w:fill="auto"/>
            <w:vAlign w:val="center"/>
          </w:tcPr>
          <w:p w14:paraId="07292C7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有组织</w:t>
            </w:r>
          </w:p>
        </w:tc>
        <w:tc>
          <w:tcPr>
            <w:tcW w:w="280" w:type="pct"/>
            <w:gridSpan w:val="2"/>
            <w:shd w:val="clear" w:color="auto" w:fill="auto"/>
            <w:vAlign w:val="center"/>
          </w:tcPr>
          <w:p w14:paraId="424B3405">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非甲烷总烃</w:t>
            </w:r>
          </w:p>
        </w:tc>
        <w:tc>
          <w:tcPr>
            <w:tcW w:w="764" w:type="dxa"/>
            <w:shd w:val="clear" w:color="auto" w:fill="auto"/>
            <w:vAlign w:val="center"/>
          </w:tcPr>
          <w:p w14:paraId="34B9388A">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w:t>
            </w:r>
          </w:p>
        </w:tc>
        <w:tc>
          <w:tcPr>
            <w:tcW w:w="1171" w:type="dxa"/>
            <w:shd w:val="clear" w:color="auto" w:fill="auto"/>
            <w:vAlign w:val="center"/>
          </w:tcPr>
          <w:p w14:paraId="14F9E5BB">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0.02 </w:t>
            </w:r>
          </w:p>
        </w:tc>
        <w:tc>
          <w:tcPr>
            <w:tcW w:w="885" w:type="dxa"/>
            <w:shd w:val="clear" w:color="auto" w:fill="auto"/>
            <w:vAlign w:val="center"/>
          </w:tcPr>
          <w:p w14:paraId="32B2814D">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19.9791</w:t>
            </w:r>
          </w:p>
        </w:tc>
        <w:tc>
          <w:tcPr>
            <w:tcW w:w="265" w:type="pct"/>
            <w:vMerge w:val="restart"/>
            <w:shd w:val="clear" w:color="auto" w:fill="auto"/>
            <w:vAlign w:val="center"/>
          </w:tcPr>
          <w:p w14:paraId="1DFFC137">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DA001</w:t>
            </w:r>
          </w:p>
        </w:tc>
        <w:tc>
          <w:tcPr>
            <w:tcW w:w="494" w:type="pct"/>
            <w:vMerge w:val="restart"/>
            <w:shd w:val="clear" w:color="auto" w:fill="auto"/>
            <w:vAlign w:val="center"/>
          </w:tcPr>
          <w:p w14:paraId="2E93A6E0">
            <w:pPr>
              <w:keepNext w:val="0"/>
              <w:keepLines w:val="0"/>
              <w:pageBreakBefore w:val="0"/>
              <w:kinsoku/>
              <w:wordWrap/>
              <w:overflowPunct/>
              <w:topLinePunct w:val="0"/>
              <w:autoSpaceDE/>
              <w:autoSpaceDN/>
              <w:bidi w:val="0"/>
              <w:spacing w:line="360" w:lineRule="exact"/>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通风橱、集气罩</w:t>
            </w:r>
            <w:r>
              <w:rPr>
                <w:rFonts w:hint="default" w:ascii="Times New Roman" w:hAnsi="Times New Roman" w:eastAsia="宋体" w:cs="Times New Roman"/>
                <w:color w:val="auto"/>
                <w:sz w:val="18"/>
                <w:szCs w:val="18"/>
                <w:lang w:val="en-US" w:eastAsia="zh-CN"/>
              </w:rPr>
              <w:t>（风机风量20000m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/h）+</w:t>
            </w:r>
            <w:r>
              <w:rPr>
                <w:rFonts w:hint="default" w:ascii="Times New Roman" w:hAnsi="Times New Roman" w:eastAsia="宋体" w:cs="Times New Roman"/>
                <w:color w:val="auto"/>
                <w:sz w:val="18"/>
                <w:szCs w:val="18"/>
              </w:rPr>
              <w:t>活性炭吸附装置处理</w:t>
            </w:r>
            <w:r>
              <w:rPr>
                <w:rFonts w:hint="default" w:ascii="Times New Roman" w:hAnsi="Times New Roman" w:eastAsia="宋体" w:cs="Times New Roman"/>
                <w:color w:val="auto"/>
                <w:sz w:val="18"/>
                <w:szCs w:val="18"/>
                <w:lang w:val="en-US" w:eastAsia="zh-CN"/>
              </w:rPr>
              <w:t>+15m高</w:t>
            </w:r>
            <w:r>
              <w:rPr>
                <w:rFonts w:hint="default" w:ascii="Times New Roman" w:hAnsi="Times New Roman" w:eastAsia="宋体" w:cs="Times New Roman"/>
                <w:color w:val="auto"/>
                <w:sz w:val="18"/>
                <w:szCs w:val="18"/>
              </w:rPr>
              <w:t>排气筒排放</w:t>
            </w:r>
          </w:p>
        </w:tc>
        <w:tc>
          <w:tcPr>
            <w:tcW w:w="472" w:type="pct"/>
            <w:vMerge w:val="restart"/>
            <w:shd w:val="clear" w:color="auto" w:fill="auto"/>
            <w:vAlign w:val="center"/>
          </w:tcPr>
          <w:p w14:paraId="0930BA86">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通风橱、集气罩收集效率</w:t>
            </w:r>
            <w:r>
              <w:rPr>
                <w:rFonts w:hint="default" w:ascii="Times New Roman" w:hAnsi="Times New Roman" w:eastAsia="宋体" w:cs="Times New Roman"/>
                <w:color w:val="auto"/>
                <w:sz w:val="18"/>
                <w:szCs w:val="18"/>
                <w:lang w:val="en-US" w:eastAsia="zh-CN"/>
              </w:rPr>
              <w:t>为</w:t>
            </w:r>
            <w:r>
              <w:rPr>
                <w:rFonts w:hint="eastAsia" w:cs="Times New Roman"/>
                <w:color w:val="auto"/>
                <w:sz w:val="18"/>
                <w:szCs w:val="18"/>
                <w:lang w:val="en-US" w:eastAsia="zh-CN"/>
              </w:rPr>
              <w:t>65</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活性炭吸附装置处理效率为</w:t>
            </w:r>
            <w:r>
              <w:rPr>
                <w:rFonts w:hint="eastAsia" w:cs="Times New Roman"/>
                <w:color w:val="auto"/>
                <w:sz w:val="18"/>
                <w:szCs w:val="18"/>
                <w:lang w:val="en-US" w:eastAsia="zh-CN"/>
              </w:rPr>
              <w:t>39</w:t>
            </w:r>
            <w:r>
              <w:rPr>
                <w:rFonts w:hint="default" w:ascii="Times New Roman" w:hAnsi="Times New Roman" w:eastAsia="宋体" w:cs="Times New Roman"/>
                <w:color w:val="auto"/>
                <w:sz w:val="18"/>
                <w:szCs w:val="18"/>
              </w:rPr>
              <w:t>%</w:t>
            </w:r>
          </w:p>
        </w:tc>
        <w:tc>
          <w:tcPr>
            <w:tcW w:w="311" w:type="pct"/>
            <w:vMerge w:val="restart"/>
            <w:shd w:val="clear" w:color="auto" w:fill="auto"/>
            <w:vAlign w:val="center"/>
          </w:tcPr>
          <w:p w14:paraId="173D3F4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是</w:t>
            </w:r>
          </w:p>
        </w:tc>
        <w:tc>
          <w:tcPr>
            <w:tcW w:w="972" w:type="dxa"/>
            <w:shd w:val="clear" w:color="auto" w:fill="auto"/>
            <w:vAlign w:val="center"/>
          </w:tcPr>
          <w:p w14:paraId="52F10C9B">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0.395</w:t>
            </w:r>
          </w:p>
        </w:tc>
        <w:tc>
          <w:tcPr>
            <w:tcW w:w="1181" w:type="dxa"/>
            <w:shd w:val="clear" w:color="auto" w:fill="auto"/>
            <w:vAlign w:val="center"/>
          </w:tcPr>
          <w:p w14:paraId="0A21B7E1">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0.0079 </w:t>
            </w:r>
          </w:p>
        </w:tc>
        <w:tc>
          <w:tcPr>
            <w:tcW w:w="955" w:type="dxa"/>
            <w:shd w:val="clear" w:color="auto" w:fill="auto"/>
            <w:vAlign w:val="center"/>
          </w:tcPr>
          <w:p w14:paraId="05E2DFF3">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7.9217</w:t>
            </w:r>
          </w:p>
        </w:tc>
        <w:tc>
          <w:tcPr>
            <w:tcW w:w="241" w:type="pct"/>
            <w:vMerge w:val="restart"/>
            <w:shd w:val="clear" w:color="auto" w:fill="auto"/>
            <w:vAlign w:val="center"/>
          </w:tcPr>
          <w:p w14:paraId="0E9DEF8C">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1000</w:t>
            </w:r>
          </w:p>
        </w:tc>
      </w:tr>
      <w:tr w14:paraId="3B54F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continue"/>
            <w:shd w:val="clear" w:color="auto" w:fill="auto"/>
            <w:vAlign w:val="center"/>
          </w:tcPr>
          <w:p w14:paraId="1276F8CF">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70" w:type="pct"/>
            <w:vMerge w:val="continue"/>
            <w:shd w:val="clear" w:color="auto" w:fill="auto"/>
            <w:vAlign w:val="center"/>
          </w:tcPr>
          <w:p w14:paraId="3F2D49C6">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04" w:type="pct"/>
            <w:vMerge w:val="continue"/>
            <w:shd w:val="clear" w:color="auto" w:fill="auto"/>
            <w:vAlign w:val="center"/>
          </w:tcPr>
          <w:p w14:paraId="3A730DDE">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139" w:type="pct"/>
            <w:vMerge w:val="restart"/>
            <w:shd w:val="clear" w:color="auto" w:fill="auto"/>
            <w:vAlign w:val="center"/>
          </w:tcPr>
          <w:p w14:paraId="65659A35">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其中</w:t>
            </w:r>
          </w:p>
        </w:tc>
        <w:tc>
          <w:tcPr>
            <w:tcW w:w="141" w:type="pct"/>
            <w:shd w:val="clear" w:color="auto" w:fill="auto"/>
            <w:vAlign w:val="center"/>
          </w:tcPr>
          <w:p w14:paraId="0B0D51B3">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甲醇</w:t>
            </w:r>
          </w:p>
        </w:tc>
        <w:tc>
          <w:tcPr>
            <w:tcW w:w="764" w:type="dxa"/>
            <w:shd w:val="clear" w:color="auto" w:fill="auto"/>
            <w:vAlign w:val="center"/>
          </w:tcPr>
          <w:p w14:paraId="0D294BC8">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0.105</w:t>
            </w:r>
          </w:p>
        </w:tc>
        <w:tc>
          <w:tcPr>
            <w:tcW w:w="1171" w:type="dxa"/>
            <w:shd w:val="clear" w:color="auto" w:fill="auto"/>
            <w:vAlign w:val="center"/>
          </w:tcPr>
          <w:p w14:paraId="75BE4351">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0.0021 </w:t>
            </w:r>
          </w:p>
        </w:tc>
        <w:tc>
          <w:tcPr>
            <w:tcW w:w="885" w:type="dxa"/>
            <w:shd w:val="clear" w:color="auto" w:fill="auto"/>
            <w:vAlign w:val="center"/>
          </w:tcPr>
          <w:p w14:paraId="3FCE3ADB">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2.0606</w:t>
            </w:r>
          </w:p>
        </w:tc>
        <w:tc>
          <w:tcPr>
            <w:tcW w:w="265" w:type="pct"/>
            <w:vMerge w:val="continue"/>
            <w:shd w:val="clear" w:color="auto" w:fill="auto"/>
            <w:vAlign w:val="center"/>
          </w:tcPr>
          <w:p w14:paraId="0F0D791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494" w:type="pct"/>
            <w:vMerge w:val="continue"/>
            <w:shd w:val="clear" w:color="auto" w:fill="auto"/>
            <w:vAlign w:val="center"/>
          </w:tcPr>
          <w:p w14:paraId="71E7095B">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472" w:type="pct"/>
            <w:vMerge w:val="continue"/>
            <w:shd w:val="clear" w:color="auto" w:fill="auto"/>
            <w:vAlign w:val="center"/>
          </w:tcPr>
          <w:p w14:paraId="1A9F22FE">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11" w:type="pct"/>
            <w:vMerge w:val="continue"/>
            <w:shd w:val="clear" w:color="auto" w:fill="auto"/>
            <w:vAlign w:val="center"/>
          </w:tcPr>
          <w:p w14:paraId="26A209BA">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972" w:type="dxa"/>
            <w:shd w:val="clear" w:color="auto" w:fill="auto"/>
            <w:vAlign w:val="center"/>
          </w:tcPr>
          <w:p w14:paraId="1B66986E">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0.04</w:t>
            </w:r>
          </w:p>
        </w:tc>
        <w:tc>
          <w:tcPr>
            <w:tcW w:w="1181" w:type="dxa"/>
            <w:shd w:val="clear" w:color="auto" w:fill="auto"/>
            <w:vAlign w:val="center"/>
          </w:tcPr>
          <w:p w14:paraId="4245E7ED">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0.0008 </w:t>
            </w:r>
          </w:p>
        </w:tc>
        <w:tc>
          <w:tcPr>
            <w:tcW w:w="955" w:type="dxa"/>
            <w:shd w:val="clear" w:color="auto" w:fill="auto"/>
            <w:vAlign w:val="center"/>
          </w:tcPr>
          <w:p w14:paraId="0E91C419">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0.817</w:t>
            </w:r>
          </w:p>
        </w:tc>
        <w:tc>
          <w:tcPr>
            <w:tcW w:w="241" w:type="pct"/>
            <w:vMerge w:val="continue"/>
            <w:shd w:val="clear" w:color="auto" w:fill="auto"/>
            <w:vAlign w:val="center"/>
          </w:tcPr>
          <w:p w14:paraId="08E826C1">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r>
      <w:tr w14:paraId="79F2A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continue"/>
            <w:shd w:val="clear" w:color="auto" w:fill="auto"/>
            <w:vAlign w:val="center"/>
          </w:tcPr>
          <w:p w14:paraId="4139BED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70" w:type="pct"/>
            <w:vMerge w:val="continue"/>
            <w:shd w:val="clear" w:color="auto" w:fill="auto"/>
            <w:vAlign w:val="center"/>
          </w:tcPr>
          <w:p w14:paraId="58A59A6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04" w:type="pct"/>
            <w:vMerge w:val="continue"/>
            <w:shd w:val="clear" w:color="auto" w:fill="auto"/>
            <w:vAlign w:val="center"/>
          </w:tcPr>
          <w:p w14:paraId="50403E6E">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139" w:type="pct"/>
            <w:vMerge w:val="continue"/>
            <w:shd w:val="clear" w:color="auto" w:fill="auto"/>
            <w:vAlign w:val="center"/>
          </w:tcPr>
          <w:p w14:paraId="16AF5F4B">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141" w:type="pct"/>
            <w:shd w:val="clear" w:color="auto" w:fill="auto"/>
            <w:vAlign w:val="center"/>
          </w:tcPr>
          <w:p w14:paraId="208FAC1A">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甲醛</w:t>
            </w:r>
          </w:p>
        </w:tc>
        <w:tc>
          <w:tcPr>
            <w:tcW w:w="764" w:type="dxa"/>
            <w:shd w:val="clear" w:color="auto" w:fill="auto"/>
            <w:vAlign w:val="center"/>
          </w:tcPr>
          <w:p w14:paraId="2B0903AC">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w:t>
            </w:r>
          </w:p>
        </w:tc>
        <w:tc>
          <w:tcPr>
            <w:tcW w:w="1171" w:type="dxa"/>
            <w:shd w:val="clear" w:color="auto" w:fill="auto"/>
            <w:vAlign w:val="center"/>
          </w:tcPr>
          <w:p w14:paraId="26027BF1">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0.0002 </w:t>
            </w:r>
          </w:p>
        </w:tc>
        <w:tc>
          <w:tcPr>
            <w:tcW w:w="885" w:type="dxa"/>
            <w:shd w:val="clear" w:color="auto" w:fill="auto"/>
            <w:vAlign w:val="center"/>
          </w:tcPr>
          <w:p w14:paraId="02E1DA67">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0.2339</w:t>
            </w:r>
          </w:p>
        </w:tc>
        <w:tc>
          <w:tcPr>
            <w:tcW w:w="265" w:type="pct"/>
            <w:vMerge w:val="continue"/>
            <w:shd w:val="clear" w:color="auto" w:fill="auto"/>
            <w:vAlign w:val="center"/>
          </w:tcPr>
          <w:p w14:paraId="37374BF1">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494" w:type="pct"/>
            <w:vMerge w:val="continue"/>
            <w:shd w:val="clear" w:color="auto" w:fill="auto"/>
            <w:vAlign w:val="center"/>
          </w:tcPr>
          <w:p w14:paraId="43F85A97">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472" w:type="pct"/>
            <w:vMerge w:val="continue"/>
            <w:shd w:val="clear" w:color="auto" w:fill="auto"/>
            <w:vAlign w:val="center"/>
          </w:tcPr>
          <w:p w14:paraId="0FE2046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11" w:type="pct"/>
            <w:vMerge w:val="continue"/>
            <w:shd w:val="clear" w:color="auto" w:fill="auto"/>
            <w:vAlign w:val="center"/>
          </w:tcPr>
          <w:p w14:paraId="38EF486A">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972" w:type="dxa"/>
            <w:shd w:val="clear" w:color="auto" w:fill="auto"/>
            <w:vAlign w:val="center"/>
          </w:tcPr>
          <w:p w14:paraId="6639D792">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0.005</w:t>
            </w:r>
          </w:p>
        </w:tc>
        <w:tc>
          <w:tcPr>
            <w:tcW w:w="1181" w:type="dxa"/>
            <w:shd w:val="clear" w:color="auto" w:fill="auto"/>
            <w:vAlign w:val="center"/>
          </w:tcPr>
          <w:p w14:paraId="0E2607BB">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0.0001 </w:t>
            </w:r>
          </w:p>
        </w:tc>
        <w:tc>
          <w:tcPr>
            <w:tcW w:w="955" w:type="dxa"/>
            <w:shd w:val="clear" w:color="auto" w:fill="auto"/>
            <w:vAlign w:val="center"/>
          </w:tcPr>
          <w:p w14:paraId="2EDD9236">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0.0927</w:t>
            </w:r>
          </w:p>
        </w:tc>
        <w:tc>
          <w:tcPr>
            <w:tcW w:w="241" w:type="pct"/>
            <w:vMerge w:val="continue"/>
            <w:shd w:val="clear" w:color="auto" w:fill="auto"/>
            <w:vAlign w:val="center"/>
          </w:tcPr>
          <w:p w14:paraId="2DA5E8D5">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r>
      <w:tr w14:paraId="701D1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restart"/>
            <w:shd w:val="clear" w:color="auto" w:fill="auto"/>
            <w:vAlign w:val="center"/>
          </w:tcPr>
          <w:p w14:paraId="1929E18F">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w:t>
            </w:r>
          </w:p>
        </w:tc>
        <w:tc>
          <w:tcPr>
            <w:tcW w:w="270" w:type="pct"/>
            <w:vMerge w:val="restart"/>
            <w:shd w:val="clear" w:color="auto" w:fill="auto"/>
            <w:vAlign w:val="center"/>
          </w:tcPr>
          <w:p w14:paraId="3541D20F">
            <w:pPr>
              <w:keepNext w:val="0"/>
              <w:keepLines w:val="0"/>
              <w:pageBreakBefore w:val="0"/>
              <w:kinsoku/>
              <w:wordWrap/>
              <w:overflowPunct/>
              <w:topLinePunct w:val="0"/>
              <w:autoSpaceDE/>
              <w:autoSpaceDN/>
              <w:bidi w:val="0"/>
              <w:spacing w:line="36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无机实</w:t>
            </w:r>
          </w:p>
          <w:p w14:paraId="58957344">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验</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样品消解过程</w:t>
            </w:r>
          </w:p>
        </w:tc>
        <w:tc>
          <w:tcPr>
            <w:tcW w:w="304" w:type="pct"/>
            <w:vMerge w:val="continue"/>
            <w:shd w:val="clear" w:color="auto" w:fill="auto"/>
            <w:vAlign w:val="center"/>
          </w:tcPr>
          <w:p w14:paraId="72DB030A">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80" w:type="pct"/>
            <w:gridSpan w:val="2"/>
            <w:shd w:val="clear" w:color="auto" w:fill="auto"/>
            <w:vAlign w:val="center"/>
          </w:tcPr>
          <w:p w14:paraId="72B32B2A">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HCL</w:t>
            </w:r>
          </w:p>
        </w:tc>
        <w:tc>
          <w:tcPr>
            <w:tcW w:w="270" w:type="pct"/>
            <w:shd w:val="clear" w:color="auto" w:fill="auto"/>
            <w:vAlign w:val="center"/>
          </w:tcPr>
          <w:p w14:paraId="0A60CA2D">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0.37</w:t>
            </w:r>
          </w:p>
        </w:tc>
        <w:tc>
          <w:tcPr>
            <w:tcW w:w="413" w:type="pct"/>
            <w:shd w:val="clear" w:color="auto" w:fill="auto"/>
            <w:vAlign w:val="center"/>
          </w:tcPr>
          <w:p w14:paraId="301A8868">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0.0074</w:t>
            </w:r>
          </w:p>
        </w:tc>
        <w:tc>
          <w:tcPr>
            <w:tcW w:w="312" w:type="pct"/>
            <w:shd w:val="clear" w:color="auto" w:fill="auto"/>
            <w:vAlign w:val="center"/>
          </w:tcPr>
          <w:p w14:paraId="6F5668B4">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7.4176</w:t>
            </w:r>
          </w:p>
        </w:tc>
        <w:tc>
          <w:tcPr>
            <w:tcW w:w="265" w:type="pct"/>
            <w:vMerge w:val="continue"/>
            <w:shd w:val="clear" w:color="auto" w:fill="auto"/>
            <w:vAlign w:val="center"/>
          </w:tcPr>
          <w:p w14:paraId="108C70B5">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494" w:type="pct"/>
            <w:vMerge w:val="restart"/>
            <w:shd w:val="clear" w:color="auto" w:fill="auto"/>
            <w:vAlign w:val="center"/>
          </w:tcPr>
          <w:p w14:paraId="6F349E68">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通风橱、集气罩</w:t>
            </w:r>
            <w:r>
              <w:rPr>
                <w:rFonts w:hint="default" w:ascii="Times New Roman" w:hAnsi="Times New Roman" w:eastAsia="宋体" w:cs="Times New Roman"/>
                <w:color w:val="auto"/>
                <w:sz w:val="18"/>
                <w:szCs w:val="18"/>
                <w:lang w:val="en-US" w:eastAsia="zh-CN"/>
              </w:rPr>
              <w:t>（风机风量20000m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lang w:val="en-US" w:eastAsia="zh-CN"/>
              </w:rPr>
              <w:t>/h）+</w:t>
            </w:r>
            <w:r>
              <w:rPr>
                <w:rFonts w:hint="eastAsia" w:cs="Times New Roman"/>
                <w:color w:val="auto"/>
                <w:sz w:val="18"/>
                <w:szCs w:val="18"/>
                <w:lang w:val="en-US" w:eastAsia="zh-CN"/>
              </w:rPr>
              <w:t>碱液喷淋装置</w:t>
            </w:r>
            <w:r>
              <w:rPr>
                <w:rFonts w:hint="default" w:ascii="Times New Roman" w:hAnsi="Times New Roman" w:eastAsia="宋体" w:cs="Times New Roman"/>
                <w:color w:val="auto"/>
                <w:sz w:val="18"/>
                <w:szCs w:val="18"/>
              </w:rPr>
              <w:t>处理</w:t>
            </w:r>
            <w:r>
              <w:rPr>
                <w:rFonts w:hint="default" w:ascii="Times New Roman" w:hAnsi="Times New Roman" w:eastAsia="宋体" w:cs="Times New Roman"/>
                <w:color w:val="auto"/>
                <w:sz w:val="18"/>
                <w:szCs w:val="18"/>
                <w:lang w:val="en-US" w:eastAsia="zh-CN"/>
              </w:rPr>
              <w:t>+15m高</w:t>
            </w:r>
            <w:r>
              <w:rPr>
                <w:rFonts w:hint="default" w:ascii="Times New Roman" w:hAnsi="Times New Roman" w:eastAsia="宋体" w:cs="Times New Roman"/>
                <w:color w:val="auto"/>
                <w:sz w:val="18"/>
                <w:szCs w:val="18"/>
              </w:rPr>
              <w:t>排气筒排放</w:t>
            </w:r>
          </w:p>
        </w:tc>
        <w:tc>
          <w:tcPr>
            <w:tcW w:w="472" w:type="pct"/>
            <w:vMerge w:val="restart"/>
            <w:shd w:val="clear" w:color="auto" w:fill="auto"/>
            <w:vAlign w:val="center"/>
          </w:tcPr>
          <w:p w14:paraId="7F22A333">
            <w:pPr>
              <w:keepNext w:val="0"/>
              <w:keepLines w:val="0"/>
              <w:pageBreakBefore w:val="0"/>
              <w:widowControl w:val="0"/>
              <w:kinsoku/>
              <w:wordWrap w:val="0"/>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通风橱、集气罩收集效率</w:t>
            </w:r>
            <w:r>
              <w:rPr>
                <w:rFonts w:hint="default" w:ascii="Times New Roman" w:hAnsi="Times New Roman" w:eastAsia="宋体" w:cs="Times New Roman"/>
                <w:color w:val="auto"/>
                <w:sz w:val="18"/>
                <w:szCs w:val="18"/>
                <w:lang w:val="en-US" w:eastAsia="zh-CN"/>
              </w:rPr>
              <w:t>为</w:t>
            </w:r>
            <w:r>
              <w:rPr>
                <w:rFonts w:hint="eastAsia" w:cs="Times New Roman"/>
                <w:color w:val="auto"/>
                <w:sz w:val="18"/>
                <w:szCs w:val="18"/>
                <w:lang w:val="en-US" w:eastAsia="zh-CN"/>
              </w:rPr>
              <w:t>65</w:t>
            </w:r>
            <w:r>
              <w:rPr>
                <w:rFonts w:hint="default" w:ascii="Times New Roman" w:hAnsi="Times New Roman" w:eastAsia="宋体" w:cs="Times New Roman"/>
                <w:color w:val="auto"/>
                <w:sz w:val="18"/>
                <w:szCs w:val="18"/>
              </w:rPr>
              <w:t>%</w:t>
            </w:r>
            <w:r>
              <w:rPr>
                <w:rFonts w:hint="default" w:ascii="Times New Roman" w:hAnsi="Times New Roman" w:eastAsia="宋体" w:cs="Times New Roman"/>
                <w:color w:val="auto"/>
                <w:sz w:val="18"/>
                <w:szCs w:val="18"/>
                <w:lang w:eastAsia="zh-CN"/>
              </w:rPr>
              <w:t>，</w:t>
            </w:r>
            <w:r>
              <w:rPr>
                <w:rFonts w:hint="eastAsia" w:cs="Times New Roman"/>
                <w:color w:val="auto"/>
                <w:sz w:val="18"/>
                <w:szCs w:val="18"/>
                <w:lang w:val="en-US" w:eastAsia="zh-CN"/>
              </w:rPr>
              <w:t>碱液喷淋装置</w:t>
            </w:r>
            <w:r>
              <w:rPr>
                <w:rFonts w:hint="default" w:ascii="Times New Roman" w:hAnsi="Times New Roman" w:eastAsia="宋体" w:cs="Times New Roman"/>
                <w:color w:val="auto"/>
                <w:sz w:val="18"/>
                <w:szCs w:val="18"/>
                <w:lang w:val="en-US" w:eastAsia="zh-CN"/>
              </w:rPr>
              <w:t>对</w:t>
            </w:r>
            <w:r>
              <w:rPr>
                <w:rFonts w:hint="default" w:ascii="Times New Roman" w:hAnsi="Times New Roman" w:eastAsia="宋体" w:cs="Times New Roman"/>
                <w:color w:val="auto"/>
                <w:sz w:val="18"/>
                <w:szCs w:val="18"/>
              </w:rPr>
              <w:t>硫酸雾、盐酸雾处理效率为75%，</w:t>
            </w:r>
            <w:r>
              <w:rPr>
                <w:rFonts w:hint="eastAsia" w:ascii="Times New Roman" w:hAnsi="Times New Roman" w:eastAsia="宋体" w:cs="Times New Roman"/>
                <w:color w:val="auto"/>
                <w:sz w:val="18"/>
                <w:szCs w:val="18"/>
                <w:lang w:val="en-US" w:eastAsia="zh-CN"/>
              </w:rPr>
              <w:t>对</w:t>
            </w:r>
            <w:r>
              <w:rPr>
                <w:rFonts w:hint="default" w:ascii="Times New Roman" w:hAnsi="Times New Roman" w:eastAsia="宋体" w:cs="Times New Roman"/>
                <w:color w:val="auto"/>
                <w:sz w:val="18"/>
                <w:szCs w:val="18"/>
              </w:rPr>
              <w:t>NOx</w:t>
            </w:r>
            <w:r>
              <w:rPr>
                <w:rFonts w:hint="eastAsia" w:cs="Times New Roman"/>
                <w:color w:val="auto"/>
                <w:sz w:val="18"/>
                <w:szCs w:val="18"/>
                <w:vertAlign w:val="baseline"/>
                <w:lang w:eastAsia="zh-CN"/>
              </w:rPr>
              <w:t>、</w:t>
            </w:r>
            <w:r>
              <w:rPr>
                <w:rFonts w:hint="eastAsia" w:cs="Times New Roman"/>
                <w:color w:val="auto"/>
                <w:sz w:val="18"/>
                <w:szCs w:val="18"/>
                <w:lang w:val="en-US" w:eastAsia="zh-CN"/>
              </w:rPr>
              <w:t>氨</w:t>
            </w:r>
            <w:r>
              <w:rPr>
                <w:rFonts w:hint="default" w:ascii="Times New Roman" w:hAnsi="Times New Roman" w:eastAsia="宋体" w:cs="Times New Roman"/>
                <w:color w:val="auto"/>
                <w:sz w:val="18"/>
                <w:szCs w:val="18"/>
              </w:rPr>
              <w:t>无处理效率</w:t>
            </w:r>
          </w:p>
        </w:tc>
        <w:tc>
          <w:tcPr>
            <w:tcW w:w="311" w:type="pct"/>
            <w:vMerge w:val="restart"/>
            <w:shd w:val="clear" w:color="auto" w:fill="auto"/>
            <w:vAlign w:val="center"/>
          </w:tcPr>
          <w:p w14:paraId="6C174B9E">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是</w:t>
            </w:r>
          </w:p>
        </w:tc>
        <w:tc>
          <w:tcPr>
            <w:tcW w:w="972" w:type="dxa"/>
            <w:shd w:val="clear" w:color="auto" w:fill="auto"/>
            <w:vAlign w:val="center"/>
          </w:tcPr>
          <w:p w14:paraId="5555E9C5">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0.06</w:t>
            </w:r>
          </w:p>
        </w:tc>
        <w:tc>
          <w:tcPr>
            <w:tcW w:w="1181" w:type="dxa"/>
            <w:shd w:val="clear" w:color="auto" w:fill="auto"/>
            <w:vAlign w:val="center"/>
          </w:tcPr>
          <w:p w14:paraId="5F906174">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0.0012 </w:t>
            </w:r>
          </w:p>
        </w:tc>
        <w:tc>
          <w:tcPr>
            <w:tcW w:w="955" w:type="dxa"/>
            <w:shd w:val="clear" w:color="auto" w:fill="auto"/>
            <w:vAlign w:val="center"/>
          </w:tcPr>
          <w:p w14:paraId="5CA5918C">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1.2054 </w:t>
            </w:r>
          </w:p>
        </w:tc>
        <w:tc>
          <w:tcPr>
            <w:tcW w:w="241" w:type="pct"/>
            <w:vMerge w:val="restart"/>
            <w:shd w:val="clear" w:color="auto" w:fill="auto"/>
            <w:vAlign w:val="center"/>
          </w:tcPr>
          <w:p w14:paraId="3EF0A745">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1000</w:t>
            </w:r>
          </w:p>
        </w:tc>
      </w:tr>
      <w:tr w14:paraId="44AC5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continue"/>
            <w:shd w:val="clear" w:color="auto" w:fill="auto"/>
            <w:vAlign w:val="center"/>
          </w:tcPr>
          <w:p w14:paraId="4FC6CBD7">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70" w:type="pct"/>
            <w:vMerge w:val="continue"/>
            <w:shd w:val="clear" w:color="auto" w:fill="auto"/>
            <w:vAlign w:val="center"/>
          </w:tcPr>
          <w:p w14:paraId="1DBBDC9C">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04" w:type="pct"/>
            <w:vMerge w:val="continue"/>
            <w:shd w:val="clear" w:color="auto" w:fill="auto"/>
            <w:vAlign w:val="center"/>
          </w:tcPr>
          <w:p w14:paraId="38A2121B">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80" w:type="pct"/>
            <w:gridSpan w:val="2"/>
            <w:shd w:val="clear" w:color="auto" w:fill="auto"/>
            <w:vAlign w:val="center"/>
          </w:tcPr>
          <w:p w14:paraId="382FB7F8">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硫酸雾</w:t>
            </w:r>
          </w:p>
        </w:tc>
        <w:tc>
          <w:tcPr>
            <w:tcW w:w="270" w:type="pct"/>
            <w:shd w:val="clear" w:color="auto" w:fill="auto"/>
            <w:vAlign w:val="center"/>
          </w:tcPr>
          <w:p w14:paraId="3A476D59">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1.4</w:t>
            </w:r>
          </w:p>
        </w:tc>
        <w:tc>
          <w:tcPr>
            <w:tcW w:w="413" w:type="pct"/>
            <w:shd w:val="clear" w:color="auto" w:fill="auto"/>
            <w:vAlign w:val="center"/>
          </w:tcPr>
          <w:p w14:paraId="47F11C3A">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0.028</w:t>
            </w:r>
          </w:p>
        </w:tc>
        <w:tc>
          <w:tcPr>
            <w:tcW w:w="312" w:type="pct"/>
            <w:shd w:val="clear" w:color="auto" w:fill="auto"/>
            <w:vAlign w:val="center"/>
          </w:tcPr>
          <w:p w14:paraId="4CFDE0C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27.968</w:t>
            </w:r>
          </w:p>
        </w:tc>
        <w:tc>
          <w:tcPr>
            <w:tcW w:w="265" w:type="pct"/>
            <w:vMerge w:val="continue"/>
            <w:shd w:val="clear" w:color="auto" w:fill="auto"/>
            <w:vAlign w:val="center"/>
          </w:tcPr>
          <w:p w14:paraId="770C6211">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494" w:type="pct"/>
            <w:vMerge w:val="continue"/>
            <w:shd w:val="clear" w:color="auto" w:fill="auto"/>
            <w:vAlign w:val="center"/>
          </w:tcPr>
          <w:p w14:paraId="73F47658">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472" w:type="pct"/>
            <w:vMerge w:val="continue"/>
            <w:shd w:val="clear" w:color="auto" w:fill="auto"/>
            <w:vAlign w:val="center"/>
          </w:tcPr>
          <w:p w14:paraId="5F87C24B">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11" w:type="pct"/>
            <w:vMerge w:val="continue"/>
            <w:shd w:val="clear" w:color="auto" w:fill="auto"/>
            <w:vAlign w:val="center"/>
          </w:tcPr>
          <w:p w14:paraId="7C69149F">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972" w:type="dxa"/>
            <w:shd w:val="clear" w:color="auto" w:fill="auto"/>
            <w:vAlign w:val="center"/>
          </w:tcPr>
          <w:p w14:paraId="6DCE34A7">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0.225</w:t>
            </w:r>
          </w:p>
        </w:tc>
        <w:tc>
          <w:tcPr>
            <w:tcW w:w="1181" w:type="dxa"/>
            <w:shd w:val="clear" w:color="auto" w:fill="auto"/>
            <w:vAlign w:val="center"/>
          </w:tcPr>
          <w:p w14:paraId="2F096ED0">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0.0045 </w:t>
            </w:r>
          </w:p>
        </w:tc>
        <w:tc>
          <w:tcPr>
            <w:tcW w:w="955" w:type="dxa"/>
            <w:shd w:val="clear" w:color="auto" w:fill="auto"/>
            <w:vAlign w:val="center"/>
          </w:tcPr>
          <w:p w14:paraId="2CEC6BB5">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4.5448 </w:t>
            </w:r>
          </w:p>
        </w:tc>
        <w:tc>
          <w:tcPr>
            <w:tcW w:w="241" w:type="pct"/>
            <w:vMerge w:val="continue"/>
            <w:shd w:val="clear" w:color="auto" w:fill="auto"/>
            <w:vAlign w:val="center"/>
          </w:tcPr>
          <w:p w14:paraId="1471657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r>
      <w:tr w14:paraId="1B101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continue"/>
            <w:shd w:val="clear" w:color="auto" w:fill="auto"/>
            <w:vAlign w:val="center"/>
          </w:tcPr>
          <w:p w14:paraId="27D2546F">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70" w:type="pct"/>
            <w:vMerge w:val="continue"/>
            <w:shd w:val="clear" w:color="auto" w:fill="auto"/>
            <w:vAlign w:val="center"/>
          </w:tcPr>
          <w:p w14:paraId="19F27828">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04" w:type="pct"/>
            <w:vMerge w:val="continue"/>
            <w:shd w:val="clear" w:color="auto" w:fill="auto"/>
            <w:vAlign w:val="center"/>
          </w:tcPr>
          <w:p w14:paraId="1AFB17BE">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80" w:type="pct"/>
            <w:gridSpan w:val="2"/>
            <w:shd w:val="clear" w:color="auto" w:fill="auto"/>
            <w:vAlign w:val="center"/>
          </w:tcPr>
          <w:p w14:paraId="0E338B2F">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NOx</w:t>
            </w:r>
          </w:p>
        </w:tc>
        <w:tc>
          <w:tcPr>
            <w:tcW w:w="270" w:type="pct"/>
            <w:shd w:val="clear" w:color="auto" w:fill="auto"/>
            <w:vAlign w:val="center"/>
          </w:tcPr>
          <w:p w14:paraId="796D5568">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0.3</w:t>
            </w:r>
          </w:p>
        </w:tc>
        <w:tc>
          <w:tcPr>
            <w:tcW w:w="413" w:type="pct"/>
            <w:shd w:val="clear" w:color="auto" w:fill="auto"/>
            <w:vAlign w:val="center"/>
          </w:tcPr>
          <w:p w14:paraId="51E581DC">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0.006</w:t>
            </w:r>
          </w:p>
        </w:tc>
        <w:tc>
          <w:tcPr>
            <w:tcW w:w="312" w:type="pct"/>
            <w:shd w:val="clear" w:color="auto" w:fill="auto"/>
            <w:vAlign w:val="center"/>
          </w:tcPr>
          <w:p w14:paraId="2215195D">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w:t>
            </w:r>
          </w:p>
        </w:tc>
        <w:tc>
          <w:tcPr>
            <w:tcW w:w="265" w:type="pct"/>
            <w:vMerge w:val="continue"/>
            <w:shd w:val="clear" w:color="auto" w:fill="auto"/>
            <w:vAlign w:val="center"/>
          </w:tcPr>
          <w:p w14:paraId="3FFBE377">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494" w:type="pct"/>
            <w:vMerge w:val="continue"/>
            <w:shd w:val="clear" w:color="auto" w:fill="auto"/>
            <w:vAlign w:val="center"/>
          </w:tcPr>
          <w:p w14:paraId="68F873C0">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472" w:type="pct"/>
            <w:vMerge w:val="continue"/>
            <w:shd w:val="clear" w:color="auto" w:fill="auto"/>
            <w:vAlign w:val="center"/>
          </w:tcPr>
          <w:p w14:paraId="55C4BD0B">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11" w:type="pct"/>
            <w:vMerge w:val="continue"/>
            <w:shd w:val="clear" w:color="auto" w:fill="auto"/>
            <w:vAlign w:val="center"/>
          </w:tcPr>
          <w:p w14:paraId="28E8BCF8">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972" w:type="dxa"/>
            <w:shd w:val="clear" w:color="auto" w:fill="auto"/>
            <w:vAlign w:val="center"/>
          </w:tcPr>
          <w:p w14:paraId="50C67522">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0.195</w:t>
            </w:r>
          </w:p>
        </w:tc>
        <w:tc>
          <w:tcPr>
            <w:tcW w:w="1181" w:type="dxa"/>
            <w:shd w:val="clear" w:color="auto" w:fill="auto"/>
            <w:vAlign w:val="center"/>
          </w:tcPr>
          <w:p w14:paraId="590D4301">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0.0039 </w:t>
            </w:r>
          </w:p>
        </w:tc>
        <w:tc>
          <w:tcPr>
            <w:tcW w:w="955" w:type="dxa"/>
            <w:shd w:val="clear" w:color="auto" w:fill="auto"/>
            <w:vAlign w:val="center"/>
          </w:tcPr>
          <w:p w14:paraId="340F07CA">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3.9</w:t>
            </w:r>
          </w:p>
        </w:tc>
        <w:tc>
          <w:tcPr>
            <w:tcW w:w="241" w:type="pct"/>
            <w:vMerge w:val="continue"/>
            <w:shd w:val="clear" w:color="auto" w:fill="auto"/>
            <w:vAlign w:val="center"/>
          </w:tcPr>
          <w:p w14:paraId="0E695A5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r>
      <w:tr w14:paraId="7E84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continue"/>
            <w:shd w:val="clear" w:color="auto" w:fill="auto"/>
            <w:vAlign w:val="center"/>
          </w:tcPr>
          <w:p w14:paraId="2269D4B0">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70" w:type="pct"/>
            <w:vMerge w:val="continue"/>
            <w:shd w:val="clear" w:color="auto" w:fill="auto"/>
            <w:vAlign w:val="center"/>
          </w:tcPr>
          <w:p w14:paraId="47B79B5A">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04" w:type="pct"/>
            <w:vMerge w:val="continue"/>
            <w:shd w:val="clear" w:color="auto" w:fill="auto"/>
            <w:vAlign w:val="center"/>
          </w:tcPr>
          <w:p w14:paraId="6F3269E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80" w:type="pct"/>
            <w:gridSpan w:val="2"/>
            <w:shd w:val="clear" w:color="auto" w:fill="auto"/>
            <w:vAlign w:val="center"/>
          </w:tcPr>
          <w:p w14:paraId="7634EF42">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氨</w:t>
            </w:r>
          </w:p>
        </w:tc>
        <w:tc>
          <w:tcPr>
            <w:tcW w:w="270" w:type="pct"/>
            <w:shd w:val="clear" w:color="auto" w:fill="auto"/>
            <w:vAlign w:val="center"/>
          </w:tcPr>
          <w:p w14:paraId="1E084BC1">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0.29</w:t>
            </w:r>
          </w:p>
        </w:tc>
        <w:tc>
          <w:tcPr>
            <w:tcW w:w="413" w:type="pct"/>
            <w:shd w:val="clear" w:color="auto" w:fill="auto"/>
            <w:vAlign w:val="center"/>
          </w:tcPr>
          <w:p w14:paraId="5F429A2D">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0.0058</w:t>
            </w:r>
          </w:p>
        </w:tc>
        <w:tc>
          <w:tcPr>
            <w:tcW w:w="312" w:type="pct"/>
            <w:shd w:val="clear" w:color="auto" w:fill="auto"/>
            <w:vAlign w:val="center"/>
          </w:tcPr>
          <w:p w14:paraId="4172FE0D">
            <w:pPr>
              <w:pStyle w:val="17"/>
              <w:keepNext w:val="0"/>
              <w:keepLines w:val="0"/>
              <w:pageBreakBefore w:val="0"/>
              <w:widowControl/>
              <w:kinsoku/>
              <w:wordWrap/>
              <w:overflowPunct/>
              <w:topLinePunct w:val="0"/>
              <w:autoSpaceDE/>
              <w:autoSpaceDN/>
              <w:bidi w:val="0"/>
              <w:spacing w:before="0" w:beforeAutospacing="0" w:after="0" w:afterAutospacing="0"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5.824</w:t>
            </w:r>
          </w:p>
        </w:tc>
        <w:tc>
          <w:tcPr>
            <w:tcW w:w="265" w:type="pct"/>
            <w:vMerge w:val="continue"/>
            <w:shd w:val="clear" w:color="auto" w:fill="auto"/>
            <w:vAlign w:val="center"/>
          </w:tcPr>
          <w:p w14:paraId="72529FCB">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494" w:type="pct"/>
            <w:vMerge w:val="continue"/>
            <w:shd w:val="clear" w:color="auto" w:fill="auto"/>
            <w:vAlign w:val="center"/>
          </w:tcPr>
          <w:p w14:paraId="1F7F4D6F">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472" w:type="pct"/>
            <w:vMerge w:val="continue"/>
            <w:shd w:val="clear" w:color="auto" w:fill="auto"/>
            <w:vAlign w:val="center"/>
          </w:tcPr>
          <w:p w14:paraId="7B7C618E">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11" w:type="pct"/>
            <w:vMerge w:val="continue"/>
            <w:shd w:val="clear" w:color="auto" w:fill="auto"/>
            <w:vAlign w:val="center"/>
          </w:tcPr>
          <w:p w14:paraId="75BD5FF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972" w:type="dxa"/>
            <w:shd w:val="clear" w:color="auto" w:fill="auto"/>
            <w:vAlign w:val="center"/>
          </w:tcPr>
          <w:p w14:paraId="7A4DD3B2">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0.19 </w:t>
            </w:r>
          </w:p>
        </w:tc>
        <w:tc>
          <w:tcPr>
            <w:tcW w:w="1181" w:type="dxa"/>
            <w:shd w:val="clear" w:color="auto" w:fill="auto"/>
            <w:vAlign w:val="center"/>
          </w:tcPr>
          <w:p w14:paraId="0637B908">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0.0038 </w:t>
            </w:r>
          </w:p>
        </w:tc>
        <w:tc>
          <w:tcPr>
            <w:tcW w:w="955" w:type="dxa"/>
            <w:shd w:val="clear" w:color="auto" w:fill="auto"/>
            <w:vAlign w:val="center"/>
          </w:tcPr>
          <w:p w14:paraId="77E1A81F">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3.7856</w:t>
            </w:r>
          </w:p>
        </w:tc>
        <w:tc>
          <w:tcPr>
            <w:tcW w:w="241" w:type="pct"/>
            <w:vMerge w:val="continue"/>
            <w:shd w:val="clear" w:color="auto" w:fill="auto"/>
            <w:vAlign w:val="center"/>
          </w:tcPr>
          <w:p w14:paraId="29D858A6">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r>
      <w:tr w14:paraId="037D4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65" w:type="pct"/>
            <w:vMerge w:val="restart"/>
            <w:shd w:val="clear" w:color="auto" w:fill="auto"/>
            <w:vAlign w:val="center"/>
          </w:tcPr>
          <w:p w14:paraId="3BFC062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p>
        </w:tc>
        <w:tc>
          <w:tcPr>
            <w:tcW w:w="270" w:type="pct"/>
            <w:vMerge w:val="restart"/>
            <w:shd w:val="clear" w:color="auto" w:fill="auto"/>
            <w:vAlign w:val="center"/>
          </w:tcPr>
          <w:p w14:paraId="3B2B1B3D">
            <w:pPr>
              <w:keepNext w:val="0"/>
              <w:keepLines w:val="0"/>
              <w:pageBreakBefore w:val="0"/>
              <w:kinsoku/>
              <w:wordWrap/>
              <w:overflowPunct/>
              <w:topLinePunct w:val="0"/>
              <w:autoSpaceDE/>
              <w:autoSpaceDN/>
              <w:bidi w:val="0"/>
              <w:spacing w:line="36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有机实</w:t>
            </w:r>
          </w:p>
          <w:p w14:paraId="617F551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验</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样品浓缩萃取过程</w:t>
            </w:r>
          </w:p>
        </w:tc>
        <w:tc>
          <w:tcPr>
            <w:tcW w:w="304" w:type="pct"/>
            <w:vMerge w:val="restart"/>
            <w:shd w:val="clear" w:color="auto" w:fill="auto"/>
            <w:vAlign w:val="center"/>
          </w:tcPr>
          <w:p w14:paraId="15F85C9E">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无组织</w:t>
            </w:r>
          </w:p>
        </w:tc>
        <w:tc>
          <w:tcPr>
            <w:tcW w:w="280" w:type="pct"/>
            <w:gridSpan w:val="2"/>
            <w:shd w:val="clear" w:color="auto" w:fill="auto"/>
            <w:vAlign w:val="center"/>
          </w:tcPr>
          <w:p w14:paraId="612262CF">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非甲烷总烃</w:t>
            </w:r>
          </w:p>
        </w:tc>
        <w:tc>
          <w:tcPr>
            <w:tcW w:w="270" w:type="pct"/>
            <w:shd w:val="clear" w:color="auto" w:fill="auto"/>
            <w:vAlign w:val="center"/>
          </w:tcPr>
          <w:p w14:paraId="67072872">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1171" w:type="dxa"/>
            <w:shd w:val="clear" w:color="auto" w:fill="auto"/>
            <w:vAlign w:val="center"/>
          </w:tcPr>
          <w:p w14:paraId="0AF3D482">
            <w:pPr>
              <w:keepNext w:val="0"/>
              <w:keepLines w:val="0"/>
              <w:widowControl/>
              <w:suppressLineNumbers w:val="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0.0070 </w:t>
            </w:r>
          </w:p>
        </w:tc>
        <w:tc>
          <w:tcPr>
            <w:tcW w:w="885" w:type="dxa"/>
            <w:shd w:val="clear" w:color="auto" w:fill="auto"/>
            <w:vAlign w:val="center"/>
          </w:tcPr>
          <w:p w14:paraId="0B2F812F">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6.9927</w:t>
            </w:r>
          </w:p>
        </w:tc>
        <w:tc>
          <w:tcPr>
            <w:tcW w:w="265" w:type="pct"/>
            <w:vMerge w:val="restart"/>
            <w:shd w:val="clear" w:color="auto" w:fill="auto"/>
            <w:vAlign w:val="center"/>
          </w:tcPr>
          <w:p w14:paraId="7FD6EB2E">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966" w:type="pct"/>
            <w:gridSpan w:val="2"/>
            <w:vMerge w:val="restart"/>
            <w:shd w:val="clear" w:color="auto" w:fill="auto"/>
            <w:vAlign w:val="center"/>
          </w:tcPr>
          <w:p w14:paraId="730948F6">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经门窗自然通风外排、大气扩散</w:t>
            </w:r>
          </w:p>
        </w:tc>
        <w:tc>
          <w:tcPr>
            <w:tcW w:w="311" w:type="pct"/>
            <w:vMerge w:val="restart"/>
            <w:shd w:val="clear" w:color="auto" w:fill="auto"/>
            <w:vAlign w:val="center"/>
          </w:tcPr>
          <w:p w14:paraId="0F9524F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343" w:type="pct"/>
            <w:shd w:val="clear" w:color="auto" w:fill="auto"/>
            <w:vAlign w:val="center"/>
          </w:tcPr>
          <w:p w14:paraId="65473A03">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1181" w:type="dxa"/>
            <w:shd w:val="clear" w:color="auto" w:fill="auto"/>
            <w:vAlign w:val="center"/>
          </w:tcPr>
          <w:p w14:paraId="5918B0E8">
            <w:pPr>
              <w:keepNext w:val="0"/>
              <w:keepLines w:val="0"/>
              <w:widowControl/>
              <w:suppressLineNumbers w:val="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0.0070 </w:t>
            </w:r>
          </w:p>
        </w:tc>
        <w:tc>
          <w:tcPr>
            <w:tcW w:w="955" w:type="dxa"/>
            <w:shd w:val="clear" w:color="auto" w:fill="auto"/>
            <w:vAlign w:val="center"/>
          </w:tcPr>
          <w:p w14:paraId="232A17FC">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6.9927</w:t>
            </w:r>
          </w:p>
        </w:tc>
        <w:tc>
          <w:tcPr>
            <w:tcW w:w="241" w:type="pct"/>
            <w:vMerge w:val="restart"/>
            <w:shd w:val="clear" w:color="auto" w:fill="auto"/>
            <w:vAlign w:val="center"/>
          </w:tcPr>
          <w:p w14:paraId="0A597F4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1000</w:t>
            </w:r>
          </w:p>
        </w:tc>
      </w:tr>
      <w:tr w14:paraId="36323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continue"/>
            <w:shd w:val="clear" w:color="auto" w:fill="auto"/>
            <w:vAlign w:val="center"/>
          </w:tcPr>
          <w:p w14:paraId="78C07905">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70" w:type="pct"/>
            <w:vMerge w:val="continue"/>
            <w:shd w:val="clear" w:color="auto" w:fill="auto"/>
            <w:vAlign w:val="center"/>
          </w:tcPr>
          <w:p w14:paraId="0BB5023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04" w:type="pct"/>
            <w:vMerge w:val="continue"/>
            <w:shd w:val="clear" w:color="auto" w:fill="auto"/>
            <w:vAlign w:val="center"/>
          </w:tcPr>
          <w:p w14:paraId="74B701E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139" w:type="pct"/>
            <w:vMerge w:val="restart"/>
            <w:shd w:val="clear" w:color="auto" w:fill="auto"/>
            <w:vAlign w:val="center"/>
          </w:tcPr>
          <w:p w14:paraId="794800F4">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其中</w:t>
            </w:r>
          </w:p>
        </w:tc>
        <w:tc>
          <w:tcPr>
            <w:tcW w:w="141" w:type="pct"/>
            <w:shd w:val="clear" w:color="auto" w:fill="auto"/>
            <w:vAlign w:val="center"/>
          </w:tcPr>
          <w:p w14:paraId="6334CDD1">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甲醇</w:t>
            </w:r>
          </w:p>
        </w:tc>
        <w:tc>
          <w:tcPr>
            <w:tcW w:w="270" w:type="pct"/>
            <w:shd w:val="clear" w:color="auto" w:fill="auto"/>
            <w:vAlign w:val="center"/>
          </w:tcPr>
          <w:p w14:paraId="14361AB7">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1171" w:type="dxa"/>
            <w:shd w:val="clear" w:color="auto" w:fill="auto"/>
            <w:vAlign w:val="center"/>
          </w:tcPr>
          <w:p w14:paraId="7F8AF413">
            <w:pPr>
              <w:keepNext w:val="0"/>
              <w:keepLines w:val="0"/>
              <w:widowControl/>
              <w:suppressLineNumbers w:val="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0.0007 </w:t>
            </w:r>
          </w:p>
        </w:tc>
        <w:tc>
          <w:tcPr>
            <w:tcW w:w="885" w:type="dxa"/>
            <w:shd w:val="clear" w:color="auto" w:fill="auto"/>
            <w:vAlign w:val="center"/>
          </w:tcPr>
          <w:p w14:paraId="21C2DE9B">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0.7212</w:t>
            </w:r>
          </w:p>
        </w:tc>
        <w:tc>
          <w:tcPr>
            <w:tcW w:w="265" w:type="pct"/>
            <w:vMerge w:val="continue"/>
            <w:shd w:val="clear" w:color="auto" w:fill="auto"/>
            <w:vAlign w:val="center"/>
          </w:tcPr>
          <w:p w14:paraId="2D8E4B9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966" w:type="pct"/>
            <w:gridSpan w:val="2"/>
            <w:vMerge w:val="continue"/>
            <w:shd w:val="clear" w:color="auto" w:fill="auto"/>
            <w:vAlign w:val="center"/>
          </w:tcPr>
          <w:p w14:paraId="268F9416">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11" w:type="pct"/>
            <w:vMerge w:val="continue"/>
            <w:shd w:val="clear" w:color="auto" w:fill="auto"/>
            <w:vAlign w:val="center"/>
          </w:tcPr>
          <w:p w14:paraId="2DB05E9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43" w:type="pct"/>
            <w:shd w:val="clear" w:color="auto" w:fill="auto"/>
            <w:vAlign w:val="center"/>
          </w:tcPr>
          <w:p w14:paraId="01EA7161">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w:t>
            </w:r>
          </w:p>
        </w:tc>
        <w:tc>
          <w:tcPr>
            <w:tcW w:w="1181" w:type="dxa"/>
            <w:shd w:val="clear" w:color="auto" w:fill="auto"/>
            <w:vAlign w:val="center"/>
          </w:tcPr>
          <w:p w14:paraId="7634EAA6">
            <w:pPr>
              <w:keepNext w:val="0"/>
              <w:keepLines w:val="0"/>
              <w:widowControl/>
              <w:suppressLineNumbers w:val="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0.0007 </w:t>
            </w:r>
          </w:p>
        </w:tc>
        <w:tc>
          <w:tcPr>
            <w:tcW w:w="955" w:type="dxa"/>
            <w:shd w:val="clear" w:color="auto" w:fill="auto"/>
            <w:vAlign w:val="center"/>
          </w:tcPr>
          <w:p w14:paraId="2C31FAE8">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0.7212</w:t>
            </w:r>
          </w:p>
        </w:tc>
        <w:tc>
          <w:tcPr>
            <w:tcW w:w="241" w:type="pct"/>
            <w:vMerge w:val="continue"/>
            <w:shd w:val="clear" w:color="auto" w:fill="auto"/>
            <w:vAlign w:val="center"/>
          </w:tcPr>
          <w:p w14:paraId="5A6D62E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r>
      <w:tr w14:paraId="1945A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continue"/>
            <w:shd w:val="clear" w:color="auto" w:fill="auto"/>
            <w:vAlign w:val="center"/>
          </w:tcPr>
          <w:p w14:paraId="1E08771A">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70" w:type="pct"/>
            <w:vMerge w:val="continue"/>
            <w:shd w:val="clear" w:color="auto" w:fill="auto"/>
            <w:vAlign w:val="center"/>
          </w:tcPr>
          <w:p w14:paraId="077CB857">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04" w:type="pct"/>
            <w:vMerge w:val="continue"/>
            <w:shd w:val="clear" w:color="auto" w:fill="auto"/>
            <w:vAlign w:val="center"/>
          </w:tcPr>
          <w:p w14:paraId="520F852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139" w:type="pct"/>
            <w:vMerge w:val="continue"/>
            <w:shd w:val="clear" w:color="auto" w:fill="auto"/>
            <w:vAlign w:val="center"/>
          </w:tcPr>
          <w:p w14:paraId="04609AC8">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141" w:type="pct"/>
            <w:shd w:val="clear" w:color="auto" w:fill="auto"/>
            <w:vAlign w:val="center"/>
          </w:tcPr>
          <w:p w14:paraId="2D21B93D">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甲醛</w:t>
            </w:r>
          </w:p>
        </w:tc>
        <w:tc>
          <w:tcPr>
            <w:tcW w:w="270" w:type="pct"/>
            <w:shd w:val="clear" w:color="auto" w:fill="auto"/>
            <w:vAlign w:val="center"/>
          </w:tcPr>
          <w:p w14:paraId="7ABF9670">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71" w:type="dxa"/>
            <w:shd w:val="clear" w:color="auto" w:fill="auto"/>
            <w:vAlign w:val="center"/>
          </w:tcPr>
          <w:p w14:paraId="0CE15D34">
            <w:pPr>
              <w:keepNext w:val="0"/>
              <w:keepLines w:val="0"/>
              <w:widowControl/>
              <w:suppressLineNumbers w:val="0"/>
              <w:jc w:val="both"/>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0.0001 </w:t>
            </w:r>
          </w:p>
        </w:tc>
        <w:tc>
          <w:tcPr>
            <w:tcW w:w="885" w:type="dxa"/>
            <w:shd w:val="clear" w:color="auto" w:fill="auto"/>
            <w:vAlign w:val="center"/>
          </w:tcPr>
          <w:p w14:paraId="333C0454">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0.0819</w:t>
            </w:r>
          </w:p>
        </w:tc>
        <w:tc>
          <w:tcPr>
            <w:tcW w:w="265" w:type="pct"/>
            <w:vMerge w:val="continue"/>
            <w:shd w:val="clear" w:color="auto" w:fill="auto"/>
            <w:vAlign w:val="center"/>
          </w:tcPr>
          <w:p w14:paraId="21DB147F">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966" w:type="pct"/>
            <w:gridSpan w:val="2"/>
            <w:vMerge w:val="continue"/>
            <w:shd w:val="clear" w:color="auto" w:fill="auto"/>
            <w:vAlign w:val="center"/>
          </w:tcPr>
          <w:p w14:paraId="40E60F5E">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11" w:type="pct"/>
            <w:vMerge w:val="continue"/>
            <w:shd w:val="clear" w:color="auto" w:fill="auto"/>
            <w:vAlign w:val="center"/>
          </w:tcPr>
          <w:p w14:paraId="24479BB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43" w:type="pct"/>
            <w:shd w:val="clear" w:color="auto" w:fill="auto"/>
            <w:vAlign w:val="center"/>
          </w:tcPr>
          <w:p w14:paraId="5F93E5AC">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w:t>
            </w:r>
          </w:p>
        </w:tc>
        <w:tc>
          <w:tcPr>
            <w:tcW w:w="1181" w:type="dxa"/>
            <w:shd w:val="clear" w:color="auto" w:fill="auto"/>
            <w:vAlign w:val="center"/>
          </w:tcPr>
          <w:p w14:paraId="51C8C021">
            <w:pPr>
              <w:keepNext w:val="0"/>
              <w:keepLines w:val="0"/>
              <w:widowControl/>
              <w:suppressLineNumbers w:val="0"/>
              <w:jc w:val="both"/>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0.0001 </w:t>
            </w:r>
          </w:p>
        </w:tc>
        <w:tc>
          <w:tcPr>
            <w:tcW w:w="955" w:type="dxa"/>
            <w:shd w:val="clear" w:color="auto" w:fill="auto"/>
            <w:vAlign w:val="center"/>
          </w:tcPr>
          <w:p w14:paraId="138A0096">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0.0819</w:t>
            </w:r>
          </w:p>
        </w:tc>
        <w:tc>
          <w:tcPr>
            <w:tcW w:w="241" w:type="pct"/>
            <w:vMerge w:val="continue"/>
            <w:shd w:val="clear" w:color="auto" w:fill="auto"/>
            <w:vAlign w:val="center"/>
          </w:tcPr>
          <w:p w14:paraId="5C43147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r>
      <w:tr w14:paraId="03BFF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restart"/>
            <w:shd w:val="clear" w:color="auto" w:fill="auto"/>
            <w:vAlign w:val="center"/>
          </w:tcPr>
          <w:p w14:paraId="6764C4C6">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w:t>
            </w:r>
          </w:p>
        </w:tc>
        <w:tc>
          <w:tcPr>
            <w:tcW w:w="270" w:type="pct"/>
            <w:vMerge w:val="restart"/>
            <w:shd w:val="clear" w:color="auto" w:fill="auto"/>
            <w:vAlign w:val="center"/>
          </w:tcPr>
          <w:p w14:paraId="1E46C265">
            <w:pPr>
              <w:keepNext w:val="0"/>
              <w:keepLines w:val="0"/>
              <w:pageBreakBefore w:val="0"/>
              <w:kinsoku/>
              <w:wordWrap/>
              <w:overflowPunct/>
              <w:topLinePunct w:val="0"/>
              <w:autoSpaceDE/>
              <w:autoSpaceDN/>
              <w:bidi w:val="0"/>
              <w:spacing w:line="360" w:lineRule="exact"/>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无机实</w:t>
            </w:r>
          </w:p>
          <w:p w14:paraId="4A120B5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验</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样品消解过程</w:t>
            </w:r>
          </w:p>
        </w:tc>
        <w:tc>
          <w:tcPr>
            <w:tcW w:w="304" w:type="pct"/>
            <w:vMerge w:val="continue"/>
            <w:shd w:val="clear" w:color="auto" w:fill="auto"/>
            <w:vAlign w:val="center"/>
          </w:tcPr>
          <w:p w14:paraId="7C6D1A2D">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80" w:type="pct"/>
            <w:gridSpan w:val="2"/>
            <w:shd w:val="clear" w:color="auto" w:fill="auto"/>
            <w:vAlign w:val="center"/>
          </w:tcPr>
          <w:p w14:paraId="1B3DBBA4">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HCL</w:t>
            </w:r>
          </w:p>
        </w:tc>
        <w:tc>
          <w:tcPr>
            <w:tcW w:w="270" w:type="pct"/>
            <w:shd w:val="clear" w:color="auto" w:fill="auto"/>
            <w:vAlign w:val="center"/>
          </w:tcPr>
          <w:p w14:paraId="5B4662D0">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71" w:type="dxa"/>
            <w:shd w:val="clear" w:color="auto" w:fill="auto"/>
            <w:vAlign w:val="center"/>
          </w:tcPr>
          <w:p w14:paraId="4A0CA2DD">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0.0026 </w:t>
            </w:r>
          </w:p>
        </w:tc>
        <w:tc>
          <w:tcPr>
            <w:tcW w:w="885" w:type="dxa"/>
            <w:shd w:val="clear" w:color="auto" w:fill="auto"/>
            <w:vAlign w:val="center"/>
          </w:tcPr>
          <w:p w14:paraId="762AB2FE">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2.5962</w:t>
            </w:r>
          </w:p>
        </w:tc>
        <w:tc>
          <w:tcPr>
            <w:tcW w:w="265" w:type="pct"/>
            <w:vMerge w:val="continue"/>
            <w:shd w:val="clear" w:color="auto" w:fill="auto"/>
            <w:vAlign w:val="center"/>
          </w:tcPr>
          <w:p w14:paraId="3B56F1EA">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966" w:type="pct"/>
            <w:gridSpan w:val="2"/>
            <w:vMerge w:val="continue"/>
            <w:shd w:val="clear" w:color="auto" w:fill="auto"/>
            <w:vAlign w:val="center"/>
          </w:tcPr>
          <w:p w14:paraId="1B05AF1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11" w:type="pct"/>
            <w:vMerge w:val="continue"/>
            <w:shd w:val="clear" w:color="auto" w:fill="auto"/>
            <w:vAlign w:val="center"/>
          </w:tcPr>
          <w:p w14:paraId="7C6A471F">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43" w:type="pct"/>
            <w:shd w:val="clear" w:color="auto" w:fill="auto"/>
            <w:vAlign w:val="center"/>
          </w:tcPr>
          <w:p w14:paraId="53D50ED7">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81" w:type="dxa"/>
            <w:shd w:val="clear" w:color="auto" w:fill="auto"/>
            <w:vAlign w:val="center"/>
          </w:tcPr>
          <w:p w14:paraId="476D6E25">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0.0026 </w:t>
            </w:r>
          </w:p>
        </w:tc>
        <w:tc>
          <w:tcPr>
            <w:tcW w:w="955" w:type="dxa"/>
            <w:shd w:val="clear" w:color="auto" w:fill="auto"/>
            <w:vAlign w:val="center"/>
          </w:tcPr>
          <w:p w14:paraId="5A17C3DF">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2.5962</w:t>
            </w:r>
          </w:p>
        </w:tc>
        <w:tc>
          <w:tcPr>
            <w:tcW w:w="241" w:type="pct"/>
            <w:vMerge w:val="restart"/>
            <w:shd w:val="clear" w:color="auto" w:fill="auto"/>
            <w:vAlign w:val="center"/>
          </w:tcPr>
          <w:p w14:paraId="0ADC246C">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1000</w:t>
            </w:r>
          </w:p>
        </w:tc>
      </w:tr>
      <w:tr w14:paraId="4F75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continue"/>
            <w:shd w:val="clear" w:color="auto" w:fill="auto"/>
            <w:vAlign w:val="center"/>
          </w:tcPr>
          <w:p w14:paraId="316F4A1C">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270" w:type="pct"/>
            <w:vMerge w:val="continue"/>
            <w:shd w:val="clear" w:color="auto" w:fill="auto"/>
            <w:vAlign w:val="center"/>
          </w:tcPr>
          <w:p w14:paraId="7FA21330">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eastAsia="zh-CN"/>
              </w:rPr>
            </w:pPr>
          </w:p>
        </w:tc>
        <w:tc>
          <w:tcPr>
            <w:tcW w:w="304" w:type="pct"/>
            <w:vMerge w:val="continue"/>
            <w:shd w:val="clear" w:color="auto" w:fill="auto"/>
            <w:vAlign w:val="center"/>
          </w:tcPr>
          <w:p w14:paraId="3A65520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80" w:type="pct"/>
            <w:gridSpan w:val="2"/>
            <w:shd w:val="clear" w:color="auto" w:fill="auto"/>
            <w:vAlign w:val="center"/>
          </w:tcPr>
          <w:p w14:paraId="2D8AF082">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硫酸雾</w:t>
            </w:r>
          </w:p>
        </w:tc>
        <w:tc>
          <w:tcPr>
            <w:tcW w:w="270" w:type="pct"/>
            <w:shd w:val="clear" w:color="auto" w:fill="auto"/>
            <w:vAlign w:val="center"/>
          </w:tcPr>
          <w:p w14:paraId="060A4B10">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71" w:type="dxa"/>
            <w:shd w:val="clear" w:color="auto" w:fill="auto"/>
            <w:vAlign w:val="center"/>
          </w:tcPr>
          <w:p w14:paraId="0390E85B">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0.0098 </w:t>
            </w:r>
          </w:p>
        </w:tc>
        <w:tc>
          <w:tcPr>
            <w:tcW w:w="885" w:type="dxa"/>
            <w:shd w:val="clear" w:color="auto" w:fill="auto"/>
            <w:vAlign w:val="center"/>
          </w:tcPr>
          <w:p w14:paraId="35E68AC5">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9.7888</w:t>
            </w:r>
          </w:p>
        </w:tc>
        <w:tc>
          <w:tcPr>
            <w:tcW w:w="265" w:type="pct"/>
            <w:vMerge w:val="continue"/>
            <w:shd w:val="clear" w:color="auto" w:fill="auto"/>
            <w:vAlign w:val="center"/>
          </w:tcPr>
          <w:p w14:paraId="13B82E06">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966" w:type="pct"/>
            <w:gridSpan w:val="2"/>
            <w:vMerge w:val="continue"/>
            <w:shd w:val="clear" w:color="auto" w:fill="auto"/>
            <w:vAlign w:val="center"/>
          </w:tcPr>
          <w:p w14:paraId="5E7E72C0">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11" w:type="pct"/>
            <w:vMerge w:val="continue"/>
            <w:shd w:val="clear" w:color="auto" w:fill="auto"/>
            <w:vAlign w:val="center"/>
          </w:tcPr>
          <w:p w14:paraId="457AFC90">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43" w:type="pct"/>
            <w:shd w:val="clear" w:color="auto" w:fill="auto"/>
            <w:vAlign w:val="center"/>
          </w:tcPr>
          <w:p w14:paraId="1A473492">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81" w:type="dxa"/>
            <w:shd w:val="clear" w:color="auto" w:fill="auto"/>
            <w:vAlign w:val="center"/>
          </w:tcPr>
          <w:p w14:paraId="39B60F51">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0.0098 </w:t>
            </w:r>
          </w:p>
        </w:tc>
        <w:tc>
          <w:tcPr>
            <w:tcW w:w="955" w:type="dxa"/>
            <w:shd w:val="clear" w:color="auto" w:fill="auto"/>
            <w:vAlign w:val="center"/>
          </w:tcPr>
          <w:p w14:paraId="6A8A23DF">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9.7888</w:t>
            </w:r>
          </w:p>
        </w:tc>
        <w:tc>
          <w:tcPr>
            <w:tcW w:w="241" w:type="pct"/>
            <w:vMerge w:val="continue"/>
            <w:shd w:val="clear" w:color="auto" w:fill="auto"/>
            <w:vAlign w:val="center"/>
          </w:tcPr>
          <w:p w14:paraId="072D8568">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r>
      <w:tr w14:paraId="3581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continue"/>
            <w:shd w:val="clear" w:color="auto" w:fill="auto"/>
            <w:vAlign w:val="center"/>
          </w:tcPr>
          <w:p w14:paraId="6E0BFA1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270" w:type="pct"/>
            <w:vMerge w:val="continue"/>
            <w:shd w:val="clear" w:color="auto" w:fill="auto"/>
            <w:vAlign w:val="center"/>
          </w:tcPr>
          <w:p w14:paraId="354717D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04" w:type="pct"/>
            <w:vMerge w:val="continue"/>
            <w:shd w:val="clear" w:color="auto" w:fill="auto"/>
            <w:vAlign w:val="center"/>
          </w:tcPr>
          <w:p w14:paraId="14D9309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80" w:type="pct"/>
            <w:gridSpan w:val="2"/>
            <w:shd w:val="clear" w:color="auto" w:fill="auto"/>
            <w:vAlign w:val="center"/>
          </w:tcPr>
          <w:p w14:paraId="744C533B">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NOx</w:t>
            </w:r>
          </w:p>
        </w:tc>
        <w:tc>
          <w:tcPr>
            <w:tcW w:w="270" w:type="pct"/>
            <w:shd w:val="clear" w:color="auto" w:fill="auto"/>
            <w:vAlign w:val="center"/>
          </w:tcPr>
          <w:p w14:paraId="2A7BDD97">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71" w:type="dxa"/>
            <w:shd w:val="clear" w:color="auto" w:fill="auto"/>
            <w:vAlign w:val="center"/>
          </w:tcPr>
          <w:p w14:paraId="46590519">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0.0021 </w:t>
            </w:r>
          </w:p>
        </w:tc>
        <w:tc>
          <w:tcPr>
            <w:tcW w:w="885" w:type="dxa"/>
            <w:shd w:val="clear" w:color="auto" w:fill="auto"/>
            <w:vAlign w:val="center"/>
          </w:tcPr>
          <w:p w14:paraId="4B4EC459">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2.1</w:t>
            </w:r>
          </w:p>
        </w:tc>
        <w:tc>
          <w:tcPr>
            <w:tcW w:w="265" w:type="pct"/>
            <w:vMerge w:val="continue"/>
            <w:shd w:val="clear" w:color="auto" w:fill="auto"/>
            <w:vAlign w:val="center"/>
          </w:tcPr>
          <w:p w14:paraId="68CB0A3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966" w:type="pct"/>
            <w:gridSpan w:val="2"/>
            <w:vMerge w:val="continue"/>
            <w:shd w:val="clear" w:color="auto" w:fill="auto"/>
            <w:vAlign w:val="center"/>
          </w:tcPr>
          <w:p w14:paraId="3D618C0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11" w:type="pct"/>
            <w:vMerge w:val="continue"/>
            <w:shd w:val="clear" w:color="auto" w:fill="auto"/>
            <w:vAlign w:val="center"/>
          </w:tcPr>
          <w:p w14:paraId="28F193BA">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43" w:type="pct"/>
            <w:shd w:val="clear" w:color="auto" w:fill="auto"/>
            <w:vAlign w:val="center"/>
          </w:tcPr>
          <w:p w14:paraId="647A1564">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1181" w:type="dxa"/>
            <w:shd w:val="clear" w:color="auto" w:fill="auto"/>
            <w:vAlign w:val="center"/>
          </w:tcPr>
          <w:p w14:paraId="2935E221">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 xml:space="preserve">0.0021 </w:t>
            </w:r>
          </w:p>
        </w:tc>
        <w:tc>
          <w:tcPr>
            <w:tcW w:w="955" w:type="dxa"/>
            <w:shd w:val="clear" w:color="auto" w:fill="auto"/>
            <w:vAlign w:val="center"/>
          </w:tcPr>
          <w:p w14:paraId="56D0BB73">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2.1</w:t>
            </w:r>
          </w:p>
        </w:tc>
        <w:tc>
          <w:tcPr>
            <w:tcW w:w="241" w:type="pct"/>
            <w:vMerge w:val="continue"/>
            <w:shd w:val="clear" w:color="auto" w:fill="auto"/>
            <w:vAlign w:val="center"/>
          </w:tcPr>
          <w:p w14:paraId="39267841">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r>
      <w:tr w14:paraId="2F04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65" w:type="pct"/>
            <w:vMerge w:val="continue"/>
            <w:shd w:val="clear" w:color="auto" w:fill="auto"/>
            <w:vAlign w:val="center"/>
          </w:tcPr>
          <w:p w14:paraId="197BBAA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lang w:val="en-US" w:eastAsia="zh-CN"/>
              </w:rPr>
            </w:pPr>
          </w:p>
        </w:tc>
        <w:tc>
          <w:tcPr>
            <w:tcW w:w="270" w:type="pct"/>
            <w:vMerge w:val="continue"/>
            <w:shd w:val="clear" w:color="auto" w:fill="auto"/>
            <w:vAlign w:val="center"/>
          </w:tcPr>
          <w:p w14:paraId="7FF657D4">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04" w:type="pct"/>
            <w:vMerge w:val="continue"/>
            <w:shd w:val="clear" w:color="auto" w:fill="auto"/>
            <w:vAlign w:val="center"/>
          </w:tcPr>
          <w:p w14:paraId="268B2079">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280" w:type="pct"/>
            <w:gridSpan w:val="2"/>
            <w:shd w:val="clear" w:color="auto" w:fill="auto"/>
            <w:vAlign w:val="center"/>
          </w:tcPr>
          <w:p w14:paraId="0125CAE8">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氨</w:t>
            </w:r>
          </w:p>
        </w:tc>
        <w:tc>
          <w:tcPr>
            <w:tcW w:w="270" w:type="pct"/>
            <w:shd w:val="clear" w:color="auto" w:fill="auto"/>
            <w:vAlign w:val="center"/>
          </w:tcPr>
          <w:p w14:paraId="466ABED7">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171" w:type="dxa"/>
            <w:shd w:val="clear" w:color="auto" w:fill="auto"/>
            <w:vAlign w:val="center"/>
          </w:tcPr>
          <w:p w14:paraId="585C1914">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0.0020 </w:t>
            </w:r>
          </w:p>
        </w:tc>
        <w:tc>
          <w:tcPr>
            <w:tcW w:w="885" w:type="dxa"/>
            <w:shd w:val="clear" w:color="auto" w:fill="auto"/>
            <w:vAlign w:val="center"/>
          </w:tcPr>
          <w:p w14:paraId="4462AD25">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2.0384</w:t>
            </w:r>
          </w:p>
        </w:tc>
        <w:tc>
          <w:tcPr>
            <w:tcW w:w="265" w:type="pct"/>
            <w:shd w:val="clear" w:color="auto" w:fill="auto"/>
            <w:vAlign w:val="center"/>
          </w:tcPr>
          <w:p w14:paraId="6E91AB02">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966" w:type="pct"/>
            <w:gridSpan w:val="2"/>
            <w:vMerge w:val="continue"/>
            <w:shd w:val="clear" w:color="auto" w:fill="auto"/>
            <w:vAlign w:val="center"/>
          </w:tcPr>
          <w:p w14:paraId="65DD2818">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11" w:type="pct"/>
            <w:vMerge w:val="continue"/>
            <w:shd w:val="clear" w:color="auto" w:fill="auto"/>
            <w:vAlign w:val="center"/>
          </w:tcPr>
          <w:p w14:paraId="5578D797">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c>
          <w:tcPr>
            <w:tcW w:w="343" w:type="pct"/>
            <w:shd w:val="clear" w:color="auto" w:fill="auto"/>
            <w:vAlign w:val="center"/>
          </w:tcPr>
          <w:p w14:paraId="09E15D34">
            <w:pPr>
              <w:pStyle w:val="19"/>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w:t>
            </w:r>
          </w:p>
        </w:tc>
        <w:tc>
          <w:tcPr>
            <w:tcW w:w="1181" w:type="dxa"/>
            <w:shd w:val="clear" w:color="auto" w:fill="auto"/>
            <w:vAlign w:val="center"/>
          </w:tcPr>
          <w:p w14:paraId="44876DED">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0.0020 </w:t>
            </w:r>
          </w:p>
        </w:tc>
        <w:tc>
          <w:tcPr>
            <w:tcW w:w="955" w:type="dxa"/>
            <w:shd w:val="clear" w:color="auto" w:fill="auto"/>
            <w:vAlign w:val="center"/>
          </w:tcPr>
          <w:p w14:paraId="5F1BED7A">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2.0384</w:t>
            </w:r>
          </w:p>
        </w:tc>
        <w:tc>
          <w:tcPr>
            <w:tcW w:w="241" w:type="pct"/>
            <w:vMerge w:val="continue"/>
            <w:shd w:val="clear" w:color="auto" w:fill="auto"/>
            <w:vAlign w:val="center"/>
          </w:tcPr>
          <w:p w14:paraId="21971EA3">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color w:val="auto"/>
                <w:sz w:val="18"/>
                <w:szCs w:val="18"/>
              </w:rPr>
            </w:pPr>
          </w:p>
        </w:tc>
      </w:tr>
    </w:tbl>
    <w:p w14:paraId="580B3DB9">
      <w:pPr>
        <w:keepNext w:val="0"/>
        <w:keepLines w:val="0"/>
        <w:pageBreakBefore w:val="0"/>
        <w:kinsoku/>
        <w:wordWrap/>
        <w:overflowPunct/>
        <w:topLinePunct w:val="0"/>
        <w:autoSpaceDE/>
        <w:autoSpaceDN/>
        <w:bidi w:val="0"/>
        <w:spacing w:line="360" w:lineRule="exact"/>
        <w:rPr>
          <w:rFonts w:hint="default" w:ascii="Times New Roman" w:hAnsi="Times New Roman" w:eastAsia="宋体" w:cs="Times New Roman"/>
          <w:color w:val="auto"/>
          <w:sz w:val="18"/>
          <w:szCs w:val="18"/>
        </w:rPr>
        <w:sectPr>
          <w:pgSz w:w="16838" w:h="11906" w:orient="landscape"/>
          <w:pgMar w:top="1800" w:right="1440" w:bottom="1800" w:left="1440" w:header="851" w:footer="992" w:gutter="0"/>
          <w:pgNumType w:fmt="decimal"/>
          <w:cols w:space="425" w:num="1"/>
          <w:docGrid w:type="lines" w:linePitch="312" w:charSpace="0"/>
        </w:sectPr>
      </w:pPr>
    </w:p>
    <w:tbl>
      <w:tblPr>
        <w:tblStyle w:val="20"/>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238"/>
      </w:tblGrid>
      <w:tr w14:paraId="7B2503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670" w:type="dxa"/>
            <w:noWrap w:val="0"/>
            <w:tcMar>
              <w:left w:w="28" w:type="dxa"/>
              <w:right w:w="28" w:type="dxa"/>
            </w:tcMar>
            <w:vAlign w:val="center"/>
          </w:tcPr>
          <w:p w14:paraId="0D068C1A">
            <w:pPr>
              <w:adjustRightInd w:val="0"/>
              <w:snapToGrid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运营</w:t>
            </w:r>
          </w:p>
          <w:p w14:paraId="51566E4E">
            <w:pPr>
              <w:adjustRightInd w:val="0"/>
              <w:snapToGrid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期环</w:t>
            </w:r>
          </w:p>
          <w:p w14:paraId="4048B0B5">
            <w:pPr>
              <w:adjustRightInd w:val="0"/>
              <w:snapToGrid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境影</w:t>
            </w:r>
          </w:p>
          <w:p w14:paraId="41F3BE38">
            <w:pPr>
              <w:adjustRightInd w:val="0"/>
              <w:snapToGrid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响和</w:t>
            </w:r>
          </w:p>
          <w:p w14:paraId="4C9A806E">
            <w:pPr>
              <w:adjustRightInd w:val="0"/>
              <w:snapToGrid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保护</w:t>
            </w:r>
          </w:p>
          <w:p w14:paraId="573C20D1">
            <w:pPr>
              <w:adjustRightInd w:val="0"/>
              <w:snapToGrid w:val="0"/>
              <w:spacing w:line="360" w:lineRule="auto"/>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措施</w:t>
            </w:r>
          </w:p>
        </w:tc>
        <w:tc>
          <w:tcPr>
            <w:tcW w:w="8238" w:type="dxa"/>
            <w:noWrap w:val="0"/>
            <w:vAlign w:val="top"/>
          </w:tcPr>
          <w:p w14:paraId="4E8ABDAC">
            <w:pPr>
              <w:spacing w:line="360" w:lineRule="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1.2废气达标评价</w:t>
            </w:r>
          </w:p>
          <w:p w14:paraId="7333C065">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（1）有组织废气</w:t>
            </w:r>
          </w:p>
          <w:p w14:paraId="1FF8AE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根据工程分析核算，项目有组织废气达标判定情况见下表。</w:t>
            </w:r>
          </w:p>
          <w:p w14:paraId="0EB469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lang w:val="en-US" w:eastAsia="zh-CN"/>
              </w:rPr>
              <w:t>表4-6  有组织度气达标判断一览表</w:t>
            </w:r>
          </w:p>
          <w:tbl>
            <w:tblPr>
              <w:tblStyle w:val="21"/>
              <w:tblW w:w="7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67"/>
              <w:gridCol w:w="764"/>
              <w:gridCol w:w="1165"/>
              <w:gridCol w:w="1025"/>
              <w:gridCol w:w="1011"/>
              <w:gridCol w:w="991"/>
              <w:gridCol w:w="877"/>
              <w:gridCol w:w="601"/>
            </w:tblGrid>
            <w:tr w14:paraId="2474F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14:paraId="065DE1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排气筒编号</w:t>
                  </w:r>
                </w:p>
              </w:tc>
              <w:tc>
                <w:tcPr>
                  <w:tcW w:w="1131" w:type="dxa"/>
                  <w:gridSpan w:val="2"/>
                  <w:vMerge w:val="restart"/>
                  <w:vAlign w:val="center"/>
                </w:tcPr>
                <w:p w14:paraId="5E7A53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污染物名称</w:t>
                  </w:r>
                </w:p>
              </w:tc>
              <w:tc>
                <w:tcPr>
                  <w:tcW w:w="3201" w:type="dxa"/>
                  <w:gridSpan w:val="3"/>
                  <w:vAlign w:val="center"/>
                </w:tcPr>
                <w:p w14:paraId="6CDF46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排放情况</w:t>
                  </w:r>
                </w:p>
              </w:tc>
              <w:tc>
                <w:tcPr>
                  <w:tcW w:w="1868" w:type="dxa"/>
                  <w:gridSpan w:val="2"/>
                  <w:vAlign w:val="center"/>
                </w:tcPr>
                <w:p w14:paraId="7C04D9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执行标准</w:t>
                  </w:r>
                </w:p>
              </w:tc>
              <w:tc>
                <w:tcPr>
                  <w:tcW w:w="601" w:type="dxa"/>
                  <w:vMerge w:val="restart"/>
                  <w:vAlign w:val="center"/>
                </w:tcPr>
                <w:p w14:paraId="03E09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达标判断</w:t>
                  </w:r>
                </w:p>
              </w:tc>
            </w:tr>
            <w:tr w14:paraId="50721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678D5A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131" w:type="dxa"/>
                  <w:gridSpan w:val="2"/>
                  <w:vMerge w:val="continue"/>
                  <w:vAlign w:val="center"/>
                </w:tcPr>
                <w:p w14:paraId="2CCCD2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165" w:type="dxa"/>
                  <w:vAlign w:val="center"/>
                </w:tcPr>
                <w:p w14:paraId="7E6F20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浓度mg/m³</w:t>
                  </w:r>
                </w:p>
              </w:tc>
              <w:tc>
                <w:tcPr>
                  <w:tcW w:w="1025" w:type="dxa"/>
                  <w:vAlign w:val="center"/>
                </w:tcPr>
                <w:p w14:paraId="24D2B9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速率kg/h</w:t>
                  </w:r>
                </w:p>
              </w:tc>
              <w:tc>
                <w:tcPr>
                  <w:tcW w:w="1011" w:type="dxa"/>
                  <w:vAlign w:val="center"/>
                </w:tcPr>
                <w:p w14:paraId="692A69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风量</w:t>
                  </w:r>
                </w:p>
              </w:tc>
              <w:tc>
                <w:tcPr>
                  <w:tcW w:w="991" w:type="dxa"/>
                  <w:vAlign w:val="center"/>
                </w:tcPr>
                <w:p w14:paraId="4385EF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排放浓度mg/m³</w:t>
                  </w:r>
                </w:p>
              </w:tc>
              <w:tc>
                <w:tcPr>
                  <w:tcW w:w="877" w:type="dxa"/>
                  <w:vAlign w:val="center"/>
                </w:tcPr>
                <w:p w14:paraId="477A8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b/>
                      <w:bCs/>
                      <w:color w:val="auto"/>
                      <w:sz w:val="18"/>
                      <w:szCs w:val="18"/>
                      <w:vertAlign w:val="baseline"/>
                      <w:lang w:val="en-US" w:eastAsia="zh-CN"/>
                    </w:rPr>
                    <w:t>排放速率kg/h</w:t>
                  </w:r>
                </w:p>
              </w:tc>
              <w:tc>
                <w:tcPr>
                  <w:tcW w:w="601" w:type="dxa"/>
                  <w:vMerge w:val="continue"/>
                  <w:vAlign w:val="center"/>
                </w:tcPr>
                <w:p w14:paraId="2E86ABC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r>
            <w:tr w14:paraId="257D4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restart"/>
                  <w:vAlign w:val="center"/>
                </w:tcPr>
                <w:p w14:paraId="732A02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DA001</w:t>
                  </w:r>
                </w:p>
              </w:tc>
              <w:tc>
                <w:tcPr>
                  <w:tcW w:w="1131" w:type="dxa"/>
                  <w:gridSpan w:val="2"/>
                  <w:vAlign w:val="center"/>
                </w:tcPr>
                <w:p w14:paraId="06665E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非甲烷总烃</w:t>
                  </w:r>
                </w:p>
              </w:tc>
              <w:tc>
                <w:tcPr>
                  <w:tcW w:w="1165" w:type="dxa"/>
                  <w:vAlign w:val="center"/>
                </w:tcPr>
                <w:p w14:paraId="004974E5">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0.395</w:t>
                  </w:r>
                </w:p>
              </w:tc>
              <w:tc>
                <w:tcPr>
                  <w:tcW w:w="1025" w:type="dxa"/>
                  <w:vAlign w:val="center"/>
                </w:tcPr>
                <w:p w14:paraId="3674CE44">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0.0079 </w:t>
                  </w:r>
                </w:p>
              </w:tc>
              <w:tc>
                <w:tcPr>
                  <w:tcW w:w="1011" w:type="dxa"/>
                  <w:vMerge w:val="restart"/>
                  <w:vAlign w:val="center"/>
                </w:tcPr>
                <w:p w14:paraId="4305D9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20000m</w:t>
                  </w:r>
                  <w:r>
                    <w:rPr>
                      <w:rFonts w:hint="default" w:ascii="Times New Roman" w:hAnsi="Times New Roman" w:eastAsia="宋体" w:cs="Times New Roman"/>
                      <w:color w:val="auto"/>
                      <w:sz w:val="18"/>
                      <w:szCs w:val="18"/>
                      <w:vertAlign w:val="superscript"/>
                      <w:lang w:val="en-US" w:eastAsia="zh-CN"/>
                    </w:rPr>
                    <w:t>3</w:t>
                  </w:r>
                  <w:r>
                    <w:rPr>
                      <w:rFonts w:hint="default" w:ascii="Times New Roman" w:hAnsi="Times New Roman" w:eastAsia="宋体" w:cs="Times New Roman"/>
                      <w:color w:val="auto"/>
                      <w:sz w:val="18"/>
                      <w:szCs w:val="18"/>
                      <w:vertAlign w:val="baseline"/>
                      <w:lang w:val="en-US" w:eastAsia="zh-CN"/>
                    </w:rPr>
                    <w:t>/h</w:t>
                  </w:r>
                </w:p>
              </w:tc>
              <w:tc>
                <w:tcPr>
                  <w:tcW w:w="991" w:type="dxa"/>
                  <w:vAlign w:val="center"/>
                </w:tcPr>
                <w:p w14:paraId="01CB76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120</w:t>
                  </w:r>
                </w:p>
              </w:tc>
              <w:tc>
                <w:tcPr>
                  <w:tcW w:w="877" w:type="dxa"/>
                  <w:vAlign w:val="center"/>
                </w:tcPr>
                <w:p w14:paraId="1C345B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5</w:t>
                  </w:r>
                </w:p>
              </w:tc>
              <w:tc>
                <w:tcPr>
                  <w:tcW w:w="601" w:type="dxa"/>
                  <w:vAlign w:val="center"/>
                </w:tcPr>
                <w:p w14:paraId="1217AC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达标</w:t>
                  </w:r>
                </w:p>
              </w:tc>
            </w:tr>
            <w:tr w14:paraId="1FAB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059B20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367" w:type="dxa"/>
                  <w:vMerge w:val="restart"/>
                  <w:vAlign w:val="center"/>
                </w:tcPr>
                <w:p w14:paraId="713BD9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其中</w:t>
                  </w:r>
                </w:p>
              </w:tc>
              <w:tc>
                <w:tcPr>
                  <w:tcW w:w="764" w:type="dxa"/>
                  <w:vAlign w:val="center"/>
                </w:tcPr>
                <w:p w14:paraId="6D3977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甲醇</w:t>
                  </w:r>
                </w:p>
              </w:tc>
              <w:tc>
                <w:tcPr>
                  <w:tcW w:w="1165" w:type="dxa"/>
                  <w:vAlign w:val="center"/>
                </w:tcPr>
                <w:p w14:paraId="39C4AFA8">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0.04</w:t>
                  </w:r>
                </w:p>
              </w:tc>
              <w:tc>
                <w:tcPr>
                  <w:tcW w:w="1025" w:type="dxa"/>
                  <w:vAlign w:val="center"/>
                </w:tcPr>
                <w:p w14:paraId="2328BF0E">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0.0008 </w:t>
                  </w:r>
                </w:p>
              </w:tc>
              <w:tc>
                <w:tcPr>
                  <w:tcW w:w="1011" w:type="dxa"/>
                  <w:vMerge w:val="continue"/>
                  <w:vAlign w:val="center"/>
                </w:tcPr>
                <w:p w14:paraId="722D06F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991" w:type="dxa"/>
                  <w:vAlign w:val="center"/>
                </w:tcPr>
                <w:p w14:paraId="082964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190</w:t>
                  </w:r>
                </w:p>
              </w:tc>
              <w:tc>
                <w:tcPr>
                  <w:tcW w:w="877" w:type="dxa"/>
                  <w:vAlign w:val="center"/>
                </w:tcPr>
                <w:p w14:paraId="4C6942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2.55</w:t>
                  </w:r>
                </w:p>
              </w:tc>
              <w:tc>
                <w:tcPr>
                  <w:tcW w:w="601" w:type="dxa"/>
                  <w:vAlign w:val="center"/>
                </w:tcPr>
                <w:p w14:paraId="6B88A25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达标</w:t>
                  </w:r>
                </w:p>
              </w:tc>
            </w:tr>
            <w:tr w14:paraId="4808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5E93D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367" w:type="dxa"/>
                  <w:vMerge w:val="continue"/>
                  <w:vAlign w:val="center"/>
                </w:tcPr>
                <w:p w14:paraId="60C5AE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764" w:type="dxa"/>
                  <w:vAlign w:val="center"/>
                </w:tcPr>
                <w:p w14:paraId="7C7B2D9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甲醛</w:t>
                  </w:r>
                </w:p>
              </w:tc>
              <w:tc>
                <w:tcPr>
                  <w:tcW w:w="1165" w:type="dxa"/>
                  <w:vAlign w:val="center"/>
                </w:tcPr>
                <w:p w14:paraId="58972E08">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0.005</w:t>
                  </w:r>
                </w:p>
              </w:tc>
              <w:tc>
                <w:tcPr>
                  <w:tcW w:w="1025" w:type="dxa"/>
                  <w:vAlign w:val="center"/>
                </w:tcPr>
                <w:p w14:paraId="62A09DFB">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0.0001 </w:t>
                  </w:r>
                </w:p>
              </w:tc>
              <w:tc>
                <w:tcPr>
                  <w:tcW w:w="1011" w:type="dxa"/>
                  <w:vMerge w:val="continue"/>
                  <w:vAlign w:val="center"/>
                </w:tcPr>
                <w:p w14:paraId="62B975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991" w:type="dxa"/>
                  <w:vAlign w:val="center"/>
                </w:tcPr>
                <w:p w14:paraId="319715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25</w:t>
                  </w:r>
                </w:p>
              </w:tc>
              <w:tc>
                <w:tcPr>
                  <w:tcW w:w="877" w:type="dxa"/>
                  <w:vAlign w:val="center"/>
                </w:tcPr>
                <w:p w14:paraId="2F16A8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0.13</w:t>
                  </w:r>
                </w:p>
              </w:tc>
              <w:tc>
                <w:tcPr>
                  <w:tcW w:w="601" w:type="dxa"/>
                  <w:vAlign w:val="center"/>
                </w:tcPr>
                <w:p w14:paraId="3CE13E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达标</w:t>
                  </w:r>
                </w:p>
              </w:tc>
            </w:tr>
            <w:tr w14:paraId="2E2D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7785FB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1131" w:type="dxa"/>
                  <w:gridSpan w:val="2"/>
                  <w:vAlign w:val="center"/>
                </w:tcPr>
                <w:p w14:paraId="38254403">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HCL</w:t>
                  </w:r>
                </w:p>
              </w:tc>
              <w:tc>
                <w:tcPr>
                  <w:tcW w:w="1165" w:type="dxa"/>
                  <w:vAlign w:val="center"/>
                </w:tcPr>
                <w:p w14:paraId="1CBA44B3">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0.06</w:t>
                  </w:r>
                </w:p>
              </w:tc>
              <w:tc>
                <w:tcPr>
                  <w:tcW w:w="1025" w:type="dxa"/>
                  <w:vAlign w:val="center"/>
                </w:tcPr>
                <w:p w14:paraId="5731432A">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0.0012 </w:t>
                  </w:r>
                </w:p>
              </w:tc>
              <w:tc>
                <w:tcPr>
                  <w:tcW w:w="1011" w:type="dxa"/>
                  <w:vMerge w:val="continue"/>
                  <w:vAlign w:val="center"/>
                </w:tcPr>
                <w:p w14:paraId="43EADD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991" w:type="dxa"/>
                  <w:vAlign w:val="center"/>
                </w:tcPr>
                <w:p w14:paraId="0E15D8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100</w:t>
                  </w:r>
                </w:p>
              </w:tc>
              <w:tc>
                <w:tcPr>
                  <w:tcW w:w="877" w:type="dxa"/>
                  <w:vAlign w:val="center"/>
                </w:tcPr>
                <w:p w14:paraId="243522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0.13</w:t>
                  </w:r>
                </w:p>
              </w:tc>
              <w:tc>
                <w:tcPr>
                  <w:tcW w:w="601" w:type="dxa"/>
                  <w:vAlign w:val="center"/>
                </w:tcPr>
                <w:p w14:paraId="0954F8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达标</w:t>
                  </w:r>
                </w:p>
              </w:tc>
            </w:tr>
            <w:tr w14:paraId="41D7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19F8DA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1131" w:type="dxa"/>
                  <w:gridSpan w:val="2"/>
                  <w:vAlign w:val="center"/>
                </w:tcPr>
                <w:p w14:paraId="4E0AE106">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硫酸雾</w:t>
                  </w:r>
                </w:p>
              </w:tc>
              <w:tc>
                <w:tcPr>
                  <w:tcW w:w="1165" w:type="dxa"/>
                  <w:vAlign w:val="center"/>
                </w:tcPr>
                <w:p w14:paraId="1CFAA5D7">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0.225 </w:t>
                  </w:r>
                </w:p>
              </w:tc>
              <w:tc>
                <w:tcPr>
                  <w:tcW w:w="1025" w:type="dxa"/>
                  <w:vAlign w:val="center"/>
                </w:tcPr>
                <w:p w14:paraId="0124401C">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0.0045 </w:t>
                  </w:r>
                </w:p>
              </w:tc>
              <w:tc>
                <w:tcPr>
                  <w:tcW w:w="1011" w:type="dxa"/>
                  <w:vMerge w:val="continue"/>
                  <w:vAlign w:val="center"/>
                </w:tcPr>
                <w:p w14:paraId="7D14B0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991" w:type="dxa"/>
                  <w:vAlign w:val="center"/>
                </w:tcPr>
                <w:p w14:paraId="4F701A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45</w:t>
                  </w:r>
                </w:p>
              </w:tc>
              <w:tc>
                <w:tcPr>
                  <w:tcW w:w="877" w:type="dxa"/>
                  <w:vAlign w:val="center"/>
                </w:tcPr>
                <w:p w14:paraId="3E72D8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0.75</w:t>
                  </w:r>
                </w:p>
              </w:tc>
              <w:tc>
                <w:tcPr>
                  <w:tcW w:w="601" w:type="dxa"/>
                  <w:vAlign w:val="center"/>
                </w:tcPr>
                <w:p w14:paraId="49D9F2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达标</w:t>
                  </w:r>
                </w:p>
              </w:tc>
            </w:tr>
            <w:tr w14:paraId="0E4C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154B17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1131" w:type="dxa"/>
                  <w:gridSpan w:val="2"/>
                  <w:vAlign w:val="center"/>
                </w:tcPr>
                <w:p w14:paraId="55C9DE80">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rPr>
                    <w:t>NOx</w:t>
                  </w:r>
                </w:p>
              </w:tc>
              <w:tc>
                <w:tcPr>
                  <w:tcW w:w="1165" w:type="dxa"/>
                  <w:vAlign w:val="center"/>
                </w:tcPr>
                <w:p w14:paraId="3AD623ED">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0.195</w:t>
                  </w:r>
                </w:p>
              </w:tc>
              <w:tc>
                <w:tcPr>
                  <w:tcW w:w="1025" w:type="dxa"/>
                  <w:vAlign w:val="center"/>
                </w:tcPr>
                <w:p w14:paraId="5159E62D">
                  <w:pPr>
                    <w:keepNext w:val="0"/>
                    <w:keepLines w:val="0"/>
                    <w:widowControl/>
                    <w:suppressLineNumbers w:val="0"/>
                    <w:jc w:val="center"/>
                    <w:textAlignment w:val="center"/>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0.0039 </w:t>
                  </w:r>
                </w:p>
              </w:tc>
              <w:tc>
                <w:tcPr>
                  <w:tcW w:w="1011" w:type="dxa"/>
                  <w:vMerge w:val="continue"/>
                  <w:vAlign w:val="center"/>
                </w:tcPr>
                <w:p w14:paraId="29BFFEB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991" w:type="dxa"/>
                  <w:vAlign w:val="center"/>
                </w:tcPr>
                <w:p w14:paraId="3445D8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240</w:t>
                  </w:r>
                </w:p>
              </w:tc>
              <w:tc>
                <w:tcPr>
                  <w:tcW w:w="877" w:type="dxa"/>
                  <w:vAlign w:val="center"/>
                </w:tcPr>
                <w:p w14:paraId="6CE021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0.385</w:t>
                  </w:r>
                </w:p>
              </w:tc>
              <w:tc>
                <w:tcPr>
                  <w:tcW w:w="601" w:type="dxa"/>
                  <w:vAlign w:val="center"/>
                </w:tcPr>
                <w:p w14:paraId="3149E7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达标</w:t>
                  </w:r>
                </w:p>
              </w:tc>
            </w:tr>
            <w:tr w14:paraId="2273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Merge w:val="continue"/>
                  <w:vAlign w:val="center"/>
                </w:tcPr>
                <w:p w14:paraId="36E2BE6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1131" w:type="dxa"/>
                  <w:gridSpan w:val="2"/>
                  <w:vAlign w:val="center"/>
                </w:tcPr>
                <w:p w14:paraId="2C15B85E">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氨</w:t>
                  </w:r>
                </w:p>
              </w:tc>
              <w:tc>
                <w:tcPr>
                  <w:tcW w:w="1165" w:type="dxa"/>
                  <w:vAlign w:val="center"/>
                </w:tcPr>
                <w:p w14:paraId="3F905C02">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0.19</w:t>
                  </w:r>
                </w:p>
              </w:tc>
              <w:tc>
                <w:tcPr>
                  <w:tcW w:w="1025" w:type="dxa"/>
                  <w:vAlign w:val="center"/>
                </w:tcPr>
                <w:p w14:paraId="7573813E">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0.0038 </w:t>
                  </w:r>
                </w:p>
              </w:tc>
              <w:tc>
                <w:tcPr>
                  <w:tcW w:w="1011" w:type="dxa"/>
                  <w:vMerge w:val="continue"/>
                  <w:vAlign w:val="center"/>
                </w:tcPr>
                <w:p w14:paraId="18B317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p>
              </w:tc>
              <w:tc>
                <w:tcPr>
                  <w:tcW w:w="991" w:type="dxa"/>
                  <w:vAlign w:val="center"/>
                </w:tcPr>
                <w:p w14:paraId="7AF634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877" w:type="dxa"/>
                  <w:vAlign w:val="center"/>
                </w:tcPr>
                <w:p w14:paraId="76F8A4F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4.9</w:t>
                  </w:r>
                </w:p>
              </w:tc>
              <w:tc>
                <w:tcPr>
                  <w:tcW w:w="601" w:type="dxa"/>
                  <w:vAlign w:val="center"/>
                </w:tcPr>
                <w:p w14:paraId="665945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达标</w:t>
                  </w:r>
                </w:p>
              </w:tc>
            </w:tr>
          </w:tbl>
          <w:p w14:paraId="66E45E2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上表本项目产生的挥发性有机废气非甲烷总烃由通风橱、集气罩收集至活性炭吸附装置处理后，非甲烷总烃、甲醇、甲醛等污染物排放均能满足《大气污染物综合排放标准》（GB16297-1996）表2中二级标准有组织排放标准要求；本项目产生的无机</w:t>
            </w:r>
            <w:r>
              <w:rPr>
                <w:rFonts w:hint="eastAsia" w:cs="Times New Roman"/>
                <w:color w:val="auto"/>
                <w:lang w:val="en-US" w:eastAsia="zh-CN"/>
              </w:rPr>
              <w:t>实验</w:t>
            </w:r>
            <w:r>
              <w:rPr>
                <w:rFonts w:hint="default" w:ascii="Times New Roman" w:hAnsi="Times New Roman" w:eastAsia="宋体" w:cs="Times New Roman"/>
                <w:color w:val="auto"/>
                <w:lang w:val="en-US" w:eastAsia="zh-CN"/>
              </w:rPr>
              <w:t>废气氯化氢、硫酸雾、硝酸雾（氮氧化物）</w:t>
            </w:r>
            <w:r>
              <w:rPr>
                <w:rFonts w:hint="eastAsia" w:cs="Times New Roman"/>
                <w:color w:val="auto"/>
                <w:lang w:val="en-US" w:eastAsia="zh-CN"/>
              </w:rPr>
              <w:t>、氨</w:t>
            </w:r>
            <w:r>
              <w:rPr>
                <w:rFonts w:hint="default" w:ascii="Times New Roman" w:hAnsi="Times New Roman" w:eastAsia="宋体" w:cs="Times New Roman"/>
                <w:color w:val="auto"/>
                <w:lang w:val="en-US" w:eastAsia="zh-CN"/>
              </w:rPr>
              <w:t>由通风橱、集气罩收集至</w:t>
            </w:r>
            <w:r>
              <w:rPr>
                <w:rFonts w:hint="eastAsia" w:cs="Times New Roman"/>
                <w:color w:val="auto"/>
                <w:lang w:val="en-US" w:eastAsia="zh-CN"/>
              </w:rPr>
              <w:t>碱液喷淋装置</w:t>
            </w:r>
            <w:r>
              <w:rPr>
                <w:rFonts w:hint="default" w:ascii="Times New Roman" w:hAnsi="Times New Roman" w:eastAsia="宋体" w:cs="Times New Roman"/>
                <w:color w:val="auto"/>
                <w:lang w:val="en-US" w:eastAsia="zh-CN"/>
              </w:rPr>
              <w:t>处理后，氯化氢、硫酸雾、氮氧化物等污染物排放均能满足《大气污染物综合排放标准》（GB16297-1996）表2中二级标准有组织排放标准要求</w:t>
            </w:r>
            <w:r>
              <w:rPr>
                <w:rFonts w:hint="eastAsia" w:cs="Times New Roman"/>
                <w:color w:val="auto"/>
                <w:lang w:val="en-US" w:eastAsia="zh-CN"/>
              </w:rPr>
              <w:t>；氨排放能满足《恶臭污染物排放标准》(GB14554-1993)表2标准限值要求</w:t>
            </w:r>
            <w:r>
              <w:rPr>
                <w:rFonts w:hint="default" w:ascii="Times New Roman" w:hAnsi="Times New Roman" w:eastAsia="宋体" w:cs="Times New Roman"/>
                <w:color w:val="auto"/>
                <w:lang w:val="en-US" w:eastAsia="zh-CN"/>
              </w:rPr>
              <w:t>。本项目产生的有组织废气均可可做到达标排放。</w:t>
            </w:r>
          </w:p>
          <w:p w14:paraId="7C43EFC3">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val="en-US" w:eastAsia="zh-CN"/>
              </w:rPr>
              <w:t>（2）无组织废气</w:t>
            </w:r>
          </w:p>
          <w:p w14:paraId="34D6DDC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①有机实验废气</w:t>
            </w:r>
          </w:p>
          <w:p w14:paraId="0CD877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实验过程中产生的有机实验废气非甲烷总烃经通风橱、集气罩收集后引实验室西南角</w:t>
            </w:r>
            <w:r>
              <w:rPr>
                <w:rFonts w:hint="default" w:ascii="Times New Roman" w:hAnsi="Times New Roman" w:eastAsia="宋体" w:cs="Times New Roman"/>
                <w:color w:val="auto"/>
                <w:sz w:val="21"/>
                <w:szCs w:val="21"/>
                <w:lang w:val="en-US" w:eastAsia="zh-CN"/>
              </w:rPr>
              <w:t>处活性炭吸附装置处理后经15m高</w:t>
            </w:r>
            <w:r>
              <w:rPr>
                <w:rFonts w:hint="eastAsia" w:cs="Times New Roman"/>
                <w:color w:val="auto"/>
                <w:sz w:val="21"/>
                <w:szCs w:val="21"/>
                <w:lang w:val="en-US" w:eastAsia="zh-CN"/>
              </w:rPr>
              <w:t>排气筒</w:t>
            </w:r>
            <w:r>
              <w:rPr>
                <w:rFonts w:hint="default" w:ascii="Times New Roman" w:hAnsi="Times New Roman" w:eastAsia="宋体" w:cs="Times New Roman"/>
                <w:color w:val="auto"/>
                <w:sz w:val="21"/>
                <w:szCs w:val="21"/>
                <w:lang w:val="en-US" w:eastAsia="zh-CN"/>
              </w:rPr>
              <w:t>DA001排放。通风橱、集气罩收集效率约</w:t>
            </w:r>
            <w:r>
              <w:rPr>
                <w:rFonts w:hint="eastAsia" w:cs="Times New Roman"/>
                <w:color w:val="auto"/>
                <w:sz w:val="21"/>
                <w:szCs w:val="21"/>
                <w:lang w:val="en-US" w:eastAsia="zh-CN"/>
              </w:rPr>
              <w:t>65</w:t>
            </w:r>
            <w:r>
              <w:rPr>
                <w:rFonts w:hint="default" w:ascii="Times New Roman" w:hAnsi="Times New Roman" w:eastAsia="宋体" w:cs="Times New Roman"/>
                <w:color w:val="auto"/>
                <w:sz w:val="21"/>
                <w:szCs w:val="21"/>
                <w:lang w:val="en-US" w:eastAsia="zh-CN"/>
              </w:rPr>
              <w:t>%，未收集的</w:t>
            </w:r>
            <w:r>
              <w:rPr>
                <w:rFonts w:hint="eastAsia" w:cs="Times New Roman"/>
                <w:color w:val="auto"/>
                <w:sz w:val="21"/>
                <w:szCs w:val="21"/>
                <w:lang w:val="en-US" w:eastAsia="zh-CN"/>
              </w:rPr>
              <w:t>35</w:t>
            </w:r>
            <w:r>
              <w:rPr>
                <w:rFonts w:hint="default" w:ascii="Times New Roman" w:hAnsi="Times New Roman" w:eastAsia="宋体" w:cs="Times New Roman"/>
                <w:color w:val="auto"/>
                <w:sz w:val="21"/>
                <w:szCs w:val="21"/>
                <w:lang w:val="en-US" w:eastAsia="zh-CN"/>
              </w:rPr>
              <w:t>%有机实验废气呈无组织排放。非甲烷总烃无组织排放量为0.007kg/h、6.9927kg/a，其中，甲醇</w:t>
            </w:r>
            <w:r>
              <w:rPr>
                <w:rFonts w:hint="eastAsia" w:cs="Times New Roman"/>
                <w:color w:val="auto"/>
                <w:sz w:val="21"/>
                <w:szCs w:val="21"/>
                <w:lang w:val="en-US" w:eastAsia="zh-CN"/>
              </w:rPr>
              <w:t>0.0007</w:t>
            </w:r>
            <w:r>
              <w:rPr>
                <w:rFonts w:hint="default" w:ascii="Times New Roman" w:hAnsi="Times New Roman" w:eastAsia="宋体" w:cs="Times New Roman"/>
                <w:color w:val="auto"/>
                <w:sz w:val="21"/>
                <w:szCs w:val="21"/>
                <w:lang w:val="en-US" w:eastAsia="zh-CN"/>
              </w:rPr>
              <w:t>kg/h、0.7212kg/a，甲醛0.000</w:t>
            </w: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kg/h、0.0</w:t>
            </w:r>
            <w:r>
              <w:rPr>
                <w:rFonts w:hint="eastAsia" w:cs="Times New Roman"/>
                <w:color w:val="auto"/>
                <w:sz w:val="21"/>
                <w:szCs w:val="21"/>
                <w:lang w:val="en-US" w:eastAsia="zh-CN"/>
              </w:rPr>
              <w:t>819</w:t>
            </w:r>
            <w:r>
              <w:rPr>
                <w:rFonts w:hint="default" w:ascii="Times New Roman" w:hAnsi="Times New Roman" w:eastAsia="宋体" w:cs="Times New Roman"/>
                <w:color w:val="auto"/>
                <w:sz w:val="21"/>
                <w:szCs w:val="21"/>
                <w:lang w:val="en-US" w:eastAsia="zh-CN"/>
              </w:rPr>
              <w:t>kg/a。排放量较小，经加强通风，大气扩散后无组织排放非甲烷总烃、甲醇、</w:t>
            </w:r>
            <w:r>
              <w:rPr>
                <w:rFonts w:hint="eastAsia" w:ascii="Times New Roman" w:hAnsi="Times New Roman" w:eastAsia="宋体" w:cs="Times New Roman"/>
                <w:color w:val="auto"/>
                <w:sz w:val="21"/>
                <w:szCs w:val="21"/>
                <w:lang w:val="en-US" w:eastAsia="zh-CN"/>
              </w:rPr>
              <w:t>甲醛</w:t>
            </w:r>
            <w:r>
              <w:rPr>
                <w:rFonts w:hint="default" w:ascii="Times New Roman" w:hAnsi="Times New Roman" w:eastAsia="宋体" w:cs="Times New Roman"/>
                <w:color w:val="auto"/>
                <w:sz w:val="21"/>
                <w:szCs w:val="21"/>
                <w:lang w:val="en-US" w:eastAsia="zh-CN"/>
              </w:rPr>
              <w:t>等有机</w:t>
            </w:r>
            <w:r>
              <w:rPr>
                <w:rFonts w:hint="default" w:ascii="Times New Roman" w:hAnsi="Times New Roman" w:eastAsia="宋体" w:cs="Times New Roman"/>
                <w:color w:val="auto"/>
                <w:lang w:val="en-US" w:eastAsia="zh-CN"/>
              </w:rPr>
              <w:t>实验废气排放对周围环境影响较小。</w:t>
            </w:r>
          </w:p>
          <w:p w14:paraId="0B42C6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②无机实验废气</w:t>
            </w:r>
          </w:p>
          <w:p w14:paraId="54715E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实验过程中产生的氯化氢、硫酸雾、氮氧化物</w:t>
            </w:r>
            <w:r>
              <w:rPr>
                <w:rFonts w:hint="eastAsia" w:cs="Times New Roman"/>
                <w:color w:val="auto"/>
                <w:sz w:val="21"/>
                <w:szCs w:val="21"/>
                <w:lang w:val="en-US" w:eastAsia="zh-CN"/>
              </w:rPr>
              <w:t>、氨</w:t>
            </w:r>
            <w:r>
              <w:rPr>
                <w:rFonts w:hint="default" w:ascii="Times New Roman" w:hAnsi="Times New Roman" w:eastAsia="宋体" w:cs="Times New Roman"/>
                <w:color w:val="auto"/>
                <w:sz w:val="21"/>
                <w:szCs w:val="21"/>
                <w:lang w:val="en-US" w:eastAsia="zh-CN"/>
              </w:rPr>
              <w:t>等无机实验废气经通风橱、集气罩收集后引至实验室西南角处</w:t>
            </w:r>
            <w:r>
              <w:rPr>
                <w:rFonts w:hint="eastAsia" w:ascii="Times New Roman" w:hAnsi="Times New Roman" w:eastAsia="宋体" w:cs="Times New Roman"/>
                <w:color w:val="auto"/>
                <w:sz w:val="21"/>
                <w:szCs w:val="21"/>
                <w:lang w:val="en-US" w:eastAsia="zh-CN"/>
              </w:rPr>
              <w:t>碱液喷淋装置</w:t>
            </w:r>
            <w:r>
              <w:rPr>
                <w:rFonts w:hint="default" w:ascii="Times New Roman" w:hAnsi="Times New Roman" w:eastAsia="宋体" w:cs="Times New Roman"/>
                <w:color w:val="auto"/>
                <w:sz w:val="21"/>
                <w:szCs w:val="21"/>
                <w:lang w:val="en-US" w:eastAsia="zh-CN"/>
              </w:rPr>
              <w:t>处理后经经15m高</w:t>
            </w:r>
            <w:r>
              <w:rPr>
                <w:rFonts w:hint="eastAsia" w:cs="Times New Roman"/>
                <w:color w:val="auto"/>
                <w:sz w:val="21"/>
                <w:szCs w:val="21"/>
                <w:lang w:val="en-US" w:eastAsia="zh-CN"/>
              </w:rPr>
              <w:t>排气筒</w:t>
            </w:r>
            <w:r>
              <w:rPr>
                <w:rFonts w:hint="default" w:ascii="Times New Roman" w:hAnsi="Times New Roman" w:eastAsia="宋体" w:cs="Times New Roman"/>
                <w:color w:val="auto"/>
                <w:sz w:val="21"/>
                <w:szCs w:val="21"/>
                <w:lang w:val="en-US" w:eastAsia="zh-CN"/>
              </w:rPr>
              <w:t>DA001排放。通风橱、集气罩收集效率约</w:t>
            </w:r>
            <w:r>
              <w:rPr>
                <w:rFonts w:hint="eastAsia" w:cs="Times New Roman"/>
                <w:color w:val="auto"/>
                <w:sz w:val="21"/>
                <w:szCs w:val="21"/>
                <w:lang w:val="en-US" w:eastAsia="zh-CN"/>
              </w:rPr>
              <w:t>65</w:t>
            </w:r>
            <w:r>
              <w:rPr>
                <w:rFonts w:hint="default" w:ascii="Times New Roman" w:hAnsi="Times New Roman" w:eastAsia="宋体" w:cs="Times New Roman"/>
                <w:color w:val="auto"/>
                <w:sz w:val="21"/>
                <w:szCs w:val="21"/>
                <w:lang w:val="en-US" w:eastAsia="zh-CN"/>
              </w:rPr>
              <w:t>%，未收集的</w:t>
            </w:r>
            <w:r>
              <w:rPr>
                <w:rFonts w:hint="eastAsia" w:cs="Times New Roman"/>
                <w:color w:val="auto"/>
                <w:sz w:val="21"/>
                <w:szCs w:val="21"/>
                <w:lang w:val="en-US" w:eastAsia="zh-CN"/>
              </w:rPr>
              <w:t>35</w:t>
            </w:r>
            <w:r>
              <w:rPr>
                <w:rFonts w:hint="default" w:ascii="Times New Roman" w:hAnsi="Times New Roman" w:eastAsia="宋体" w:cs="Times New Roman"/>
                <w:color w:val="auto"/>
                <w:sz w:val="21"/>
                <w:szCs w:val="21"/>
                <w:lang w:val="en-US" w:eastAsia="zh-CN"/>
              </w:rPr>
              <w:t>%无机实验废气呈无组织排放。氯化氢无组织排放量为0.0026 kg/h、2.5962kg/a，硫酸雾0.00</w:t>
            </w:r>
            <w:r>
              <w:rPr>
                <w:rFonts w:hint="eastAsia" w:cs="Times New Roman"/>
                <w:color w:val="auto"/>
                <w:sz w:val="21"/>
                <w:szCs w:val="21"/>
                <w:lang w:val="en-US" w:eastAsia="zh-CN"/>
              </w:rPr>
              <w:t>98</w:t>
            </w:r>
            <w:r>
              <w:rPr>
                <w:rFonts w:hint="default" w:ascii="Times New Roman" w:hAnsi="Times New Roman" w:eastAsia="宋体" w:cs="Times New Roman"/>
                <w:color w:val="auto"/>
                <w:sz w:val="21"/>
                <w:szCs w:val="21"/>
                <w:lang w:val="en-US" w:eastAsia="zh-CN"/>
              </w:rPr>
              <w:t>kg/h、9.7888kg/a，氮氧化物0.0021kg/h、</w:t>
            </w:r>
            <w:r>
              <w:rPr>
                <w:rFonts w:hint="eastAsia" w:cs="Times New Roman"/>
                <w:color w:val="auto"/>
                <w:sz w:val="21"/>
                <w:szCs w:val="21"/>
                <w:lang w:val="en-US" w:eastAsia="zh-CN"/>
              </w:rPr>
              <w:t>2.1</w:t>
            </w:r>
            <w:r>
              <w:rPr>
                <w:rFonts w:hint="default" w:ascii="Times New Roman" w:hAnsi="Times New Roman" w:eastAsia="宋体" w:cs="Times New Roman"/>
                <w:color w:val="auto"/>
                <w:sz w:val="21"/>
                <w:szCs w:val="21"/>
                <w:lang w:val="en-US" w:eastAsia="zh-CN"/>
              </w:rPr>
              <w:t>kg/a</w:t>
            </w:r>
            <w:r>
              <w:rPr>
                <w:rFonts w:hint="eastAsia" w:cs="Times New Roman"/>
                <w:color w:val="auto"/>
                <w:sz w:val="21"/>
                <w:szCs w:val="21"/>
                <w:lang w:val="en-US" w:eastAsia="zh-CN"/>
              </w:rPr>
              <w:t>，氨</w:t>
            </w:r>
            <w:r>
              <w:rPr>
                <w:rFonts w:hint="default"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kg/h、</w:t>
            </w:r>
            <w:r>
              <w:rPr>
                <w:rFonts w:hint="eastAsia" w:cs="Times New Roman"/>
                <w:color w:val="auto"/>
                <w:sz w:val="21"/>
                <w:szCs w:val="21"/>
                <w:lang w:val="en-US" w:eastAsia="zh-CN"/>
              </w:rPr>
              <w:t>2.0384</w:t>
            </w:r>
            <w:r>
              <w:rPr>
                <w:rFonts w:hint="default" w:ascii="Times New Roman" w:hAnsi="Times New Roman" w:eastAsia="宋体" w:cs="Times New Roman"/>
                <w:color w:val="auto"/>
                <w:sz w:val="21"/>
                <w:szCs w:val="21"/>
                <w:lang w:val="en-US" w:eastAsia="zh-CN"/>
              </w:rPr>
              <w:t>kg/a。排放量较小，经加强通风，大气扩散后无组织排放氯化氢、硫酸雾、氮氧化物</w:t>
            </w:r>
            <w:r>
              <w:rPr>
                <w:rFonts w:hint="eastAsia" w:cs="Times New Roman"/>
                <w:color w:val="auto"/>
                <w:sz w:val="21"/>
                <w:szCs w:val="21"/>
                <w:lang w:val="en-US" w:eastAsia="zh-CN"/>
              </w:rPr>
              <w:t>、氨</w:t>
            </w:r>
            <w:r>
              <w:rPr>
                <w:rFonts w:hint="default" w:ascii="Times New Roman" w:hAnsi="Times New Roman" w:eastAsia="宋体" w:cs="Times New Roman"/>
                <w:color w:val="auto"/>
                <w:sz w:val="21"/>
                <w:szCs w:val="21"/>
                <w:lang w:val="en-US" w:eastAsia="zh-CN"/>
              </w:rPr>
              <w:t>等无机实验废气对周围环境影响较小。</w:t>
            </w:r>
          </w:p>
          <w:p w14:paraId="777EA39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1.3</w:t>
            </w:r>
            <w:r>
              <w:rPr>
                <w:rFonts w:hint="default" w:ascii="Times New Roman" w:hAnsi="Times New Roman" w:eastAsia="宋体" w:cs="Times New Roman"/>
                <w:b/>
                <w:bCs/>
                <w:color w:val="auto"/>
                <w:sz w:val="21"/>
                <w:szCs w:val="21"/>
                <w:highlight w:val="none"/>
                <w:lang w:val="en-US" w:eastAsia="zh-CN"/>
              </w:rPr>
              <w:t>废气治理措施可行性分析</w:t>
            </w:r>
          </w:p>
          <w:p w14:paraId="5D6F2AE7">
            <w:pPr>
              <w:adjustRightInd w:val="0"/>
              <w:snapToGrid w:val="0"/>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）有机废气治理措施</w:t>
            </w:r>
          </w:p>
          <w:p w14:paraId="296F27F4">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经查阅，</w:t>
            </w:r>
            <w:r>
              <w:rPr>
                <w:rFonts w:hint="default" w:ascii="Times New Roman" w:hAnsi="Times New Roman" w:eastAsia="宋体" w:cs="Times New Roman"/>
                <w:color w:val="auto"/>
                <w:lang w:val="en-US" w:eastAsia="zh-CN"/>
              </w:rPr>
              <w:t>实验室项目无对应的排污许可核发技术指南，未规定可行技术。</w:t>
            </w:r>
            <w:r>
              <w:rPr>
                <w:rFonts w:hint="default" w:ascii="Times New Roman" w:hAnsi="Times New Roman" w:eastAsia="宋体" w:cs="Times New Roman"/>
                <w:color w:val="auto"/>
                <w:sz w:val="21"/>
                <w:szCs w:val="21"/>
              </w:rPr>
              <w:t>根据《大气污染治理工程技术导则》（HJ2000-2010），目前切实可行、常用的有机废气治理方法有直接燃烧法、催化燃烧法、活性炭吸附法、等离子净化法和冷凝法。各处理方法的比较如</w:t>
            </w:r>
            <w:r>
              <w:rPr>
                <w:rFonts w:hint="default" w:ascii="Times New Roman" w:hAnsi="Times New Roman" w:eastAsia="宋体" w:cs="Times New Roman"/>
                <w:color w:val="auto"/>
                <w:sz w:val="21"/>
                <w:szCs w:val="21"/>
                <w:lang w:val="en-US" w:eastAsia="zh-CN"/>
              </w:rPr>
              <w:t>下表</w:t>
            </w:r>
            <w:r>
              <w:rPr>
                <w:rFonts w:hint="default" w:ascii="Times New Roman" w:hAnsi="Times New Roman" w:eastAsia="宋体" w:cs="Times New Roman"/>
                <w:color w:val="auto"/>
                <w:sz w:val="21"/>
                <w:szCs w:val="21"/>
              </w:rPr>
              <w:t>所示。</w:t>
            </w:r>
          </w:p>
          <w:p w14:paraId="515655E7">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表4-</w:t>
            </w:r>
            <w:r>
              <w:rPr>
                <w:rFonts w:hint="default" w:ascii="Times New Roman" w:hAnsi="Times New Roman" w:eastAsia="宋体" w:cs="Times New Roman"/>
                <w:b/>
                <w:bCs w:val="0"/>
                <w:color w:val="auto"/>
                <w:sz w:val="18"/>
                <w:szCs w:val="18"/>
                <w:lang w:val="en-US" w:eastAsia="zh-CN"/>
              </w:rPr>
              <w:t xml:space="preserve">7  </w:t>
            </w:r>
            <w:r>
              <w:rPr>
                <w:rFonts w:hint="default" w:ascii="Times New Roman" w:hAnsi="Times New Roman" w:eastAsia="宋体" w:cs="Times New Roman"/>
                <w:b/>
                <w:bCs w:val="0"/>
                <w:color w:val="auto"/>
                <w:sz w:val="18"/>
                <w:szCs w:val="18"/>
              </w:rPr>
              <w:t>有机气体治理措施对比一览表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353"/>
              <w:gridCol w:w="2081"/>
              <w:gridCol w:w="832"/>
              <w:gridCol w:w="1866"/>
            </w:tblGrid>
            <w:tr w14:paraId="3C05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9" w:type="pct"/>
                  <w:noWrap w:val="0"/>
                  <w:vAlign w:val="center"/>
                </w:tcPr>
                <w:p w14:paraId="69E3EC76">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处理方法</w:t>
                  </w:r>
                </w:p>
              </w:tc>
              <w:tc>
                <w:tcPr>
                  <w:tcW w:w="1468" w:type="pct"/>
                  <w:noWrap w:val="0"/>
                  <w:vAlign w:val="center"/>
                </w:tcPr>
                <w:p w14:paraId="4A5A1D10">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方法要点</w:t>
                  </w:r>
                </w:p>
              </w:tc>
              <w:tc>
                <w:tcPr>
                  <w:tcW w:w="1298" w:type="pct"/>
                  <w:noWrap w:val="0"/>
                  <w:vAlign w:val="center"/>
                </w:tcPr>
                <w:p w14:paraId="275C62C1">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技术指标</w:t>
                  </w:r>
                </w:p>
              </w:tc>
              <w:tc>
                <w:tcPr>
                  <w:tcW w:w="519" w:type="pct"/>
                  <w:noWrap w:val="0"/>
                  <w:vAlign w:val="center"/>
                </w:tcPr>
                <w:p w14:paraId="3B3C6853">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投资额度</w:t>
                  </w:r>
                </w:p>
              </w:tc>
              <w:tc>
                <w:tcPr>
                  <w:tcW w:w="1164" w:type="pct"/>
                  <w:noWrap w:val="0"/>
                  <w:vAlign w:val="center"/>
                </w:tcPr>
                <w:p w14:paraId="6F489DE5">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与本项目适应性</w:t>
                  </w:r>
                </w:p>
              </w:tc>
            </w:tr>
            <w:tr w14:paraId="70AE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9" w:type="pct"/>
                  <w:noWrap w:val="0"/>
                  <w:vAlign w:val="center"/>
                </w:tcPr>
                <w:p w14:paraId="6C5E1F57">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等离子净化法</w:t>
                  </w:r>
                </w:p>
              </w:tc>
              <w:tc>
                <w:tcPr>
                  <w:tcW w:w="1468" w:type="pct"/>
                  <w:noWrap w:val="0"/>
                  <w:vAlign w:val="center"/>
                </w:tcPr>
                <w:p w14:paraId="4B85ED55">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采用高压发生器形成低温等离子体，在平面能量约5ev的大量电子作用下，使通过净化器的有机废气分子转化成各种活性粒子，与空气中O</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结合生成H</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O、CO</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等低分子无害物质</w:t>
                  </w:r>
                </w:p>
              </w:tc>
              <w:tc>
                <w:tcPr>
                  <w:tcW w:w="1298" w:type="pct"/>
                  <w:noWrap w:val="0"/>
                  <w:vAlign w:val="center"/>
                </w:tcPr>
                <w:p w14:paraId="433E5D93">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占地少，设备体积小；维护方便，使用寿命长；无二次污染</w:t>
                  </w:r>
                </w:p>
              </w:tc>
              <w:tc>
                <w:tcPr>
                  <w:tcW w:w="519" w:type="pct"/>
                  <w:noWrap w:val="0"/>
                  <w:vAlign w:val="center"/>
                </w:tcPr>
                <w:p w14:paraId="33C207C3">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投资一般</w:t>
                  </w:r>
                </w:p>
              </w:tc>
              <w:tc>
                <w:tcPr>
                  <w:tcW w:w="1164" w:type="pct"/>
                  <w:noWrap w:val="0"/>
                  <w:vAlign w:val="center"/>
                </w:tcPr>
                <w:p w14:paraId="45B6A7D4">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需严格按照操作规程或者专业人员进行维护和保养，不适用于本项目</w:t>
                  </w:r>
                </w:p>
              </w:tc>
            </w:tr>
            <w:tr w14:paraId="25842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9" w:type="pct"/>
                  <w:noWrap w:val="0"/>
                  <w:vAlign w:val="center"/>
                </w:tcPr>
                <w:p w14:paraId="508DDDC7">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活性炭吸附法</w:t>
                  </w:r>
                </w:p>
              </w:tc>
              <w:tc>
                <w:tcPr>
                  <w:tcW w:w="1468" w:type="pct"/>
                  <w:noWrap w:val="0"/>
                  <w:vAlign w:val="center"/>
                </w:tcPr>
                <w:p w14:paraId="67706FD9">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废气的分子扩散到固体吸附表面，有害成分被吸附面达到净化作用</w:t>
                  </w:r>
                </w:p>
              </w:tc>
              <w:tc>
                <w:tcPr>
                  <w:tcW w:w="1298" w:type="pct"/>
                  <w:noWrap w:val="0"/>
                  <w:vAlign w:val="center"/>
                </w:tcPr>
                <w:p w14:paraId="479771AF">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可处理含有低浓度的碳氢化合物和低温废气；溶剂可回收，进行效利用；处理程度可心控制；效率高，运转费用低</w:t>
                  </w:r>
                </w:p>
              </w:tc>
              <w:tc>
                <w:tcPr>
                  <w:tcW w:w="519" w:type="pct"/>
                  <w:noWrap w:val="0"/>
                  <w:vAlign w:val="center"/>
                </w:tcPr>
                <w:p w14:paraId="4A7837B2">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投资一般</w:t>
                  </w:r>
                </w:p>
              </w:tc>
              <w:tc>
                <w:tcPr>
                  <w:tcW w:w="1164" w:type="pct"/>
                  <w:noWrap w:val="0"/>
                  <w:vAlign w:val="center"/>
                </w:tcPr>
                <w:p w14:paraId="77973A95">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适用常温、低浓度、废气量较小时的废气治理，适用于本项目</w:t>
                  </w:r>
                </w:p>
              </w:tc>
            </w:tr>
            <w:tr w14:paraId="5140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9" w:type="pct"/>
                  <w:noWrap w:val="0"/>
                  <w:vAlign w:val="center"/>
                </w:tcPr>
                <w:p w14:paraId="265C3DAD">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直接燃烧法</w:t>
                  </w:r>
                </w:p>
              </w:tc>
              <w:tc>
                <w:tcPr>
                  <w:tcW w:w="1468" w:type="pct"/>
                  <w:noWrap w:val="0"/>
                  <w:vAlign w:val="center"/>
                </w:tcPr>
                <w:p w14:paraId="08E26587">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废气引入燃烧室与火焰直接接触，使有害物燃烧生成CO</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和H</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O，使废气净化</w:t>
                  </w:r>
                </w:p>
              </w:tc>
              <w:tc>
                <w:tcPr>
                  <w:tcW w:w="1298" w:type="pct"/>
                  <w:noWrap w:val="0"/>
                  <w:vAlign w:val="center"/>
                </w:tcPr>
                <w:p w14:paraId="2474BDC5">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燃烧效率高，管理容易；仅烧嘴需经常维护，维护简单；装置占地面积小；不稳定因素少，可靠性高</w:t>
                  </w:r>
                </w:p>
              </w:tc>
              <w:tc>
                <w:tcPr>
                  <w:tcW w:w="519" w:type="pct"/>
                  <w:noWrap w:val="0"/>
                  <w:vAlign w:val="center"/>
                </w:tcPr>
                <w:p w14:paraId="66BE95DE">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投资较大</w:t>
                  </w:r>
                </w:p>
              </w:tc>
              <w:tc>
                <w:tcPr>
                  <w:tcW w:w="1164" w:type="pct"/>
                  <w:noWrap w:val="0"/>
                  <w:vAlign w:val="center"/>
                </w:tcPr>
                <w:p w14:paraId="75782623">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适用于有机溶剂含量高、湿度高的废气治理，不适用于本项目</w:t>
                  </w:r>
                </w:p>
              </w:tc>
            </w:tr>
            <w:tr w14:paraId="288A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9" w:type="pct"/>
                  <w:noWrap w:val="0"/>
                  <w:vAlign w:val="center"/>
                </w:tcPr>
                <w:p w14:paraId="5EAEB394">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催化燃烧法</w:t>
                  </w:r>
                </w:p>
              </w:tc>
              <w:tc>
                <w:tcPr>
                  <w:tcW w:w="1468" w:type="pct"/>
                  <w:noWrap w:val="0"/>
                  <w:vAlign w:val="center"/>
                </w:tcPr>
                <w:p w14:paraId="3FD9F665">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在催化剂作用下，使有机物废气在引燃点温度以下燃烧生成CO</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和H</w:t>
                  </w:r>
                  <w:r>
                    <w:rPr>
                      <w:rFonts w:hint="default" w:ascii="Times New Roman" w:hAnsi="Times New Roman" w:eastAsia="宋体" w:cs="Times New Roman"/>
                      <w:color w:val="auto"/>
                      <w:sz w:val="18"/>
                      <w:szCs w:val="18"/>
                      <w:vertAlign w:val="subscript"/>
                    </w:rPr>
                    <w:t>2</w:t>
                  </w:r>
                  <w:r>
                    <w:rPr>
                      <w:rFonts w:hint="default" w:ascii="Times New Roman" w:hAnsi="Times New Roman" w:eastAsia="宋体" w:cs="Times New Roman"/>
                      <w:color w:val="auto"/>
                      <w:sz w:val="18"/>
                      <w:szCs w:val="18"/>
                    </w:rPr>
                    <w:t>O而被净化</w:t>
                  </w:r>
                </w:p>
              </w:tc>
              <w:tc>
                <w:tcPr>
                  <w:tcW w:w="1298" w:type="pct"/>
                  <w:noWrap w:val="0"/>
                  <w:vAlign w:val="center"/>
                </w:tcPr>
                <w:p w14:paraId="5B6C10D3">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与直接燃烧法相比，能在低温下氧化分解，燃料费可省1/2；装置占地面积小；NOx生成少</w:t>
                  </w:r>
                </w:p>
              </w:tc>
              <w:tc>
                <w:tcPr>
                  <w:tcW w:w="519" w:type="pct"/>
                  <w:noWrap w:val="0"/>
                  <w:vAlign w:val="center"/>
                </w:tcPr>
                <w:p w14:paraId="3DEA257D">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投资较大</w:t>
                  </w:r>
                </w:p>
              </w:tc>
              <w:tc>
                <w:tcPr>
                  <w:tcW w:w="1164" w:type="pct"/>
                  <w:noWrap w:val="0"/>
                  <w:vAlign w:val="center"/>
                </w:tcPr>
                <w:p w14:paraId="0E683849">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适用于废气温度高、流量大、有机溶剂浓度高、含杂质少的场合；不适用于本项目</w:t>
                  </w:r>
                </w:p>
              </w:tc>
            </w:tr>
            <w:tr w14:paraId="07A7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49" w:type="pct"/>
                  <w:noWrap w:val="0"/>
                  <w:vAlign w:val="center"/>
                </w:tcPr>
                <w:p w14:paraId="43CFF8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冷凝法</w:t>
                  </w:r>
                </w:p>
              </w:tc>
              <w:tc>
                <w:tcPr>
                  <w:tcW w:w="1468" w:type="pct"/>
                  <w:noWrap w:val="0"/>
                  <w:vAlign w:val="center"/>
                </w:tcPr>
                <w:p w14:paraId="5FAA25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降低有害气体的温度，能使其某些成分冷凝成液体的原理</w:t>
                  </w:r>
                </w:p>
              </w:tc>
              <w:tc>
                <w:tcPr>
                  <w:tcW w:w="1298" w:type="pct"/>
                  <w:noWrap w:val="0"/>
                  <w:vAlign w:val="center"/>
                </w:tcPr>
                <w:p w14:paraId="734B8D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设备、操作条件简单，回收物质纯度高</w:t>
                  </w:r>
                </w:p>
              </w:tc>
              <w:tc>
                <w:tcPr>
                  <w:tcW w:w="519" w:type="pct"/>
                  <w:noWrap w:val="0"/>
                  <w:vAlign w:val="center"/>
                </w:tcPr>
                <w:p w14:paraId="758BCC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投资较小</w:t>
                  </w:r>
                </w:p>
              </w:tc>
              <w:tc>
                <w:tcPr>
                  <w:tcW w:w="1164" w:type="pct"/>
                  <w:noWrap w:val="0"/>
                  <w:vAlign w:val="center"/>
                </w:tcPr>
                <w:p w14:paraId="6EC1C9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适用于组分单一的高浓度有机废气；不适用于本项目。</w:t>
                  </w:r>
                </w:p>
              </w:tc>
            </w:tr>
          </w:tbl>
          <w:p w14:paraId="45D0B943">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结合</w:t>
            </w:r>
            <w:r>
              <w:rPr>
                <w:rFonts w:hint="eastAsia" w:ascii="Times New Roman" w:hAnsi="Times New Roman" w:eastAsia="宋体" w:cs="Times New Roman"/>
                <w:color w:val="auto"/>
                <w:sz w:val="21"/>
                <w:szCs w:val="21"/>
                <w:vertAlign w:val="baseline"/>
                <w:lang w:val="en-US" w:eastAsia="zh-CN"/>
              </w:rPr>
              <w:t>上表</w:t>
            </w:r>
            <w:r>
              <w:rPr>
                <w:rFonts w:hint="default" w:ascii="Times New Roman" w:hAnsi="Times New Roman" w:eastAsia="宋体" w:cs="Times New Roman"/>
                <w:color w:val="auto"/>
                <w:sz w:val="21"/>
                <w:szCs w:val="21"/>
                <w:vertAlign w:val="baseline"/>
                <w:lang w:val="en-US" w:eastAsia="zh-CN"/>
              </w:rPr>
              <w:t>分析结果及本项目实际情况，本项目所产生的有机废气浓度低，且在常温下产生，故本项目有机废气采用活性炭吸附装置进行吸附处理，其基本原理是使有机废气通过活性炭吸附装置中的活性炭吸附层，利用活性炭良好的吸附性能将有机废气吸附，活性炭吸附是有效的去除天然和合成溶解有机物、微污染物质等的措施。大部分比较大的有机物分子、芳香族化合物、卤代炔等能牢固地吸附在活性炭表面上或空隙中，并对腐殖质、合成有机物和低分子量有机物有明显的去除效果。有机气体由风机提供动力，正压进入吸附装置内，由于活性炭固体表面上存在着未平衡和未饱和的分子引力或化学健力，因此当此固体表面与气体接触时，就能吸引气体分子，使其浓聚并保持在固体表面，污染物质从而被吸附，废气经过吸附过滤后由一根离地高约15m的排气筒排放。</w:t>
            </w:r>
          </w:p>
          <w:p w14:paraId="4145439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活性炭吸附装置是</w:t>
            </w:r>
            <w:r>
              <w:rPr>
                <w:rFonts w:hint="eastAsia"/>
                <w:color w:val="auto"/>
                <w:lang w:val="en-US" w:eastAsia="zh-CN"/>
              </w:rPr>
              <w:t>在环境实验室项目中</w:t>
            </w:r>
            <w:r>
              <w:rPr>
                <w:rFonts w:hint="default" w:ascii="Times New Roman" w:hAnsi="Times New Roman" w:eastAsia="宋体" w:cs="Times New Roman"/>
                <w:color w:val="auto"/>
                <w:sz w:val="21"/>
                <w:szCs w:val="21"/>
                <w:vertAlign w:val="baseline"/>
                <w:lang w:val="en-US" w:eastAsia="zh-CN"/>
              </w:rPr>
              <w:t>对有机废气处理的常见装置，</w:t>
            </w:r>
            <w:r>
              <w:rPr>
                <w:rFonts w:hint="eastAsia"/>
                <w:color w:val="auto"/>
                <w:lang w:val="en-US" w:eastAsia="zh-CN"/>
              </w:rPr>
              <w:t>参考昆明市内多个环境实验室项目的环保验收检测数据，</w:t>
            </w:r>
            <w:r>
              <w:rPr>
                <w:rFonts w:hint="default" w:ascii="Times New Roman" w:hAnsi="Times New Roman" w:eastAsia="宋体" w:cs="Times New Roman"/>
                <w:color w:val="auto"/>
                <w:sz w:val="21"/>
                <w:szCs w:val="21"/>
                <w:vertAlign w:val="baseline"/>
                <w:lang w:val="en-US" w:eastAsia="zh-CN"/>
              </w:rPr>
              <w:t>实验室检测过程产生的有机废气非甲烷总烃经安装的三级活性炭吸附装置处理后，非甲烷总烃的排放速率及排放浓度均能满足《大气污染物综合排放标准》（GB16297-1996）表2中二级标准要求。项目采用活性炭吸附措施符合《大气污染治理工程技术导则》（HJ2000-2010）要求，是可行性技术。根据对照本项目采用</w:t>
            </w:r>
            <w:r>
              <w:rPr>
                <w:rFonts w:hint="eastAsia" w:ascii="Times New Roman" w:hAnsi="Times New Roman" w:eastAsia="宋体" w:cs="Times New Roman"/>
                <w:color w:val="auto"/>
                <w:sz w:val="21"/>
                <w:szCs w:val="21"/>
                <w:vertAlign w:val="baseline"/>
                <w:lang w:val="en-US" w:eastAsia="zh-CN"/>
              </w:rPr>
              <w:t>三级活性炭</w:t>
            </w:r>
            <w:r>
              <w:rPr>
                <w:rFonts w:hint="default" w:ascii="Times New Roman" w:hAnsi="Times New Roman" w:eastAsia="宋体" w:cs="Times New Roman"/>
                <w:color w:val="auto"/>
                <w:sz w:val="21"/>
                <w:szCs w:val="21"/>
                <w:vertAlign w:val="baseline"/>
                <w:lang w:val="en-US" w:eastAsia="zh-CN"/>
              </w:rPr>
              <w:t>吸附技术不属于《国家污染防治技术指导目录(2024年限制类和淘汰类)》所列限制、淘汰技术。故本项目产生的非甲烷总烃采用活性炭吸附装置处理是可行的。</w:t>
            </w:r>
          </w:p>
          <w:p w14:paraId="05DCA2DF">
            <w:pPr>
              <w:adjustRightInd w:val="0"/>
              <w:snapToGrid w:val="0"/>
              <w:spacing w:line="360" w:lineRule="auto"/>
              <w:ind w:firstLine="422" w:firstLineChars="200"/>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rPr>
              <w:t>（</w:t>
            </w:r>
            <w:r>
              <w:rPr>
                <w:rFonts w:hint="default" w:ascii="Times New Roman" w:hAnsi="Times New Roman" w:eastAsia="宋体" w:cs="Times New Roman"/>
                <w:b/>
                <w:bCs/>
                <w:color w:val="auto"/>
                <w:sz w:val="21"/>
                <w:szCs w:val="21"/>
                <w:lang w:val="en-US" w:eastAsia="zh-CN"/>
              </w:rPr>
              <w:t>2</w:t>
            </w:r>
            <w:r>
              <w:rPr>
                <w:rFonts w:hint="default" w:ascii="Times New Roman" w:hAnsi="Times New Roman" w:eastAsia="宋体" w:cs="Times New Roman"/>
                <w:b/>
                <w:bCs/>
                <w:color w:val="auto"/>
                <w:sz w:val="21"/>
                <w:szCs w:val="21"/>
              </w:rPr>
              <w:t>）无机酸性废气治理措施</w:t>
            </w:r>
          </w:p>
          <w:p w14:paraId="20A24A1E">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现国内对酸性废气的处理措施有：水吸收法、碱液吸收法、SDG吸附法及网膜法，对于其技术及经济指标分析详见</w:t>
            </w:r>
            <w:r>
              <w:rPr>
                <w:rFonts w:hint="default" w:ascii="Times New Roman" w:hAnsi="Times New Roman" w:eastAsia="宋体" w:cs="Times New Roman"/>
                <w:color w:val="auto"/>
                <w:sz w:val="21"/>
                <w:szCs w:val="21"/>
                <w:lang w:val="en-US" w:eastAsia="zh-CN"/>
              </w:rPr>
              <w:t>下表</w:t>
            </w:r>
            <w:r>
              <w:rPr>
                <w:rFonts w:hint="default" w:ascii="Times New Roman" w:hAnsi="Times New Roman" w:eastAsia="宋体" w:cs="Times New Roman"/>
                <w:color w:val="auto"/>
                <w:sz w:val="21"/>
                <w:szCs w:val="21"/>
              </w:rPr>
              <w:t>所示。</w:t>
            </w:r>
          </w:p>
          <w:p w14:paraId="74937942">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表4-</w:t>
            </w:r>
            <w:r>
              <w:rPr>
                <w:rFonts w:hint="default" w:ascii="Times New Roman" w:hAnsi="Times New Roman" w:eastAsia="宋体" w:cs="Times New Roman"/>
                <w:b/>
                <w:bCs w:val="0"/>
                <w:color w:val="auto"/>
                <w:sz w:val="18"/>
                <w:szCs w:val="18"/>
                <w:lang w:val="en-US" w:eastAsia="zh-CN"/>
              </w:rPr>
              <w:t xml:space="preserve">8  </w:t>
            </w:r>
            <w:r>
              <w:rPr>
                <w:rFonts w:hint="default" w:ascii="Times New Roman" w:hAnsi="Times New Roman" w:eastAsia="宋体" w:cs="Times New Roman"/>
                <w:b/>
                <w:bCs w:val="0"/>
                <w:color w:val="auto"/>
                <w:sz w:val="18"/>
                <w:szCs w:val="18"/>
              </w:rPr>
              <w:t xml:space="preserve"> 酸性气体治理措施对比一览表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1"/>
              <w:gridCol w:w="1663"/>
              <w:gridCol w:w="2771"/>
              <w:gridCol w:w="971"/>
              <w:gridCol w:w="1726"/>
            </w:tblGrid>
            <w:tr w14:paraId="6141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50" w:type="pct"/>
                  <w:noWrap w:val="0"/>
                  <w:vAlign w:val="center"/>
                </w:tcPr>
                <w:p w14:paraId="7D3B43C0">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处理方法</w:t>
                  </w:r>
                </w:p>
              </w:tc>
              <w:tc>
                <w:tcPr>
                  <w:tcW w:w="1038" w:type="pct"/>
                  <w:noWrap w:val="0"/>
                  <w:vAlign w:val="center"/>
                </w:tcPr>
                <w:p w14:paraId="464B806D">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方法要点</w:t>
                  </w:r>
                </w:p>
              </w:tc>
              <w:tc>
                <w:tcPr>
                  <w:tcW w:w="1729" w:type="pct"/>
                  <w:noWrap w:val="0"/>
                  <w:vAlign w:val="center"/>
                </w:tcPr>
                <w:p w14:paraId="6BC43A0A">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技术指标</w:t>
                  </w:r>
                </w:p>
              </w:tc>
              <w:tc>
                <w:tcPr>
                  <w:tcW w:w="606" w:type="pct"/>
                  <w:noWrap w:val="0"/>
                  <w:vAlign w:val="center"/>
                </w:tcPr>
                <w:p w14:paraId="416805E4">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投资额度</w:t>
                  </w:r>
                </w:p>
              </w:tc>
              <w:tc>
                <w:tcPr>
                  <w:tcW w:w="1077" w:type="pct"/>
                  <w:noWrap w:val="0"/>
                  <w:vAlign w:val="center"/>
                </w:tcPr>
                <w:p w14:paraId="47E23BF7">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b/>
                      <w:bCs w:val="0"/>
                      <w:color w:val="auto"/>
                      <w:sz w:val="18"/>
                      <w:szCs w:val="18"/>
                    </w:rPr>
                  </w:pPr>
                  <w:r>
                    <w:rPr>
                      <w:rFonts w:hint="default" w:ascii="Times New Roman" w:hAnsi="Times New Roman" w:eastAsia="宋体" w:cs="Times New Roman"/>
                      <w:b/>
                      <w:bCs w:val="0"/>
                      <w:color w:val="auto"/>
                      <w:sz w:val="18"/>
                      <w:szCs w:val="18"/>
                    </w:rPr>
                    <w:t>与本项目适应性</w:t>
                  </w:r>
                </w:p>
              </w:tc>
            </w:tr>
            <w:tr w14:paraId="69243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50" w:type="pct"/>
                  <w:noWrap w:val="0"/>
                  <w:vAlign w:val="center"/>
                </w:tcPr>
                <w:p w14:paraId="22D9AC20">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水吸收法</w:t>
                  </w:r>
                </w:p>
              </w:tc>
              <w:tc>
                <w:tcPr>
                  <w:tcW w:w="1038" w:type="pct"/>
                  <w:noWrap w:val="0"/>
                  <w:vAlign w:val="center"/>
                </w:tcPr>
                <w:p w14:paraId="4DADC3F7">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水作为吸收剂，在喷淋塔或填料内循环吸收液需要进一步处理</w:t>
                  </w:r>
                </w:p>
              </w:tc>
              <w:tc>
                <w:tcPr>
                  <w:tcW w:w="1729" w:type="pct"/>
                  <w:noWrap w:val="0"/>
                  <w:vAlign w:val="center"/>
                </w:tcPr>
                <w:p w14:paraId="3C9D5151">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较碱液吸收法，处理效率要低，对于风量，较大的酸雾处理效率较低、对于规模较大的酸雾产生槽难以采用</w:t>
                  </w:r>
                </w:p>
              </w:tc>
              <w:tc>
                <w:tcPr>
                  <w:tcW w:w="606" w:type="pct"/>
                  <w:noWrap w:val="0"/>
                  <w:vAlign w:val="center"/>
                </w:tcPr>
                <w:p w14:paraId="16BB059E">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投资一般</w:t>
                  </w:r>
                </w:p>
              </w:tc>
              <w:tc>
                <w:tcPr>
                  <w:tcW w:w="1077" w:type="pct"/>
                  <w:noWrap w:val="0"/>
                  <w:vAlign w:val="center"/>
                </w:tcPr>
                <w:p w14:paraId="2FD7DCBC">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吸收效率较低、存在不能使废气达标排放的可能性；不适用于本项目</w:t>
                  </w:r>
                </w:p>
              </w:tc>
            </w:tr>
            <w:tr w14:paraId="3D14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50" w:type="pct"/>
                  <w:noWrap w:val="0"/>
                  <w:vAlign w:val="center"/>
                </w:tcPr>
                <w:p w14:paraId="47D51DA6">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碱液吸收法</w:t>
                  </w:r>
                </w:p>
              </w:tc>
              <w:tc>
                <w:tcPr>
                  <w:tcW w:w="1038" w:type="pct"/>
                  <w:noWrap w:val="0"/>
                  <w:vAlign w:val="center"/>
                </w:tcPr>
                <w:p w14:paraId="48038D49">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用碱性溶液作为吸收剂，吸收液需要进一步处理</w:t>
                  </w:r>
                </w:p>
              </w:tc>
              <w:tc>
                <w:tcPr>
                  <w:tcW w:w="1729" w:type="pct"/>
                  <w:noWrap w:val="0"/>
                  <w:vAlign w:val="center"/>
                </w:tcPr>
                <w:p w14:paraId="33E45938">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left"/>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装置简单、操作简单、净化效率较高</w:t>
                  </w:r>
                </w:p>
              </w:tc>
              <w:tc>
                <w:tcPr>
                  <w:tcW w:w="606" w:type="pct"/>
                  <w:noWrap w:val="0"/>
                  <w:vAlign w:val="center"/>
                </w:tcPr>
                <w:p w14:paraId="085F261D">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投资一般</w:t>
                  </w:r>
                </w:p>
              </w:tc>
              <w:tc>
                <w:tcPr>
                  <w:tcW w:w="1077" w:type="pct"/>
                  <w:noWrap w:val="0"/>
                  <w:vAlign w:val="center"/>
                </w:tcPr>
                <w:p w14:paraId="1D8A7270">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装置简单、操作简单、净化效率较高</w:t>
                  </w:r>
                </w:p>
              </w:tc>
            </w:tr>
            <w:tr w14:paraId="21EEA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50" w:type="pct"/>
                  <w:noWrap w:val="0"/>
                  <w:vAlign w:val="center"/>
                </w:tcPr>
                <w:p w14:paraId="75283B71">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SDG吸附法</w:t>
                  </w:r>
                </w:p>
              </w:tc>
              <w:tc>
                <w:tcPr>
                  <w:tcW w:w="1038" w:type="pct"/>
                  <w:noWrap w:val="0"/>
                  <w:vAlign w:val="center"/>
                </w:tcPr>
                <w:p w14:paraId="6EFE97DD">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利用吸附剂的物理及化学性质进行吸附</w:t>
                  </w:r>
                </w:p>
              </w:tc>
              <w:tc>
                <w:tcPr>
                  <w:tcW w:w="1729" w:type="pct"/>
                  <w:noWrap w:val="0"/>
                  <w:vAlign w:val="center"/>
                </w:tcPr>
                <w:p w14:paraId="1A132AEB">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处理效率高、操作简单、使用寿命长对系统无腐蚀，适用于浓度低、间歇性排放的废气</w:t>
                  </w:r>
                </w:p>
              </w:tc>
              <w:tc>
                <w:tcPr>
                  <w:tcW w:w="606" w:type="pct"/>
                  <w:noWrap w:val="0"/>
                  <w:vAlign w:val="center"/>
                </w:tcPr>
                <w:p w14:paraId="4413537A">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投资一般</w:t>
                  </w:r>
                </w:p>
              </w:tc>
              <w:tc>
                <w:tcPr>
                  <w:tcW w:w="1077" w:type="pct"/>
                  <w:noWrap w:val="0"/>
                  <w:vAlign w:val="center"/>
                </w:tcPr>
                <w:p w14:paraId="17598920">
                  <w:pPr>
                    <w:pStyle w:val="18"/>
                    <w:keepNext w:val="0"/>
                    <w:keepLines w:val="0"/>
                    <w:pageBreakBefore w:val="0"/>
                    <w:widowControl w:val="0"/>
                    <w:kinsoku/>
                    <w:wordWrap/>
                    <w:overflowPunct/>
                    <w:topLinePunct w:val="0"/>
                    <w:autoSpaceDE/>
                    <w:autoSpaceDN/>
                    <w:bidi w:val="0"/>
                    <w:adjustRightInd w:val="0"/>
                    <w:snapToGrid w:val="0"/>
                    <w:spacing w:after="0" w:line="360" w:lineRule="exact"/>
                    <w:ind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处理效率高、操作简单</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适用于本项目</w:t>
                  </w:r>
                </w:p>
              </w:tc>
            </w:tr>
            <w:tr w14:paraId="0BB9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50" w:type="pct"/>
                  <w:noWrap w:val="0"/>
                  <w:vAlign w:val="center"/>
                </w:tcPr>
                <w:p w14:paraId="60F835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网膜法</w:t>
                  </w:r>
                </w:p>
              </w:tc>
              <w:tc>
                <w:tcPr>
                  <w:tcW w:w="1038" w:type="pct"/>
                  <w:noWrap w:val="0"/>
                  <w:vAlign w:val="center"/>
                </w:tcPr>
                <w:p w14:paraId="42F8D1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利用滤材与雾滴间的冲撞作用、接触凝聚作用、静电吸附作用达到分离目的</w:t>
                  </w:r>
                </w:p>
              </w:tc>
              <w:tc>
                <w:tcPr>
                  <w:tcW w:w="1729" w:type="pct"/>
                  <w:noWrap w:val="0"/>
                  <w:vAlign w:val="center"/>
                </w:tcPr>
                <w:p w14:paraId="0C12DC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设备紧凑、简单、操作维护方便、净化效率较高但对于规模较大的酸雾产生槽难以采用，酸雾的粒径、密度、气流对其处理效率影响很大</w:t>
                  </w:r>
                </w:p>
              </w:tc>
              <w:tc>
                <w:tcPr>
                  <w:tcW w:w="606" w:type="pct"/>
                  <w:noWrap w:val="0"/>
                  <w:vAlign w:val="center"/>
                </w:tcPr>
                <w:p w14:paraId="000A43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投资较少</w:t>
                  </w:r>
                </w:p>
              </w:tc>
              <w:tc>
                <w:tcPr>
                  <w:tcW w:w="1077" w:type="pct"/>
                  <w:noWrap w:val="0"/>
                  <w:vAlign w:val="center"/>
                </w:tcPr>
                <w:p w14:paraId="26D8AB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存在不能使废气达标的可能性；不适用于本项目</w:t>
                  </w:r>
                </w:p>
              </w:tc>
            </w:tr>
          </w:tbl>
          <w:p w14:paraId="20C32A44">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vertAlign w:val="baseline"/>
                <w:lang w:val="en-US" w:eastAsia="zh-CN"/>
              </w:rPr>
              <w:t>结合</w:t>
            </w:r>
            <w:r>
              <w:rPr>
                <w:rFonts w:hint="eastAsia" w:ascii="Times New Roman" w:hAnsi="Times New Roman" w:eastAsia="宋体" w:cs="Times New Roman"/>
                <w:color w:val="auto"/>
                <w:sz w:val="21"/>
                <w:szCs w:val="21"/>
                <w:vertAlign w:val="baseline"/>
                <w:lang w:val="en-US" w:eastAsia="zh-CN"/>
              </w:rPr>
              <w:t>上表</w:t>
            </w:r>
            <w:r>
              <w:rPr>
                <w:rFonts w:hint="default" w:ascii="Times New Roman" w:hAnsi="Times New Roman" w:eastAsia="宋体" w:cs="Times New Roman"/>
                <w:color w:val="auto"/>
                <w:sz w:val="21"/>
                <w:szCs w:val="21"/>
                <w:vertAlign w:val="baseline"/>
                <w:lang w:val="en-US" w:eastAsia="zh-CN"/>
              </w:rPr>
              <w:t>分析</w:t>
            </w:r>
            <w:r>
              <w:rPr>
                <w:rFonts w:hint="eastAsia" w:ascii="Times New Roman" w:hAnsi="Times New Roman" w:eastAsia="宋体" w:cs="Times New Roman"/>
                <w:color w:val="auto"/>
                <w:sz w:val="21"/>
                <w:szCs w:val="21"/>
                <w:vertAlign w:val="baseline"/>
                <w:lang w:val="en-US" w:eastAsia="zh-CN"/>
              </w:rPr>
              <w:t>结果</w:t>
            </w:r>
            <w:r>
              <w:rPr>
                <w:rFonts w:hint="default" w:ascii="Times New Roman" w:hAnsi="Times New Roman" w:eastAsia="宋体" w:cs="Times New Roman"/>
                <w:color w:val="auto"/>
                <w:sz w:val="21"/>
                <w:szCs w:val="21"/>
                <w:vertAlign w:val="baseline"/>
                <w:lang w:val="en-US" w:eastAsia="zh-CN"/>
              </w:rPr>
              <w:t>及本项目实际情况，本项目拟使用的无机酸性废气净化处理方法为碱液吸收法，酸雾废气由风管引入洗涤塔，经过填料层，废气与吸收液进行气液两相充分接触吸收中和反应，酸雾废气经过净化后，再经除雾板脱水除雾后由风机排入大气。吸收液在塔底经水系增压后在塔顶喷淋而下，最后回流至塔底循环使用，适合于连续和间歇排放废气的治理，可同时净化多种污染物，处置效率可达75%，PP材料可有效防止酸性气体的腐蚀，保证设备长期运行，废气达标排放。</w:t>
            </w:r>
          </w:p>
          <w:p w14:paraId="6F9742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default"/>
                <w:color w:val="auto"/>
                <w:lang w:val="en-US" w:eastAsia="zh-CN"/>
              </w:rPr>
              <w:t>本项目仅为实验室使用少量无机酸挥发产生的少量酸性废气，经通风橱及集气罩收集后由风机引</w:t>
            </w:r>
            <w:r>
              <w:rPr>
                <w:rFonts w:hint="eastAsia"/>
                <w:color w:val="auto"/>
                <w:lang w:val="en-US" w:eastAsia="zh-CN"/>
              </w:rPr>
              <w:t>至碱液</w:t>
            </w:r>
            <w:r>
              <w:rPr>
                <w:rFonts w:hint="default"/>
                <w:color w:val="auto"/>
                <w:lang w:val="en-US" w:eastAsia="zh-CN"/>
              </w:rPr>
              <w:t>喷淋处理装置处理后经</w:t>
            </w:r>
            <w:r>
              <w:rPr>
                <w:rFonts w:hint="eastAsia"/>
                <w:color w:val="auto"/>
                <w:lang w:val="en-US" w:eastAsia="zh-CN"/>
              </w:rPr>
              <w:t>15</w:t>
            </w:r>
            <w:r>
              <w:rPr>
                <w:rFonts w:hint="default"/>
                <w:color w:val="auto"/>
                <w:lang w:val="en-US" w:eastAsia="zh-CN"/>
              </w:rPr>
              <w:t>m高DA001</w:t>
            </w:r>
            <w:r>
              <w:rPr>
                <w:rFonts w:hint="eastAsia"/>
                <w:color w:val="auto"/>
                <w:lang w:val="en-US" w:eastAsia="zh-CN"/>
              </w:rPr>
              <w:t>排气筒</w:t>
            </w:r>
            <w:r>
              <w:rPr>
                <w:rFonts w:hint="default"/>
                <w:color w:val="auto"/>
                <w:lang w:val="en-US" w:eastAsia="zh-CN"/>
              </w:rPr>
              <w:t>排放，根据源强核算，项目酸性废气自身产生浓度较低，经处理后可做到达标排放。项目使用碱喷淋装置是实验室酸性气体常见工艺，不属于《国家污染防治技术指导目录(2024年，限制类和淘汰类)》所列限制、淘汰技术。项目使用碱喷淋处理装置措施有效可行。</w:t>
            </w:r>
          </w:p>
          <w:p w14:paraId="79DD40D4">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（3）排气筒设置</w:t>
            </w:r>
            <w:r>
              <w:rPr>
                <w:rFonts w:hint="eastAsia" w:cs="Times New Roman"/>
                <w:b/>
                <w:bCs/>
                <w:color w:val="auto"/>
                <w:sz w:val="21"/>
                <w:szCs w:val="21"/>
                <w:vertAlign w:val="baseline"/>
                <w:lang w:val="en-US" w:eastAsia="zh-CN"/>
              </w:rPr>
              <w:t>符合</w:t>
            </w:r>
            <w:r>
              <w:rPr>
                <w:rFonts w:hint="default" w:ascii="Times New Roman" w:hAnsi="Times New Roman" w:eastAsia="宋体" w:cs="Times New Roman"/>
                <w:b/>
                <w:bCs/>
                <w:color w:val="auto"/>
                <w:sz w:val="21"/>
                <w:szCs w:val="21"/>
                <w:vertAlign w:val="baseline"/>
                <w:lang w:val="en-US" w:eastAsia="zh-CN"/>
              </w:rPr>
              <w:t>性分析</w:t>
            </w:r>
          </w:p>
          <w:p w14:paraId="42F7005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vertAlign w:val="baseline"/>
                <w:lang w:val="en-US" w:eastAsia="zh-CN"/>
              </w:rPr>
              <w:t>根据《大气污染物综合排放标准》（GB16297-1996）规定“排气筒高度除须遵守表列排放速率标准值外，还应高出周围200m半径范围的建筑5m以上，不能达到该要求的排气筒，应按其高度对应的表列排放速率标准值严格50%执行”。本项目</w:t>
            </w:r>
            <w:r>
              <w:rPr>
                <w:rFonts w:hint="eastAsia"/>
                <w:color w:val="auto"/>
                <w:lang w:val="en-US" w:eastAsia="zh-CN"/>
              </w:rPr>
              <w:t>建设在地下负二层，废气治理设施也安装在负二层，废气经处理后通过管道引至地面后再架设15米高的排气筒排放，排气筒离地高度为15m；</w:t>
            </w:r>
            <w:r>
              <w:rPr>
                <w:rFonts w:hint="default" w:ascii="Times New Roman" w:hAnsi="Times New Roman" w:eastAsia="宋体" w:cs="Times New Roman"/>
                <w:color w:val="auto"/>
                <w:sz w:val="21"/>
                <w:szCs w:val="21"/>
                <w:vertAlign w:val="baseline"/>
                <w:lang w:val="en-US" w:eastAsia="zh-CN"/>
              </w:rPr>
              <w:t>周边200m范围内已建超高层的建筑</w:t>
            </w:r>
            <w:r>
              <w:rPr>
                <w:rFonts w:hint="eastAsia" w:cs="Times New Roman"/>
                <w:color w:val="auto"/>
                <w:sz w:val="21"/>
                <w:szCs w:val="21"/>
                <w:vertAlign w:val="baseline"/>
                <w:lang w:val="en-US" w:eastAsia="zh-CN"/>
              </w:rPr>
              <w:t>，</w:t>
            </w:r>
            <w:r>
              <w:rPr>
                <w:rFonts w:hint="eastAsia"/>
                <w:color w:val="auto"/>
                <w:lang w:val="en-US" w:eastAsia="zh-CN"/>
              </w:rPr>
              <w:t>本项目排气筒无法比超高层建筑物再高5米，因此</w:t>
            </w:r>
            <w:r>
              <w:rPr>
                <w:rFonts w:hint="default" w:ascii="Times New Roman" w:hAnsi="Times New Roman" w:eastAsia="宋体" w:cs="Times New Roman"/>
                <w:color w:val="auto"/>
                <w:sz w:val="21"/>
                <w:szCs w:val="21"/>
              </w:rPr>
              <w:t>项目应按其高度对应的表列排放速率标准值严格50%执行</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根据源强核算，本项目DA001</w:t>
            </w:r>
            <w:r>
              <w:rPr>
                <w:rFonts w:hint="eastAsia" w:cs="Times New Roman"/>
                <w:color w:val="auto"/>
                <w:sz w:val="21"/>
                <w:szCs w:val="21"/>
                <w:lang w:eastAsia="zh-CN"/>
              </w:rPr>
              <w:t>排气筒</w:t>
            </w:r>
            <w:r>
              <w:rPr>
                <w:rFonts w:hint="default" w:ascii="Times New Roman" w:hAnsi="Times New Roman" w:eastAsia="宋体" w:cs="Times New Roman"/>
                <w:color w:val="auto"/>
                <w:sz w:val="21"/>
                <w:szCs w:val="21"/>
              </w:rPr>
              <w:t>排放的非甲烷总烃</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甲醇、甲醛</w:t>
            </w:r>
            <w:r>
              <w:rPr>
                <w:rFonts w:hint="default" w:ascii="Times New Roman" w:hAnsi="Times New Roman" w:eastAsia="宋体" w:cs="Times New Roman"/>
                <w:color w:val="auto"/>
                <w:sz w:val="21"/>
                <w:szCs w:val="21"/>
              </w:rPr>
              <w:t>、氯化氢、硫酸雾</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氮氧化物等污染物满足《大气(污染物综合排放标准》(GB16297-1996)</w:t>
            </w:r>
            <w:r>
              <w:rPr>
                <w:rFonts w:hint="default"/>
                <w:color w:val="auto"/>
                <w:lang w:val="en-US" w:eastAsia="zh-CN"/>
              </w:rPr>
              <w:t>表2</w:t>
            </w:r>
            <w:r>
              <w:rPr>
                <w:rFonts w:hint="eastAsia"/>
                <w:color w:val="auto"/>
                <w:lang w:val="en-US" w:eastAsia="zh-CN"/>
              </w:rPr>
              <w:t>中</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w:t>
            </w:r>
            <w:r>
              <w:rPr>
                <w:rFonts w:hint="eastAsia" w:ascii="Times New Roman" w:hAnsi="Times New Roman" w:eastAsia="宋体" w:cs="Times New Roman"/>
                <w:color w:val="auto"/>
                <w:sz w:val="21"/>
                <w:szCs w:val="21"/>
                <w:lang w:val="en-US" w:eastAsia="zh-CN"/>
              </w:rPr>
              <w:t>排气筒</w:t>
            </w:r>
            <w:r>
              <w:rPr>
                <w:rFonts w:hint="default" w:ascii="Times New Roman" w:hAnsi="Times New Roman" w:eastAsia="宋体" w:cs="Times New Roman"/>
                <w:color w:val="auto"/>
                <w:sz w:val="21"/>
                <w:szCs w:val="21"/>
              </w:rPr>
              <w:t>排放速率、排放浓度要求。项目排气筒高度设置满足《大气污染物综合排放标准》（GB16297-1996）中：新污染源的排气筒一般不应低于15m的要求。因此，项目排气筒设置合理。</w:t>
            </w:r>
          </w:p>
          <w:p w14:paraId="0C45C4C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lang w:val="en-US" w:eastAsia="zh-CN"/>
              </w:rPr>
              <w:t>1.4</w:t>
            </w:r>
            <w:r>
              <w:rPr>
                <w:rFonts w:hint="default" w:ascii="Times New Roman" w:hAnsi="Times New Roman" w:eastAsia="宋体" w:cs="Times New Roman"/>
                <w:b/>
                <w:bCs/>
                <w:color w:val="auto"/>
                <w:sz w:val="21"/>
                <w:szCs w:val="21"/>
                <w:lang w:val="en-US" w:eastAsia="zh-CN"/>
              </w:rPr>
              <w:t>非正常排放影响分析</w:t>
            </w:r>
          </w:p>
          <w:p w14:paraId="7AB870C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项目非正常情况考虑</w:t>
            </w:r>
            <w:r>
              <w:rPr>
                <w:rFonts w:hint="eastAsia" w:ascii="Times New Roman" w:hAnsi="Times New Roman" w:eastAsia="宋体" w:cs="Times New Roman"/>
                <w:b w:val="0"/>
                <w:bCs w:val="0"/>
                <w:color w:val="auto"/>
                <w:sz w:val="21"/>
                <w:szCs w:val="21"/>
                <w:lang w:val="en-US" w:eastAsia="zh-CN"/>
              </w:rPr>
              <w:t>三</w:t>
            </w:r>
            <w:r>
              <w:rPr>
                <w:rFonts w:hint="default" w:ascii="Times New Roman" w:hAnsi="Times New Roman" w:eastAsia="宋体" w:cs="Times New Roman"/>
                <w:b w:val="0"/>
                <w:bCs w:val="0"/>
                <w:color w:val="auto"/>
                <w:sz w:val="21"/>
                <w:szCs w:val="21"/>
                <w:lang w:val="en-US" w:eastAsia="zh-CN"/>
              </w:rPr>
              <w:t>级活性炭吸附和</w:t>
            </w:r>
            <w:r>
              <w:rPr>
                <w:rFonts w:hint="eastAsia"/>
                <w:color w:val="auto"/>
                <w:lang w:val="en-US" w:eastAsia="zh-CN"/>
              </w:rPr>
              <w:t>碱液</w:t>
            </w:r>
            <w:r>
              <w:rPr>
                <w:rFonts w:hint="default"/>
                <w:color w:val="auto"/>
                <w:lang w:val="en-US" w:eastAsia="zh-CN"/>
              </w:rPr>
              <w:t>喷淋处理</w:t>
            </w:r>
            <w:r>
              <w:rPr>
                <w:rFonts w:hint="default" w:ascii="Times New Roman" w:hAnsi="Times New Roman" w:eastAsia="宋体" w:cs="Times New Roman"/>
                <w:b w:val="0"/>
                <w:bCs w:val="0"/>
                <w:color w:val="auto"/>
                <w:sz w:val="21"/>
                <w:szCs w:val="21"/>
                <w:lang w:val="en-US" w:eastAsia="zh-CN"/>
              </w:rPr>
              <w:t>装置饱和、故障或检修。当故障、检修和装置饱和时，酸</w:t>
            </w:r>
            <w:r>
              <w:rPr>
                <w:rFonts w:hint="eastAsia" w:ascii="Times New Roman" w:hAnsi="Times New Roman" w:eastAsia="宋体" w:cs="Times New Roman"/>
                <w:b w:val="0"/>
                <w:bCs w:val="0"/>
                <w:color w:val="auto"/>
                <w:sz w:val="21"/>
                <w:szCs w:val="21"/>
                <w:lang w:val="en-US" w:eastAsia="zh-CN"/>
              </w:rPr>
              <w:t>性</w:t>
            </w:r>
            <w:r>
              <w:rPr>
                <w:rFonts w:hint="default" w:ascii="Times New Roman" w:hAnsi="Times New Roman" w:eastAsia="宋体" w:cs="Times New Roman"/>
                <w:b w:val="0"/>
                <w:bCs w:val="0"/>
                <w:color w:val="auto"/>
                <w:sz w:val="21"/>
                <w:szCs w:val="21"/>
                <w:lang w:val="en-US" w:eastAsia="zh-CN"/>
              </w:rPr>
              <w:t>废气去除效率由</w:t>
            </w:r>
            <w:r>
              <w:rPr>
                <w:rFonts w:hint="eastAsia" w:ascii="Times New Roman" w:hAnsi="Times New Roman" w:eastAsia="宋体" w:cs="Times New Roman"/>
                <w:b w:val="0"/>
                <w:bCs w:val="0"/>
                <w:color w:val="auto"/>
                <w:sz w:val="21"/>
                <w:szCs w:val="21"/>
                <w:lang w:val="en-US" w:eastAsia="zh-CN"/>
              </w:rPr>
              <w:t>75</w:t>
            </w:r>
            <w:r>
              <w:rPr>
                <w:rFonts w:hint="default" w:ascii="Times New Roman" w:hAnsi="Times New Roman" w:eastAsia="宋体" w:cs="Times New Roman"/>
                <w:b w:val="0"/>
                <w:bCs w:val="0"/>
                <w:color w:val="auto"/>
                <w:sz w:val="21"/>
                <w:szCs w:val="21"/>
                <w:lang w:val="en-US" w:eastAsia="zh-CN"/>
              </w:rPr>
              <w:t>%下降至0%</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非甲烷总烃去除效率由</w:t>
            </w:r>
            <w:r>
              <w:rPr>
                <w:rFonts w:hint="eastAsia" w:cs="Times New Roman"/>
                <w:b w:val="0"/>
                <w:bCs w:val="0"/>
                <w:color w:val="auto"/>
                <w:sz w:val="21"/>
                <w:szCs w:val="21"/>
                <w:lang w:val="en-US" w:eastAsia="zh-CN"/>
              </w:rPr>
              <w:t>39</w:t>
            </w:r>
            <w:r>
              <w:rPr>
                <w:rFonts w:hint="default" w:ascii="Times New Roman" w:hAnsi="Times New Roman" w:eastAsia="宋体" w:cs="Times New Roman"/>
                <w:b w:val="0"/>
                <w:bCs w:val="0"/>
                <w:color w:val="auto"/>
                <w:sz w:val="21"/>
                <w:szCs w:val="21"/>
                <w:lang w:val="en-US" w:eastAsia="zh-CN"/>
              </w:rPr>
              <w:t>%下降至0%。一年发生次数约1次，持续时间约</w:t>
            </w:r>
            <w:r>
              <w:rPr>
                <w:rFonts w:hint="eastAsia" w:ascii="Times New Roman" w:hAnsi="Times New Roman" w:eastAsia="宋体" w:cs="Times New Roman"/>
                <w:b w:val="0"/>
                <w:bCs w:val="0"/>
                <w:color w:val="auto"/>
                <w:sz w:val="21"/>
                <w:szCs w:val="21"/>
                <w:lang w:val="en-US" w:eastAsia="zh-CN"/>
              </w:rPr>
              <w:t>1~2h。</w:t>
            </w:r>
          </w:p>
          <w:p w14:paraId="00F12A86">
            <w:pPr>
              <w:pStyle w:val="49"/>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lang w:val="en-US" w:eastAsia="zh-CN"/>
              </w:rPr>
            </w:pPr>
          </w:p>
          <w:p w14:paraId="5F15E39E">
            <w:pPr>
              <w:pStyle w:val="49"/>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表4-</w:t>
            </w:r>
            <w:r>
              <w:rPr>
                <w:rFonts w:hint="eastAsia" w:eastAsia="宋体" w:cs="Times New Roman"/>
                <w:b/>
                <w:bCs/>
                <w:color w:val="auto"/>
                <w:sz w:val="18"/>
                <w:szCs w:val="18"/>
                <w:lang w:val="en-US" w:eastAsia="zh-CN"/>
              </w:rPr>
              <w:t>9</w:t>
            </w:r>
            <w:r>
              <w:rPr>
                <w:rFonts w:hint="default" w:ascii="Times New Roman" w:hAnsi="Times New Roman" w:eastAsia="宋体" w:cs="Times New Roman"/>
                <w:b/>
                <w:bCs/>
                <w:color w:val="auto"/>
                <w:sz w:val="18"/>
                <w:szCs w:val="18"/>
                <w:lang w:val="en-US" w:eastAsia="zh-CN"/>
              </w:rPr>
              <w:t xml:space="preserve">  非正常排放有组织污染源参数一览表</w:t>
            </w:r>
          </w:p>
          <w:tbl>
            <w:tblPr>
              <w:tblStyle w:val="20"/>
              <w:tblW w:w="81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96"/>
              <w:gridCol w:w="930"/>
              <w:gridCol w:w="380"/>
              <w:gridCol w:w="631"/>
              <w:gridCol w:w="1005"/>
              <w:gridCol w:w="1029"/>
              <w:gridCol w:w="960"/>
              <w:gridCol w:w="1125"/>
              <w:gridCol w:w="758"/>
            </w:tblGrid>
            <w:tr w14:paraId="6474AC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2" w:hRule="atLeast"/>
                <w:jc w:val="center"/>
              </w:trPr>
              <w:tc>
                <w:tcPr>
                  <w:tcW w:w="1296" w:type="dxa"/>
                  <w:noWrap w:val="0"/>
                  <w:vAlign w:val="center"/>
                </w:tcPr>
                <w:p w14:paraId="5C893A16">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治理设施</w:t>
                  </w:r>
                </w:p>
              </w:tc>
              <w:tc>
                <w:tcPr>
                  <w:tcW w:w="930" w:type="dxa"/>
                  <w:noWrap w:val="0"/>
                  <w:vAlign w:val="center"/>
                </w:tcPr>
                <w:p w14:paraId="0D114114">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排气筒编号</w:t>
                  </w:r>
                </w:p>
              </w:tc>
              <w:tc>
                <w:tcPr>
                  <w:tcW w:w="1011" w:type="dxa"/>
                  <w:gridSpan w:val="2"/>
                  <w:noWrap w:val="0"/>
                  <w:vAlign w:val="center"/>
                </w:tcPr>
                <w:p w14:paraId="40D61E9F">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color w:val="auto"/>
                      <w:sz w:val="18"/>
                      <w:szCs w:val="18"/>
                      <w:lang w:val="en-US" w:eastAsia="zh-CN"/>
                    </w:rPr>
                  </w:pPr>
                  <w:r>
                    <w:rPr>
                      <w:rFonts w:hint="default" w:ascii="Times New Roman" w:hAnsi="Times New Roman" w:eastAsia="宋体" w:cs="Times New Roman"/>
                      <w:b/>
                      <w:color w:val="auto"/>
                      <w:sz w:val="18"/>
                      <w:szCs w:val="18"/>
                      <w:lang w:val="en-US" w:eastAsia="zh-CN"/>
                    </w:rPr>
                    <w:t>污染物</w:t>
                  </w:r>
                </w:p>
              </w:tc>
              <w:tc>
                <w:tcPr>
                  <w:tcW w:w="1005" w:type="dxa"/>
                  <w:noWrap w:val="0"/>
                  <w:vAlign w:val="center"/>
                </w:tcPr>
                <w:p w14:paraId="41471DD0">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非正常排放速率</w:t>
                  </w:r>
                  <w:r>
                    <w:rPr>
                      <w:rFonts w:hint="default" w:ascii="Times New Roman" w:hAnsi="Times New Roman" w:eastAsia="宋体" w:cs="Times New Roman"/>
                      <w:b/>
                      <w:bCs/>
                      <w:color w:val="auto"/>
                      <w:sz w:val="18"/>
                      <w:szCs w:val="18"/>
                    </w:rPr>
                    <w:t>（kg/h）</w:t>
                  </w:r>
                </w:p>
              </w:tc>
              <w:tc>
                <w:tcPr>
                  <w:tcW w:w="1029" w:type="dxa"/>
                  <w:tcBorders>
                    <w:right w:val="single" w:color="auto" w:sz="4" w:space="0"/>
                  </w:tcBorders>
                  <w:noWrap w:val="0"/>
                  <w:vAlign w:val="center"/>
                </w:tcPr>
                <w:p w14:paraId="1C0C9EE9">
                  <w:pPr>
                    <w:pStyle w:val="50"/>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color w:val="auto"/>
                      <w:sz w:val="18"/>
                      <w:szCs w:val="18"/>
                      <w:lang w:eastAsia="zh-CN"/>
                    </w:rPr>
                    <w:t>非正常排放浓度</w:t>
                  </w:r>
                  <w:r>
                    <w:rPr>
                      <w:rFonts w:hint="default" w:ascii="Times New Roman" w:hAnsi="Times New Roman" w:eastAsia="宋体" w:cs="Times New Roman"/>
                      <w:b/>
                      <w:bCs/>
                      <w:color w:val="auto"/>
                      <w:sz w:val="18"/>
                      <w:szCs w:val="18"/>
                    </w:rPr>
                    <w:t>（</w:t>
                  </w:r>
                  <w:r>
                    <w:rPr>
                      <w:rFonts w:hint="default" w:ascii="Times New Roman" w:hAnsi="Times New Roman" w:eastAsia="宋体" w:cs="Times New Roman"/>
                      <w:b/>
                      <w:bCs/>
                      <w:color w:val="auto"/>
                      <w:sz w:val="18"/>
                      <w:szCs w:val="18"/>
                      <w:lang w:val="en-US" w:eastAsia="zh-CN"/>
                    </w:rPr>
                    <w:t>mg/m</w:t>
                  </w:r>
                  <w:r>
                    <w:rPr>
                      <w:rFonts w:hint="default" w:ascii="Times New Roman" w:hAnsi="Times New Roman" w:eastAsia="宋体" w:cs="Times New Roman"/>
                      <w:b/>
                      <w:bCs/>
                      <w:color w:val="auto"/>
                      <w:sz w:val="18"/>
                      <w:szCs w:val="18"/>
                      <w:vertAlign w:val="superscript"/>
                      <w:lang w:val="en-US" w:eastAsia="zh-CN"/>
                    </w:rPr>
                    <w:t>3</w:t>
                  </w:r>
                  <w:r>
                    <w:rPr>
                      <w:rFonts w:hint="default" w:ascii="Times New Roman" w:hAnsi="Times New Roman" w:eastAsia="宋体" w:cs="Times New Roman"/>
                      <w:b/>
                      <w:bCs/>
                      <w:color w:val="auto"/>
                      <w:sz w:val="18"/>
                      <w:szCs w:val="18"/>
                    </w:rPr>
                    <w:t>）</w:t>
                  </w:r>
                </w:p>
              </w:tc>
              <w:tc>
                <w:tcPr>
                  <w:tcW w:w="960" w:type="dxa"/>
                  <w:tcBorders>
                    <w:left w:val="single" w:color="auto" w:sz="4" w:space="0"/>
                    <w:right w:val="single" w:color="auto" w:sz="4" w:space="0"/>
                  </w:tcBorders>
                  <w:noWrap w:val="0"/>
                  <w:vAlign w:val="center"/>
                </w:tcPr>
                <w:p w14:paraId="01E1C69C">
                  <w:pPr>
                    <w:pStyle w:val="50"/>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标准限值</w:t>
                  </w:r>
                </w:p>
                <w:p w14:paraId="6CD85436">
                  <w:pPr>
                    <w:pStyle w:val="50"/>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（kg/h）</w:t>
                  </w:r>
                </w:p>
              </w:tc>
              <w:tc>
                <w:tcPr>
                  <w:tcW w:w="1125" w:type="dxa"/>
                  <w:tcBorders>
                    <w:left w:val="single" w:color="auto" w:sz="4" w:space="0"/>
                  </w:tcBorders>
                  <w:noWrap w:val="0"/>
                  <w:vAlign w:val="center"/>
                </w:tcPr>
                <w:p w14:paraId="7F0C110E">
                  <w:pPr>
                    <w:pStyle w:val="50"/>
                    <w:keepNext w:val="0"/>
                    <w:keepLines w:val="0"/>
                    <w:pageBreakBefore w:val="0"/>
                    <w:widowControl w:val="0"/>
                    <w:kinsoku/>
                    <w:wordWrap/>
                    <w:overflowPunct/>
                    <w:topLinePunct w:val="0"/>
                    <w:autoSpaceDE/>
                    <w:autoSpaceDN/>
                    <w:bidi w:val="0"/>
                    <w:adjustRightInd/>
                    <w:snapToGrid/>
                    <w:spacing w:line="360" w:lineRule="exact"/>
                    <w:ind w:left="0" w:right="0"/>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标准限值（</w:t>
                  </w:r>
                  <w:r>
                    <w:rPr>
                      <w:rFonts w:hint="default" w:ascii="Times New Roman" w:hAnsi="Times New Roman" w:eastAsia="宋体" w:cs="Times New Roman"/>
                      <w:b/>
                      <w:bCs/>
                      <w:color w:val="auto"/>
                      <w:sz w:val="18"/>
                      <w:szCs w:val="18"/>
                      <w:lang w:val="en-US" w:eastAsia="zh-CN"/>
                    </w:rPr>
                    <w:t>mg/m</w:t>
                  </w:r>
                  <w:r>
                    <w:rPr>
                      <w:rFonts w:hint="default" w:ascii="Times New Roman" w:hAnsi="Times New Roman" w:eastAsia="宋体" w:cs="Times New Roman"/>
                      <w:b/>
                      <w:bCs/>
                      <w:color w:val="auto"/>
                      <w:sz w:val="18"/>
                      <w:szCs w:val="18"/>
                      <w:vertAlign w:val="superscript"/>
                      <w:lang w:val="en-US" w:eastAsia="zh-CN"/>
                    </w:rPr>
                    <w:t>3</w:t>
                  </w:r>
                  <w:r>
                    <w:rPr>
                      <w:rFonts w:hint="default" w:ascii="Times New Roman" w:hAnsi="Times New Roman" w:eastAsia="宋体" w:cs="Times New Roman"/>
                      <w:b/>
                      <w:bCs/>
                      <w:color w:val="auto"/>
                      <w:sz w:val="18"/>
                      <w:szCs w:val="18"/>
                    </w:rPr>
                    <w:t>）</w:t>
                  </w:r>
                </w:p>
              </w:tc>
              <w:tc>
                <w:tcPr>
                  <w:tcW w:w="758" w:type="dxa"/>
                  <w:noWrap w:val="0"/>
                  <w:vAlign w:val="center"/>
                </w:tcPr>
                <w:p w14:paraId="5E74EFA2">
                  <w:pPr>
                    <w:pStyle w:val="50"/>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center"/>
                    <w:textAlignment w:val="auto"/>
                    <w:rPr>
                      <w:rFonts w:hint="default" w:ascii="Times New Roman" w:hAnsi="Times New Roman" w:eastAsia="宋体" w:cs="Times New Roman"/>
                      <w:b/>
                      <w:color w:val="auto"/>
                      <w:sz w:val="18"/>
                      <w:szCs w:val="18"/>
                      <w:lang w:eastAsia="zh-CN"/>
                    </w:rPr>
                  </w:pPr>
                  <w:r>
                    <w:rPr>
                      <w:rFonts w:hint="default" w:ascii="Times New Roman" w:hAnsi="Times New Roman" w:eastAsia="宋体" w:cs="Times New Roman"/>
                      <w:b/>
                      <w:bCs/>
                      <w:color w:val="auto"/>
                      <w:sz w:val="18"/>
                      <w:szCs w:val="18"/>
                      <w:lang w:val="en-US" w:eastAsia="zh-CN"/>
                    </w:rPr>
                    <w:t>达标判定</w:t>
                  </w:r>
                </w:p>
              </w:tc>
            </w:tr>
            <w:tr w14:paraId="378424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72" w:hRule="atLeast"/>
                <w:jc w:val="center"/>
              </w:trPr>
              <w:tc>
                <w:tcPr>
                  <w:tcW w:w="1296" w:type="dxa"/>
                  <w:vMerge w:val="restart"/>
                  <w:noWrap w:val="0"/>
                  <w:vAlign w:val="center"/>
                </w:tcPr>
                <w:p w14:paraId="0124C3EC">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vertAlign w:val="baseline"/>
                      <w:lang w:val="en-US" w:eastAsia="zh-CN"/>
                    </w:rPr>
                    <w:t>三级活性炭吸附装置</w:t>
                  </w:r>
                </w:p>
              </w:tc>
              <w:tc>
                <w:tcPr>
                  <w:tcW w:w="930" w:type="dxa"/>
                  <w:vMerge w:val="restart"/>
                  <w:noWrap w:val="0"/>
                  <w:vAlign w:val="center"/>
                </w:tcPr>
                <w:p w14:paraId="7E1F7CFB">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DA001</w:t>
                  </w:r>
                </w:p>
              </w:tc>
              <w:tc>
                <w:tcPr>
                  <w:tcW w:w="1011" w:type="dxa"/>
                  <w:gridSpan w:val="2"/>
                  <w:noWrap w:val="0"/>
                  <w:vAlign w:val="center"/>
                </w:tcPr>
                <w:p w14:paraId="6130D2E1">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非甲烷总烃</w:t>
                  </w:r>
                </w:p>
              </w:tc>
              <w:tc>
                <w:tcPr>
                  <w:tcW w:w="1005" w:type="dxa"/>
                  <w:noWrap w:val="0"/>
                  <w:vAlign w:val="center"/>
                </w:tcPr>
                <w:p w14:paraId="2D457E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0.013 </w:t>
                  </w:r>
                </w:p>
              </w:tc>
              <w:tc>
                <w:tcPr>
                  <w:tcW w:w="1029" w:type="dxa"/>
                  <w:tcBorders>
                    <w:right w:val="single" w:color="auto" w:sz="4" w:space="0"/>
                  </w:tcBorders>
                  <w:noWrap w:val="0"/>
                  <w:vAlign w:val="center"/>
                </w:tcPr>
                <w:p w14:paraId="6EBAE3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0.65 </w:t>
                  </w:r>
                </w:p>
              </w:tc>
              <w:tc>
                <w:tcPr>
                  <w:tcW w:w="960" w:type="dxa"/>
                  <w:tcBorders>
                    <w:left w:val="single" w:color="auto" w:sz="4" w:space="0"/>
                    <w:right w:val="single" w:color="auto" w:sz="4" w:space="0"/>
                  </w:tcBorders>
                  <w:noWrap w:val="0"/>
                  <w:vAlign w:val="center"/>
                </w:tcPr>
                <w:p w14:paraId="3AD754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5</w:t>
                  </w:r>
                </w:p>
              </w:tc>
              <w:tc>
                <w:tcPr>
                  <w:tcW w:w="1125" w:type="dxa"/>
                  <w:tcBorders>
                    <w:left w:val="single" w:color="auto" w:sz="4" w:space="0"/>
                  </w:tcBorders>
                  <w:noWrap w:val="0"/>
                  <w:vAlign w:val="center"/>
                </w:tcPr>
                <w:p w14:paraId="4FF936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120</w:t>
                  </w:r>
                </w:p>
              </w:tc>
              <w:tc>
                <w:tcPr>
                  <w:tcW w:w="758" w:type="dxa"/>
                  <w:noWrap w:val="0"/>
                  <w:vAlign w:val="center"/>
                </w:tcPr>
                <w:p w14:paraId="4BD85E34">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w:t>
                  </w:r>
                </w:p>
              </w:tc>
            </w:tr>
            <w:tr w14:paraId="4D6F44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7" w:hRule="atLeast"/>
                <w:jc w:val="center"/>
              </w:trPr>
              <w:tc>
                <w:tcPr>
                  <w:tcW w:w="1296" w:type="dxa"/>
                  <w:vMerge w:val="continue"/>
                  <w:noWrap w:val="0"/>
                  <w:vAlign w:val="center"/>
                </w:tcPr>
                <w:p w14:paraId="72C2F111">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eastAsia="zh-CN"/>
                    </w:rPr>
                  </w:pPr>
                </w:p>
              </w:tc>
              <w:tc>
                <w:tcPr>
                  <w:tcW w:w="930" w:type="dxa"/>
                  <w:vMerge w:val="continue"/>
                  <w:noWrap w:val="0"/>
                  <w:vAlign w:val="center"/>
                </w:tcPr>
                <w:p w14:paraId="7597FABE">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380" w:type="dxa"/>
                  <w:vMerge w:val="restart"/>
                  <w:noWrap w:val="0"/>
                  <w:vAlign w:val="center"/>
                </w:tcPr>
                <w:p w14:paraId="548BAADB">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其中</w:t>
                  </w:r>
                </w:p>
              </w:tc>
              <w:tc>
                <w:tcPr>
                  <w:tcW w:w="631" w:type="dxa"/>
                  <w:noWrap w:val="0"/>
                  <w:vAlign w:val="center"/>
                </w:tcPr>
                <w:p w14:paraId="17E6EEE0">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甲醇</w:t>
                  </w:r>
                </w:p>
              </w:tc>
              <w:tc>
                <w:tcPr>
                  <w:tcW w:w="1005" w:type="dxa"/>
                  <w:noWrap w:val="0"/>
                  <w:vAlign w:val="center"/>
                </w:tcPr>
                <w:p w14:paraId="08222A1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0.0013 </w:t>
                  </w:r>
                </w:p>
              </w:tc>
              <w:tc>
                <w:tcPr>
                  <w:tcW w:w="1029" w:type="dxa"/>
                  <w:tcBorders>
                    <w:right w:val="single" w:color="auto" w:sz="4" w:space="0"/>
                  </w:tcBorders>
                  <w:noWrap w:val="0"/>
                  <w:vAlign w:val="center"/>
                </w:tcPr>
                <w:p w14:paraId="4CCA75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0.065 </w:t>
                  </w:r>
                </w:p>
              </w:tc>
              <w:tc>
                <w:tcPr>
                  <w:tcW w:w="960" w:type="dxa"/>
                  <w:tcBorders>
                    <w:left w:val="single" w:color="auto" w:sz="4" w:space="0"/>
                    <w:right w:val="single" w:color="auto" w:sz="4" w:space="0"/>
                  </w:tcBorders>
                  <w:noWrap w:val="0"/>
                  <w:vAlign w:val="center"/>
                </w:tcPr>
                <w:p w14:paraId="5C2B52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2.55</w:t>
                  </w:r>
                </w:p>
              </w:tc>
              <w:tc>
                <w:tcPr>
                  <w:tcW w:w="1125" w:type="dxa"/>
                  <w:tcBorders>
                    <w:left w:val="single" w:color="auto" w:sz="4" w:space="0"/>
                  </w:tcBorders>
                  <w:noWrap w:val="0"/>
                  <w:vAlign w:val="center"/>
                </w:tcPr>
                <w:p w14:paraId="40D71B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190</w:t>
                  </w:r>
                </w:p>
              </w:tc>
              <w:tc>
                <w:tcPr>
                  <w:tcW w:w="758" w:type="dxa"/>
                  <w:noWrap w:val="0"/>
                  <w:vAlign w:val="center"/>
                </w:tcPr>
                <w:p w14:paraId="1122AC25">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w:t>
                  </w:r>
                </w:p>
              </w:tc>
            </w:tr>
            <w:tr w14:paraId="253EC8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7" w:hRule="atLeast"/>
                <w:jc w:val="center"/>
              </w:trPr>
              <w:tc>
                <w:tcPr>
                  <w:tcW w:w="1296" w:type="dxa"/>
                  <w:vMerge w:val="continue"/>
                  <w:noWrap w:val="0"/>
                  <w:vAlign w:val="center"/>
                </w:tcPr>
                <w:p w14:paraId="203B650A">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eastAsia="zh-CN"/>
                    </w:rPr>
                  </w:pPr>
                </w:p>
              </w:tc>
              <w:tc>
                <w:tcPr>
                  <w:tcW w:w="930" w:type="dxa"/>
                  <w:vMerge w:val="continue"/>
                  <w:noWrap w:val="0"/>
                  <w:vAlign w:val="center"/>
                </w:tcPr>
                <w:p w14:paraId="7274E3D6">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380" w:type="dxa"/>
                  <w:vMerge w:val="continue"/>
                  <w:noWrap w:val="0"/>
                  <w:vAlign w:val="center"/>
                </w:tcPr>
                <w:p w14:paraId="750AD182">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val="0"/>
                      <w:bCs w:val="0"/>
                      <w:color w:val="auto"/>
                      <w:sz w:val="18"/>
                      <w:szCs w:val="18"/>
                    </w:rPr>
                  </w:pPr>
                </w:p>
              </w:tc>
              <w:tc>
                <w:tcPr>
                  <w:tcW w:w="631" w:type="dxa"/>
                  <w:noWrap w:val="0"/>
                  <w:vAlign w:val="center"/>
                </w:tcPr>
                <w:p w14:paraId="0B0A7A70">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甲醛</w:t>
                  </w:r>
                </w:p>
              </w:tc>
              <w:tc>
                <w:tcPr>
                  <w:tcW w:w="1005" w:type="dxa"/>
                  <w:noWrap w:val="0"/>
                  <w:vAlign w:val="center"/>
                </w:tcPr>
                <w:p w14:paraId="5958F4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0.0002 </w:t>
                  </w:r>
                </w:p>
              </w:tc>
              <w:tc>
                <w:tcPr>
                  <w:tcW w:w="1029" w:type="dxa"/>
                  <w:tcBorders>
                    <w:right w:val="single" w:color="auto" w:sz="4" w:space="0"/>
                  </w:tcBorders>
                  <w:noWrap w:val="0"/>
                  <w:vAlign w:val="center"/>
                </w:tcPr>
                <w:p w14:paraId="3D8B6A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0.01 </w:t>
                  </w:r>
                </w:p>
              </w:tc>
              <w:tc>
                <w:tcPr>
                  <w:tcW w:w="960" w:type="dxa"/>
                  <w:tcBorders>
                    <w:left w:val="single" w:color="auto" w:sz="4" w:space="0"/>
                    <w:right w:val="single" w:color="auto" w:sz="4" w:space="0"/>
                  </w:tcBorders>
                  <w:noWrap w:val="0"/>
                  <w:vAlign w:val="center"/>
                </w:tcPr>
                <w:p w14:paraId="25187C3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0.13</w:t>
                  </w:r>
                </w:p>
              </w:tc>
              <w:tc>
                <w:tcPr>
                  <w:tcW w:w="1125" w:type="dxa"/>
                  <w:tcBorders>
                    <w:left w:val="single" w:color="auto" w:sz="4" w:space="0"/>
                  </w:tcBorders>
                  <w:noWrap w:val="0"/>
                  <w:vAlign w:val="center"/>
                </w:tcPr>
                <w:p w14:paraId="4F133B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25</w:t>
                  </w:r>
                </w:p>
              </w:tc>
              <w:tc>
                <w:tcPr>
                  <w:tcW w:w="758" w:type="dxa"/>
                  <w:noWrap w:val="0"/>
                  <w:vAlign w:val="center"/>
                </w:tcPr>
                <w:p w14:paraId="0B67D9EB">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w:t>
                  </w:r>
                </w:p>
              </w:tc>
            </w:tr>
            <w:tr w14:paraId="2A41A1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7" w:hRule="atLeast"/>
                <w:jc w:val="center"/>
              </w:trPr>
              <w:tc>
                <w:tcPr>
                  <w:tcW w:w="1296" w:type="dxa"/>
                  <w:vMerge w:val="restart"/>
                  <w:noWrap w:val="0"/>
                  <w:vAlign w:val="center"/>
                </w:tcPr>
                <w:p w14:paraId="3C8C12AB">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碱液喷淋处理</w:t>
                  </w:r>
                  <w:r>
                    <w:rPr>
                      <w:rFonts w:hint="default" w:ascii="Times New Roman" w:hAnsi="Times New Roman" w:eastAsia="宋体" w:cs="Times New Roman"/>
                      <w:b w:val="0"/>
                      <w:bCs w:val="0"/>
                      <w:color w:val="auto"/>
                      <w:sz w:val="18"/>
                      <w:szCs w:val="18"/>
                      <w:lang w:val="en-US" w:eastAsia="zh-CN"/>
                    </w:rPr>
                    <w:t>装置</w:t>
                  </w:r>
                </w:p>
              </w:tc>
              <w:tc>
                <w:tcPr>
                  <w:tcW w:w="930" w:type="dxa"/>
                  <w:vMerge w:val="continue"/>
                  <w:noWrap w:val="0"/>
                  <w:vAlign w:val="center"/>
                </w:tcPr>
                <w:p w14:paraId="313A426D">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1011" w:type="dxa"/>
                  <w:gridSpan w:val="2"/>
                  <w:noWrap w:val="0"/>
                  <w:vAlign w:val="center"/>
                </w:tcPr>
                <w:p w14:paraId="49DAEBCC">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color w:val="auto"/>
                      <w:sz w:val="18"/>
                      <w:szCs w:val="18"/>
                    </w:rPr>
                    <w:t>HCL</w:t>
                  </w:r>
                </w:p>
              </w:tc>
              <w:tc>
                <w:tcPr>
                  <w:tcW w:w="1005" w:type="dxa"/>
                  <w:noWrap w:val="0"/>
                  <w:vAlign w:val="center"/>
                </w:tcPr>
                <w:p w14:paraId="63C358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0.0048 </w:t>
                  </w:r>
                </w:p>
              </w:tc>
              <w:tc>
                <w:tcPr>
                  <w:tcW w:w="1029" w:type="dxa"/>
                  <w:tcBorders>
                    <w:right w:val="single" w:color="auto" w:sz="4" w:space="0"/>
                  </w:tcBorders>
                  <w:noWrap w:val="0"/>
                  <w:vAlign w:val="center"/>
                </w:tcPr>
                <w:p w14:paraId="01235E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0.24 </w:t>
                  </w:r>
                </w:p>
              </w:tc>
              <w:tc>
                <w:tcPr>
                  <w:tcW w:w="960" w:type="dxa"/>
                  <w:tcBorders>
                    <w:left w:val="single" w:color="auto" w:sz="4" w:space="0"/>
                    <w:right w:val="single" w:color="auto" w:sz="4" w:space="0"/>
                  </w:tcBorders>
                  <w:noWrap w:val="0"/>
                  <w:vAlign w:val="center"/>
                </w:tcPr>
                <w:p w14:paraId="66C484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0.13</w:t>
                  </w:r>
                </w:p>
              </w:tc>
              <w:tc>
                <w:tcPr>
                  <w:tcW w:w="1125" w:type="dxa"/>
                  <w:tcBorders>
                    <w:left w:val="single" w:color="auto" w:sz="4" w:space="0"/>
                  </w:tcBorders>
                  <w:noWrap w:val="0"/>
                  <w:vAlign w:val="center"/>
                </w:tcPr>
                <w:p w14:paraId="710B694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100</w:t>
                  </w:r>
                </w:p>
              </w:tc>
              <w:tc>
                <w:tcPr>
                  <w:tcW w:w="758" w:type="dxa"/>
                  <w:noWrap w:val="0"/>
                  <w:vAlign w:val="center"/>
                </w:tcPr>
                <w:p w14:paraId="72B6F8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w:t>
                  </w:r>
                </w:p>
              </w:tc>
            </w:tr>
            <w:tr w14:paraId="5BBFF0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7" w:hRule="atLeast"/>
                <w:jc w:val="center"/>
              </w:trPr>
              <w:tc>
                <w:tcPr>
                  <w:tcW w:w="1296" w:type="dxa"/>
                  <w:vMerge w:val="continue"/>
                  <w:noWrap w:val="0"/>
                  <w:vAlign w:val="center"/>
                </w:tcPr>
                <w:p w14:paraId="3AA4BAFF">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eastAsia="zh-CN"/>
                    </w:rPr>
                  </w:pPr>
                </w:p>
              </w:tc>
              <w:tc>
                <w:tcPr>
                  <w:tcW w:w="930" w:type="dxa"/>
                  <w:vMerge w:val="continue"/>
                  <w:noWrap w:val="0"/>
                  <w:vAlign w:val="center"/>
                </w:tcPr>
                <w:p w14:paraId="74FAF48A">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1011" w:type="dxa"/>
                  <w:gridSpan w:val="2"/>
                  <w:noWrap w:val="0"/>
                  <w:vAlign w:val="center"/>
                </w:tcPr>
                <w:p w14:paraId="0845A227">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color w:val="auto"/>
                      <w:sz w:val="18"/>
                      <w:szCs w:val="18"/>
                    </w:rPr>
                    <w:t>硫酸雾</w:t>
                  </w:r>
                </w:p>
              </w:tc>
              <w:tc>
                <w:tcPr>
                  <w:tcW w:w="1005" w:type="dxa"/>
                  <w:noWrap w:val="0"/>
                  <w:vAlign w:val="center"/>
                </w:tcPr>
                <w:p w14:paraId="029581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0.0182 </w:t>
                  </w:r>
                </w:p>
              </w:tc>
              <w:tc>
                <w:tcPr>
                  <w:tcW w:w="1029" w:type="dxa"/>
                  <w:tcBorders>
                    <w:right w:val="single" w:color="auto" w:sz="4" w:space="0"/>
                  </w:tcBorders>
                  <w:noWrap w:val="0"/>
                  <w:vAlign w:val="center"/>
                </w:tcPr>
                <w:p w14:paraId="5088353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0.91 </w:t>
                  </w:r>
                </w:p>
              </w:tc>
              <w:tc>
                <w:tcPr>
                  <w:tcW w:w="960" w:type="dxa"/>
                  <w:tcBorders>
                    <w:left w:val="single" w:color="auto" w:sz="4" w:space="0"/>
                    <w:right w:val="single" w:color="auto" w:sz="4" w:space="0"/>
                  </w:tcBorders>
                  <w:noWrap w:val="0"/>
                  <w:vAlign w:val="center"/>
                </w:tcPr>
                <w:p w14:paraId="6B6313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0.75</w:t>
                  </w:r>
                </w:p>
              </w:tc>
              <w:tc>
                <w:tcPr>
                  <w:tcW w:w="1125" w:type="dxa"/>
                  <w:tcBorders>
                    <w:left w:val="single" w:color="auto" w:sz="4" w:space="0"/>
                  </w:tcBorders>
                  <w:noWrap w:val="0"/>
                  <w:vAlign w:val="center"/>
                </w:tcPr>
                <w:p w14:paraId="5E616A4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45</w:t>
                  </w:r>
                </w:p>
              </w:tc>
              <w:tc>
                <w:tcPr>
                  <w:tcW w:w="758" w:type="dxa"/>
                  <w:noWrap w:val="0"/>
                  <w:vAlign w:val="center"/>
                </w:tcPr>
                <w:p w14:paraId="45E361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w:t>
                  </w:r>
                </w:p>
              </w:tc>
            </w:tr>
            <w:tr w14:paraId="733B91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7" w:hRule="atLeast"/>
                <w:jc w:val="center"/>
              </w:trPr>
              <w:tc>
                <w:tcPr>
                  <w:tcW w:w="1296" w:type="dxa"/>
                  <w:vMerge w:val="continue"/>
                  <w:noWrap w:val="0"/>
                  <w:vAlign w:val="center"/>
                </w:tcPr>
                <w:p w14:paraId="5E26F1C1">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eastAsia="zh-CN"/>
                    </w:rPr>
                  </w:pPr>
                </w:p>
              </w:tc>
              <w:tc>
                <w:tcPr>
                  <w:tcW w:w="930" w:type="dxa"/>
                  <w:vMerge w:val="continue"/>
                  <w:noWrap w:val="0"/>
                  <w:vAlign w:val="center"/>
                </w:tcPr>
                <w:p w14:paraId="7ACB2E5F">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1011" w:type="dxa"/>
                  <w:gridSpan w:val="2"/>
                  <w:noWrap w:val="0"/>
                  <w:vAlign w:val="center"/>
                </w:tcPr>
                <w:p w14:paraId="1EFF0F99">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default" w:ascii="Times New Roman" w:hAnsi="Times New Roman" w:eastAsia="宋体" w:cs="Times New Roman"/>
                      <w:b w:val="0"/>
                      <w:bCs w:val="0"/>
                      <w:color w:val="auto"/>
                      <w:sz w:val="18"/>
                      <w:szCs w:val="18"/>
                    </w:rPr>
                  </w:pPr>
                  <w:r>
                    <w:rPr>
                      <w:rFonts w:hint="default" w:ascii="Times New Roman" w:hAnsi="Times New Roman" w:eastAsia="宋体" w:cs="Times New Roman"/>
                      <w:color w:val="auto"/>
                      <w:sz w:val="18"/>
                      <w:szCs w:val="18"/>
                    </w:rPr>
                    <w:t>NOx</w:t>
                  </w:r>
                </w:p>
              </w:tc>
              <w:tc>
                <w:tcPr>
                  <w:tcW w:w="1005" w:type="dxa"/>
                  <w:noWrap w:val="0"/>
                  <w:vAlign w:val="center"/>
                </w:tcPr>
                <w:p w14:paraId="47168F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0.0039 </w:t>
                  </w:r>
                </w:p>
              </w:tc>
              <w:tc>
                <w:tcPr>
                  <w:tcW w:w="1029" w:type="dxa"/>
                  <w:tcBorders>
                    <w:right w:val="single" w:color="auto" w:sz="4" w:space="0"/>
                  </w:tcBorders>
                  <w:noWrap w:val="0"/>
                  <w:vAlign w:val="center"/>
                </w:tcPr>
                <w:p w14:paraId="38F1AE1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0.195 </w:t>
                  </w:r>
                </w:p>
              </w:tc>
              <w:tc>
                <w:tcPr>
                  <w:tcW w:w="960" w:type="dxa"/>
                  <w:tcBorders>
                    <w:left w:val="single" w:color="auto" w:sz="4" w:space="0"/>
                    <w:right w:val="single" w:color="auto" w:sz="4" w:space="0"/>
                  </w:tcBorders>
                  <w:noWrap w:val="0"/>
                  <w:vAlign w:val="center"/>
                </w:tcPr>
                <w:p w14:paraId="60C7B6B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0.385</w:t>
                  </w:r>
                </w:p>
              </w:tc>
              <w:tc>
                <w:tcPr>
                  <w:tcW w:w="1125" w:type="dxa"/>
                  <w:tcBorders>
                    <w:left w:val="single" w:color="auto" w:sz="4" w:space="0"/>
                  </w:tcBorders>
                  <w:noWrap w:val="0"/>
                  <w:vAlign w:val="center"/>
                </w:tcPr>
                <w:p w14:paraId="724DF2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vertAlign w:val="baseline"/>
                      <w:lang w:val="en-US" w:eastAsia="zh-CN"/>
                    </w:rPr>
                    <w:t>240</w:t>
                  </w:r>
                </w:p>
              </w:tc>
              <w:tc>
                <w:tcPr>
                  <w:tcW w:w="758" w:type="dxa"/>
                  <w:noWrap w:val="0"/>
                  <w:vAlign w:val="center"/>
                </w:tcPr>
                <w:p w14:paraId="5A162E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w:t>
                  </w:r>
                </w:p>
              </w:tc>
            </w:tr>
            <w:tr w14:paraId="3D8282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457" w:hRule="atLeast"/>
                <w:jc w:val="center"/>
              </w:trPr>
              <w:tc>
                <w:tcPr>
                  <w:tcW w:w="1296" w:type="dxa"/>
                  <w:vMerge w:val="continue"/>
                  <w:noWrap w:val="0"/>
                  <w:vAlign w:val="center"/>
                </w:tcPr>
                <w:p w14:paraId="7DC15772">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eastAsia="zh-CN"/>
                    </w:rPr>
                  </w:pPr>
                </w:p>
              </w:tc>
              <w:tc>
                <w:tcPr>
                  <w:tcW w:w="930" w:type="dxa"/>
                  <w:vMerge w:val="continue"/>
                  <w:noWrap w:val="0"/>
                  <w:vAlign w:val="center"/>
                </w:tcPr>
                <w:p w14:paraId="6E94876A">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1011" w:type="dxa"/>
                  <w:gridSpan w:val="2"/>
                  <w:noWrap w:val="0"/>
                  <w:vAlign w:val="center"/>
                </w:tcPr>
                <w:p w14:paraId="3626966D">
                  <w:pPr>
                    <w:pStyle w:val="19"/>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center"/>
                    <w:textAlignment w:val="auto"/>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氨</w:t>
                  </w:r>
                </w:p>
              </w:tc>
              <w:tc>
                <w:tcPr>
                  <w:tcW w:w="1005" w:type="dxa"/>
                  <w:noWrap w:val="0"/>
                  <w:vAlign w:val="center"/>
                </w:tcPr>
                <w:p w14:paraId="6E57FA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0.0038 </w:t>
                  </w:r>
                </w:p>
              </w:tc>
              <w:tc>
                <w:tcPr>
                  <w:tcW w:w="1029" w:type="dxa"/>
                  <w:tcBorders>
                    <w:right w:val="single" w:color="auto" w:sz="4" w:space="0"/>
                  </w:tcBorders>
                  <w:noWrap w:val="0"/>
                  <w:vAlign w:val="center"/>
                </w:tcPr>
                <w:p w14:paraId="4C9CB70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 xml:space="preserve">0.19 </w:t>
                  </w:r>
                </w:p>
              </w:tc>
              <w:tc>
                <w:tcPr>
                  <w:tcW w:w="960" w:type="dxa"/>
                  <w:tcBorders>
                    <w:left w:val="single" w:color="auto" w:sz="4" w:space="0"/>
                    <w:right w:val="single" w:color="auto" w:sz="4" w:space="0"/>
                  </w:tcBorders>
                  <w:noWrap w:val="0"/>
                  <w:vAlign w:val="center"/>
                </w:tcPr>
                <w:p w14:paraId="285ABC1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w:t>
                  </w:r>
                </w:p>
              </w:tc>
              <w:tc>
                <w:tcPr>
                  <w:tcW w:w="1125" w:type="dxa"/>
                  <w:tcBorders>
                    <w:left w:val="single" w:color="auto" w:sz="4" w:space="0"/>
                  </w:tcBorders>
                  <w:noWrap w:val="0"/>
                  <w:vAlign w:val="center"/>
                </w:tcPr>
                <w:p w14:paraId="5EC1DB0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4.9</w:t>
                  </w:r>
                </w:p>
              </w:tc>
              <w:tc>
                <w:tcPr>
                  <w:tcW w:w="758" w:type="dxa"/>
                  <w:noWrap w:val="0"/>
                  <w:vAlign w:val="center"/>
                </w:tcPr>
                <w:p w14:paraId="38409D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w:t>
                  </w:r>
                </w:p>
              </w:tc>
            </w:tr>
          </w:tbl>
          <w:p w14:paraId="5A75B11F">
            <w:pPr>
              <w:pStyle w:val="49"/>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color w:val="auto"/>
                <w:lang w:val="en-US" w:eastAsia="zh-CN"/>
              </w:rPr>
            </w:pPr>
            <w:r>
              <w:rPr>
                <w:rFonts w:hint="default"/>
                <w:color w:val="auto"/>
                <w:lang w:val="en-US" w:eastAsia="zh-CN"/>
              </w:rPr>
              <w:t>由以上数据可知，当发生非正常排放时，</w:t>
            </w:r>
            <w:r>
              <w:rPr>
                <w:rFonts w:hint="default" w:ascii="Times New Roman" w:hAnsi="Times New Roman" w:eastAsia="宋体" w:cs="Times New Roman"/>
                <w:color w:val="auto"/>
                <w:sz w:val="21"/>
                <w:szCs w:val="21"/>
              </w:rPr>
              <w:t>非甲烷总烃</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甲醇、甲醛</w:t>
            </w:r>
            <w:r>
              <w:rPr>
                <w:rFonts w:hint="default" w:ascii="Times New Roman" w:hAnsi="Times New Roman" w:eastAsia="宋体" w:cs="Times New Roman"/>
                <w:color w:val="auto"/>
                <w:sz w:val="21"/>
                <w:szCs w:val="21"/>
              </w:rPr>
              <w:t>、氯化氢、硫酸雾</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氮氧化物等污染物满足《大气(污染物综合排放标准》(GB16297-1996)</w:t>
            </w:r>
            <w:r>
              <w:rPr>
                <w:rFonts w:hint="default"/>
                <w:color w:val="auto"/>
                <w:lang w:val="en-US" w:eastAsia="zh-CN"/>
              </w:rPr>
              <w:t>表2</w:t>
            </w:r>
            <w:r>
              <w:rPr>
                <w:rFonts w:hint="eastAsia"/>
                <w:color w:val="auto"/>
                <w:lang w:val="en-US" w:eastAsia="zh-CN"/>
              </w:rPr>
              <w:t>中</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w:t>
            </w:r>
            <w:r>
              <w:rPr>
                <w:rFonts w:hint="eastAsia" w:ascii="Times New Roman" w:hAnsi="Times New Roman" w:eastAsia="宋体" w:cs="Times New Roman"/>
                <w:color w:val="auto"/>
                <w:sz w:val="21"/>
                <w:szCs w:val="21"/>
                <w:lang w:val="en-US" w:eastAsia="zh-CN"/>
              </w:rPr>
              <w:t>排气筒</w:t>
            </w:r>
            <w:r>
              <w:rPr>
                <w:rFonts w:hint="default" w:ascii="Times New Roman" w:hAnsi="Times New Roman" w:eastAsia="宋体" w:cs="Times New Roman"/>
                <w:color w:val="auto"/>
                <w:sz w:val="21"/>
                <w:szCs w:val="21"/>
              </w:rPr>
              <w:t>排放速率、排放浓度要求</w:t>
            </w:r>
            <w:r>
              <w:rPr>
                <w:rFonts w:hint="default"/>
                <w:color w:val="auto"/>
                <w:lang w:val="en-US" w:eastAsia="zh-CN"/>
              </w:rPr>
              <w:t>，</w:t>
            </w:r>
            <w:r>
              <w:rPr>
                <w:rFonts w:hint="eastAsia" w:cs="Times New Roman"/>
                <w:color w:val="auto"/>
                <w:lang w:val="en-US" w:eastAsia="zh-CN"/>
              </w:rPr>
              <w:t>氨排放能满足《恶臭污染物排放标准》(GB14554-1993)表2标准限值要求。</w:t>
            </w:r>
            <w:r>
              <w:rPr>
                <w:rFonts w:hint="default"/>
                <w:color w:val="auto"/>
                <w:lang w:val="en-US" w:eastAsia="zh-CN"/>
              </w:rPr>
              <w:t>但非正常排放会加大对周围环境的影响，故应加强废气处理设施的</w:t>
            </w:r>
            <w:r>
              <w:rPr>
                <w:rFonts w:hint="eastAsia"/>
                <w:color w:val="auto"/>
                <w:lang w:val="en-US" w:eastAsia="zh-CN"/>
              </w:rPr>
              <w:t>检修</w:t>
            </w:r>
            <w:r>
              <w:rPr>
                <w:rFonts w:hint="default"/>
                <w:color w:val="auto"/>
                <w:lang w:val="en-US" w:eastAsia="zh-CN"/>
              </w:rPr>
              <w:t>和维护</w:t>
            </w:r>
            <w:r>
              <w:rPr>
                <w:rFonts w:hint="eastAsia"/>
                <w:color w:val="auto"/>
                <w:lang w:val="en-US" w:eastAsia="zh-CN"/>
              </w:rPr>
              <w:t>，</w:t>
            </w:r>
            <w:r>
              <w:rPr>
                <w:rFonts w:hint="default" w:ascii="Times New Roman" w:hAnsi="Times New Roman" w:eastAsia="宋体" w:cs="Times New Roman"/>
                <w:b w:val="0"/>
                <w:bCs w:val="0"/>
                <w:color w:val="auto"/>
                <w:sz w:val="21"/>
                <w:szCs w:val="21"/>
                <w:lang w:val="en-US" w:eastAsia="zh-CN"/>
              </w:rPr>
              <w:t>确保环保设施正常运行</w:t>
            </w:r>
            <w:r>
              <w:rPr>
                <w:rFonts w:hint="default"/>
                <w:color w:val="auto"/>
                <w:lang w:val="en-US" w:eastAsia="zh-CN"/>
              </w:rPr>
              <w:t>行，减少非正常工况下事故排放，减少废气排放对周边环境的影响。</w:t>
            </w:r>
          </w:p>
          <w:p w14:paraId="0416E967">
            <w:pPr>
              <w:adjustRightInd w:val="0"/>
              <w:snapToGrid w:val="0"/>
              <w:spacing w:line="36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1.</w:t>
            </w:r>
            <w:r>
              <w:rPr>
                <w:rFonts w:hint="default" w:ascii="Times New Roman" w:hAnsi="Times New Roman" w:eastAsia="宋体" w:cs="Times New Roman"/>
                <w:b/>
                <w:bCs/>
                <w:color w:val="auto"/>
                <w:sz w:val="21"/>
                <w:szCs w:val="21"/>
                <w:lang w:val="en-US" w:eastAsia="zh-CN"/>
              </w:rPr>
              <w:t>5</w:t>
            </w:r>
            <w:r>
              <w:rPr>
                <w:rFonts w:hint="default" w:ascii="Times New Roman" w:hAnsi="Times New Roman" w:eastAsia="宋体" w:cs="Times New Roman"/>
                <w:b/>
                <w:bCs/>
                <w:color w:val="auto"/>
                <w:sz w:val="21"/>
                <w:szCs w:val="21"/>
              </w:rPr>
              <w:t>运营期废气监测计划</w:t>
            </w:r>
          </w:p>
          <w:p w14:paraId="1ED558D6">
            <w:pPr>
              <w:keepNext w:val="0"/>
              <w:keepLines w:val="0"/>
              <w:pageBreakBefore w:val="0"/>
              <w:widowControl w:val="0"/>
              <w:tabs>
                <w:tab w:val="left" w:pos="1900"/>
              </w:tabs>
              <w:kinsoku/>
              <w:wordWrap/>
              <w:overflowPunct/>
              <w:topLinePunct w:val="0"/>
              <w:autoSpaceDE/>
              <w:autoSpaceDN/>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项目废气污染物监测计划根据《排污单位自行监测技术指南</w:t>
            </w:r>
            <w:r>
              <w:rPr>
                <w:rFonts w:hint="eastAsia"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总</w:t>
            </w:r>
            <w:r>
              <w:rPr>
                <w:rFonts w:hint="eastAsia" w:cs="Times New Roman"/>
                <w:color w:val="auto"/>
                <w:kern w:val="2"/>
                <w:sz w:val="21"/>
                <w:szCs w:val="21"/>
                <w:lang w:val="en-US" w:eastAsia="zh-CN" w:bidi="ar-SA"/>
              </w:rPr>
              <w:t>则》</w:t>
            </w:r>
            <w:r>
              <w:rPr>
                <w:rFonts w:hint="default" w:ascii="Times New Roman" w:hAnsi="Times New Roman" w:eastAsia="宋体" w:cs="Times New Roman"/>
                <w:color w:val="auto"/>
                <w:kern w:val="2"/>
                <w:sz w:val="21"/>
                <w:szCs w:val="21"/>
                <w:lang w:val="en-US" w:eastAsia="zh-CN" w:bidi="ar-SA"/>
              </w:rPr>
              <w:t>(HJ819-2017)、《排污许可证申请与核发技术规范</w:t>
            </w:r>
            <w:r>
              <w:rPr>
                <w:rFonts w:hint="eastAsia" w:cs="Times New Roman"/>
                <w:color w:val="auto"/>
                <w:kern w:val="2"/>
                <w:sz w:val="21"/>
                <w:szCs w:val="21"/>
                <w:lang w:val="en-US" w:eastAsia="zh-CN" w:bidi="ar-SA"/>
              </w:rPr>
              <w:t xml:space="preserve"> </w:t>
            </w:r>
            <w:r>
              <w:rPr>
                <w:rFonts w:hint="default" w:ascii="Times New Roman" w:hAnsi="Times New Roman" w:eastAsia="宋体" w:cs="Times New Roman"/>
                <w:color w:val="auto"/>
                <w:kern w:val="2"/>
                <w:sz w:val="21"/>
                <w:szCs w:val="21"/>
                <w:lang w:val="en-US" w:eastAsia="zh-CN" w:bidi="ar-SA"/>
              </w:rPr>
              <w:t>总则》(HJ942-2018)的基本原则确定。具体监测计划见下表。</w:t>
            </w:r>
          </w:p>
          <w:p w14:paraId="455FC7F4">
            <w:pPr>
              <w:keepNext w:val="0"/>
              <w:keepLines w:val="0"/>
              <w:pageBreakBefore w:val="0"/>
              <w:widowControl w:val="0"/>
              <w:tabs>
                <w:tab w:val="left" w:pos="1900"/>
              </w:tabs>
              <w:kinsoku/>
              <w:wordWrap/>
              <w:overflowPunct/>
              <w:topLinePunct w:val="0"/>
              <w:autoSpaceDE/>
              <w:autoSpaceDN/>
              <w:bidi w:val="0"/>
              <w:adjustRightInd w:val="0"/>
              <w:snapToGrid w:val="0"/>
              <w:spacing w:line="360" w:lineRule="exact"/>
              <w:jc w:val="center"/>
              <w:textAlignment w:val="auto"/>
              <w:rPr>
                <w:b/>
                <w:bCs/>
                <w:color w:val="auto"/>
                <w:szCs w:val="21"/>
              </w:rPr>
            </w:pPr>
            <w:r>
              <w:rPr>
                <w:b/>
                <w:bCs/>
                <w:color w:val="auto"/>
                <w:szCs w:val="21"/>
              </w:rPr>
              <w:t>表4-1</w:t>
            </w:r>
            <w:r>
              <w:rPr>
                <w:rFonts w:hint="eastAsia"/>
                <w:b/>
                <w:bCs/>
                <w:color w:val="auto"/>
                <w:szCs w:val="21"/>
                <w:lang w:val="en-US" w:eastAsia="zh-CN"/>
              </w:rPr>
              <w:t>0</w:t>
            </w:r>
            <w:r>
              <w:rPr>
                <w:b/>
                <w:bCs/>
                <w:color w:val="auto"/>
                <w:szCs w:val="21"/>
              </w:rPr>
              <w:t xml:space="preserve">  废气污染源监测计划</w:t>
            </w:r>
            <w:r>
              <w:rPr>
                <w:rFonts w:hint="eastAsia"/>
                <w:b/>
                <w:bCs/>
                <w:color w:val="auto"/>
                <w:szCs w:val="21"/>
                <w:lang w:val="en-US" w:eastAsia="zh-CN"/>
              </w:rPr>
              <w:t>一览</w:t>
            </w:r>
            <w:r>
              <w:rPr>
                <w:b/>
                <w:bCs/>
                <w:color w:val="auto"/>
                <w:szCs w:val="21"/>
              </w:rPr>
              <w:t>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14"/>
              <w:gridCol w:w="1360"/>
              <w:gridCol w:w="1616"/>
              <w:gridCol w:w="920"/>
              <w:gridCol w:w="2755"/>
            </w:tblGrid>
            <w:tr w14:paraId="5388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3" w:type="pct"/>
                  <w:noWrap w:val="0"/>
                  <w:vAlign w:val="center"/>
                </w:tcPr>
                <w:p w14:paraId="1A1EB89A">
                  <w:pPr>
                    <w:keepNext w:val="0"/>
                    <w:keepLines w:val="0"/>
                    <w:pageBreakBefore w:val="0"/>
                    <w:widowControl w:val="0"/>
                    <w:tabs>
                      <w:tab w:val="left" w:pos="190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pacing w:val="4"/>
                      <w:sz w:val="18"/>
                      <w:szCs w:val="18"/>
                    </w:rPr>
                  </w:pPr>
                  <w:r>
                    <w:rPr>
                      <w:rFonts w:hint="default" w:ascii="Times New Roman" w:hAnsi="Times New Roman" w:eastAsia="宋体" w:cs="Times New Roman"/>
                      <w:b/>
                      <w:bCs/>
                      <w:color w:val="auto"/>
                      <w:spacing w:val="4"/>
                      <w:sz w:val="18"/>
                      <w:szCs w:val="18"/>
                    </w:rPr>
                    <w:t>监测时期</w:t>
                  </w:r>
                </w:p>
              </w:tc>
              <w:tc>
                <w:tcPr>
                  <w:tcW w:w="445" w:type="pct"/>
                  <w:noWrap w:val="0"/>
                  <w:vAlign w:val="center"/>
                </w:tcPr>
                <w:p w14:paraId="162BFC30">
                  <w:pPr>
                    <w:keepNext w:val="0"/>
                    <w:keepLines w:val="0"/>
                    <w:pageBreakBefore w:val="0"/>
                    <w:widowControl w:val="0"/>
                    <w:tabs>
                      <w:tab w:val="left" w:pos="190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pacing w:val="4"/>
                      <w:sz w:val="18"/>
                      <w:szCs w:val="18"/>
                    </w:rPr>
                  </w:pPr>
                  <w:r>
                    <w:rPr>
                      <w:rFonts w:hint="default" w:ascii="Times New Roman" w:hAnsi="Times New Roman" w:eastAsia="宋体" w:cs="Times New Roman"/>
                      <w:b/>
                      <w:bCs/>
                      <w:color w:val="auto"/>
                      <w:spacing w:val="4"/>
                      <w:sz w:val="18"/>
                      <w:szCs w:val="18"/>
                    </w:rPr>
                    <w:t>监测项目</w:t>
                  </w:r>
                </w:p>
              </w:tc>
              <w:tc>
                <w:tcPr>
                  <w:tcW w:w="848" w:type="pct"/>
                  <w:noWrap w:val="0"/>
                  <w:vAlign w:val="center"/>
                </w:tcPr>
                <w:p w14:paraId="381D0357">
                  <w:pPr>
                    <w:keepNext w:val="0"/>
                    <w:keepLines w:val="0"/>
                    <w:pageBreakBefore w:val="0"/>
                    <w:widowControl w:val="0"/>
                    <w:tabs>
                      <w:tab w:val="left" w:pos="190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pacing w:val="4"/>
                      <w:sz w:val="18"/>
                      <w:szCs w:val="18"/>
                    </w:rPr>
                  </w:pPr>
                  <w:r>
                    <w:rPr>
                      <w:rFonts w:hint="default" w:ascii="Times New Roman" w:hAnsi="Times New Roman" w:eastAsia="宋体" w:cs="Times New Roman"/>
                      <w:b/>
                      <w:bCs/>
                      <w:color w:val="auto"/>
                      <w:spacing w:val="4"/>
                      <w:sz w:val="18"/>
                      <w:szCs w:val="18"/>
                    </w:rPr>
                    <w:t>监测点位</w:t>
                  </w:r>
                </w:p>
              </w:tc>
              <w:tc>
                <w:tcPr>
                  <w:tcW w:w="1008" w:type="pct"/>
                  <w:noWrap w:val="0"/>
                  <w:vAlign w:val="center"/>
                </w:tcPr>
                <w:p w14:paraId="3B822E31">
                  <w:pPr>
                    <w:keepNext w:val="0"/>
                    <w:keepLines w:val="0"/>
                    <w:pageBreakBefore w:val="0"/>
                    <w:widowControl w:val="0"/>
                    <w:tabs>
                      <w:tab w:val="left" w:pos="190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pacing w:val="4"/>
                      <w:sz w:val="18"/>
                      <w:szCs w:val="18"/>
                    </w:rPr>
                  </w:pPr>
                  <w:r>
                    <w:rPr>
                      <w:rFonts w:hint="default" w:ascii="Times New Roman" w:hAnsi="Times New Roman" w:eastAsia="宋体" w:cs="Times New Roman"/>
                      <w:b/>
                      <w:bCs/>
                      <w:color w:val="auto"/>
                      <w:spacing w:val="4"/>
                      <w:sz w:val="18"/>
                      <w:szCs w:val="18"/>
                    </w:rPr>
                    <w:t>监测参数</w:t>
                  </w:r>
                </w:p>
              </w:tc>
              <w:tc>
                <w:tcPr>
                  <w:tcW w:w="574" w:type="pct"/>
                  <w:noWrap w:val="0"/>
                  <w:vAlign w:val="center"/>
                </w:tcPr>
                <w:p w14:paraId="3A80065D">
                  <w:pPr>
                    <w:keepNext w:val="0"/>
                    <w:keepLines w:val="0"/>
                    <w:pageBreakBefore w:val="0"/>
                    <w:widowControl w:val="0"/>
                    <w:tabs>
                      <w:tab w:val="left" w:pos="190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pacing w:val="4"/>
                      <w:sz w:val="18"/>
                      <w:szCs w:val="18"/>
                    </w:rPr>
                  </w:pPr>
                  <w:r>
                    <w:rPr>
                      <w:rFonts w:hint="default" w:ascii="Times New Roman" w:hAnsi="Times New Roman" w:eastAsia="宋体" w:cs="Times New Roman"/>
                      <w:b/>
                      <w:bCs/>
                      <w:color w:val="auto"/>
                      <w:spacing w:val="4"/>
                      <w:sz w:val="18"/>
                      <w:szCs w:val="18"/>
                    </w:rPr>
                    <w:t>监测频率</w:t>
                  </w:r>
                </w:p>
              </w:tc>
              <w:tc>
                <w:tcPr>
                  <w:tcW w:w="1719" w:type="pct"/>
                  <w:noWrap w:val="0"/>
                  <w:vAlign w:val="center"/>
                </w:tcPr>
                <w:p w14:paraId="759B3D8A">
                  <w:pPr>
                    <w:keepNext w:val="0"/>
                    <w:keepLines w:val="0"/>
                    <w:pageBreakBefore w:val="0"/>
                    <w:widowControl w:val="0"/>
                    <w:tabs>
                      <w:tab w:val="left" w:pos="1900"/>
                    </w:tabs>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pacing w:val="4"/>
                      <w:sz w:val="18"/>
                      <w:szCs w:val="18"/>
                    </w:rPr>
                  </w:pPr>
                  <w:r>
                    <w:rPr>
                      <w:rFonts w:hint="default" w:ascii="Times New Roman" w:hAnsi="Times New Roman" w:eastAsia="宋体" w:cs="Times New Roman"/>
                      <w:b/>
                      <w:bCs/>
                      <w:color w:val="auto"/>
                      <w:spacing w:val="4"/>
                      <w:sz w:val="18"/>
                      <w:szCs w:val="18"/>
                    </w:rPr>
                    <w:t>执行标准</w:t>
                  </w:r>
                </w:p>
              </w:tc>
            </w:tr>
            <w:tr w14:paraId="3AE57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3" w:type="pct"/>
                  <w:vMerge w:val="restart"/>
                  <w:noWrap w:val="0"/>
                  <w:vAlign w:val="center"/>
                </w:tcPr>
                <w:p w14:paraId="51998117">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运营期</w:t>
                  </w:r>
                </w:p>
              </w:tc>
              <w:tc>
                <w:tcPr>
                  <w:tcW w:w="445" w:type="pct"/>
                  <w:vMerge w:val="restart"/>
                  <w:noWrap w:val="0"/>
                  <w:vAlign w:val="center"/>
                </w:tcPr>
                <w:p w14:paraId="5B06A30E">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有组织</w:t>
                  </w:r>
                </w:p>
              </w:tc>
              <w:tc>
                <w:tcPr>
                  <w:tcW w:w="848" w:type="pct"/>
                  <w:vMerge w:val="restart"/>
                  <w:noWrap w:val="0"/>
                  <w:vAlign w:val="center"/>
                </w:tcPr>
                <w:p w14:paraId="52FE065B">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DA001</w:t>
                  </w:r>
                </w:p>
              </w:tc>
              <w:tc>
                <w:tcPr>
                  <w:tcW w:w="1008" w:type="pct"/>
                  <w:noWrap w:val="0"/>
                  <w:vAlign w:val="center"/>
                </w:tcPr>
                <w:p w14:paraId="06F3F40E">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非甲烷总烃、甲醇、甲醛</w:t>
                  </w:r>
                </w:p>
              </w:tc>
              <w:tc>
                <w:tcPr>
                  <w:tcW w:w="574" w:type="pct"/>
                  <w:vMerge w:val="restart"/>
                  <w:noWrap w:val="0"/>
                  <w:vAlign w:val="center"/>
                </w:tcPr>
                <w:p w14:paraId="5F8F6893">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1年1次</w:t>
                  </w:r>
                </w:p>
              </w:tc>
              <w:tc>
                <w:tcPr>
                  <w:tcW w:w="1719" w:type="pct"/>
                  <w:vMerge w:val="restart"/>
                  <w:noWrap w:val="0"/>
                  <w:vAlign w:val="center"/>
                </w:tcPr>
                <w:p w14:paraId="1FD7D73A">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非甲烷总烃</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甲醇、甲醛</w:t>
                  </w:r>
                  <w:r>
                    <w:rPr>
                      <w:rFonts w:hint="default" w:ascii="Times New Roman" w:hAnsi="Times New Roman" w:eastAsia="宋体" w:cs="Times New Roman"/>
                      <w:color w:val="auto"/>
                      <w:sz w:val="18"/>
                      <w:szCs w:val="18"/>
                    </w:rPr>
                    <w:t>、氯化氢、硫酸雾</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氮氧化物</w:t>
                  </w:r>
                  <w:r>
                    <w:rPr>
                      <w:rFonts w:hint="default" w:ascii="Times New Roman" w:hAnsi="Times New Roman" w:eastAsia="宋体" w:cs="Times New Roman"/>
                      <w:color w:val="auto"/>
                      <w:sz w:val="18"/>
                      <w:szCs w:val="18"/>
                      <w:lang w:val="en-US" w:eastAsia="zh-CN"/>
                    </w:rPr>
                    <w:t>执行《大气污染物综合排放标准》（GB16297-1996）表2新污染源大气污染物二级排放限值；氨执行《恶臭污染物排放标准》(GB14554-1993)表2标准</w:t>
                  </w:r>
                </w:p>
              </w:tc>
            </w:tr>
            <w:tr w14:paraId="72491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3" w:type="pct"/>
                  <w:vMerge w:val="continue"/>
                  <w:noWrap w:val="0"/>
                  <w:vAlign w:val="center"/>
                </w:tcPr>
                <w:p w14:paraId="021F71F0">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445" w:type="pct"/>
                  <w:vMerge w:val="continue"/>
                  <w:noWrap w:val="0"/>
                  <w:vAlign w:val="center"/>
                </w:tcPr>
                <w:p w14:paraId="192999D3">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848" w:type="pct"/>
                  <w:vMerge w:val="continue"/>
                  <w:noWrap w:val="0"/>
                  <w:vAlign w:val="center"/>
                </w:tcPr>
                <w:p w14:paraId="68D5843D">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1008" w:type="pct"/>
                  <w:noWrap w:val="0"/>
                  <w:vAlign w:val="center"/>
                </w:tcPr>
                <w:p w14:paraId="0E4E26F7">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HCL、硫酸雾、NOx、氨</w:t>
                  </w:r>
                </w:p>
              </w:tc>
              <w:tc>
                <w:tcPr>
                  <w:tcW w:w="574" w:type="pct"/>
                  <w:vMerge w:val="continue"/>
                  <w:noWrap w:val="0"/>
                  <w:vAlign w:val="center"/>
                </w:tcPr>
                <w:p w14:paraId="6B2DB5A3">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1719" w:type="pct"/>
                  <w:vMerge w:val="continue"/>
                  <w:noWrap w:val="0"/>
                  <w:vAlign w:val="center"/>
                </w:tcPr>
                <w:p w14:paraId="1DBE90E8">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r>
            <w:tr w14:paraId="2DDE9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3" w:type="pct"/>
                  <w:vMerge w:val="continue"/>
                  <w:noWrap w:val="0"/>
                  <w:vAlign w:val="center"/>
                </w:tcPr>
                <w:p w14:paraId="21803824">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445" w:type="pct"/>
                  <w:vMerge w:val="restart"/>
                  <w:noWrap w:val="0"/>
                  <w:vAlign w:val="center"/>
                </w:tcPr>
                <w:p w14:paraId="7731A31E">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无组织</w:t>
                  </w:r>
                </w:p>
              </w:tc>
              <w:tc>
                <w:tcPr>
                  <w:tcW w:w="848" w:type="pct"/>
                  <w:noWrap w:val="0"/>
                  <w:vAlign w:val="center"/>
                </w:tcPr>
                <w:p w14:paraId="7A638C3F">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厂界上风向1个点，厂界下风向3个点</w:t>
                  </w:r>
                </w:p>
              </w:tc>
              <w:tc>
                <w:tcPr>
                  <w:tcW w:w="1008" w:type="pct"/>
                  <w:noWrap w:val="0"/>
                  <w:vAlign w:val="center"/>
                </w:tcPr>
                <w:p w14:paraId="31E74D6D">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非甲烷总烃、甲醇、甲醛、HCL、硫酸雾、NOx</w:t>
                  </w:r>
                </w:p>
              </w:tc>
              <w:tc>
                <w:tcPr>
                  <w:tcW w:w="574" w:type="pct"/>
                  <w:vMerge w:val="continue"/>
                  <w:noWrap w:val="0"/>
                  <w:vAlign w:val="center"/>
                </w:tcPr>
                <w:p w14:paraId="225360E2">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1719" w:type="pct"/>
                  <w:noWrap w:val="0"/>
                  <w:vAlign w:val="center"/>
                </w:tcPr>
                <w:p w14:paraId="711C6AC8">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rPr>
                    <w:t>非甲烷总烃</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甲醇、甲醛</w:t>
                  </w:r>
                  <w:r>
                    <w:rPr>
                      <w:rFonts w:hint="default" w:ascii="Times New Roman" w:hAnsi="Times New Roman" w:eastAsia="宋体" w:cs="Times New Roman"/>
                      <w:color w:val="auto"/>
                      <w:sz w:val="18"/>
                      <w:szCs w:val="18"/>
                    </w:rPr>
                    <w:t>、氯化氢、硫酸雾</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rPr>
                    <w:t>氮氧化物</w:t>
                  </w:r>
                  <w:r>
                    <w:rPr>
                      <w:rFonts w:hint="default" w:ascii="Times New Roman" w:hAnsi="Times New Roman" w:eastAsia="宋体" w:cs="Times New Roman"/>
                      <w:color w:val="auto"/>
                      <w:sz w:val="18"/>
                      <w:szCs w:val="18"/>
                      <w:lang w:val="en-US" w:eastAsia="zh-CN"/>
                    </w:rPr>
                    <w:t>执行《大气污染物综合排放标准》（GB16297-1996）表2中无组织排放监控浓度限值；氨执行《恶臭污染物排放标准》(GB14554-1993)表1中二级标准</w:t>
                  </w:r>
                </w:p>
              </w:tc>
            </w:tr>
            <w:tr w14:paraId="4C0AB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03" w:type="pct"/>
                  <w:vMerge w:val="continue"/>
                  <w:noWrap w:val="0"/>
                  <w:vAlign w:val="center"/>
                </w:tcPr>
                <w:p w14:paraId="0A20DBC6">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445" w:type="pct"/>
                  <w:vMerge w:val="continue"/>
                  <w:noWrap w:val="0"/>
                  <w:vAlign w:val="center"/>
                </w:tcPr>
                <w:p w14:paraId="09408583">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848" w:type="pct"/>
                  <w:noWrap w:val="0"/>
                  <w:vAlign w:val="center"/>
                </w:tcPr>
                <w:p w14:paraId="5F38380C">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厂区内</w:t>
                  </w:r>
                </w:p>
              </w:tc>
              <w:tc>
                <w:tcPr>
                  <w:tcW w:w="1008" w:type="pct"/>
                  <w:noWrap w:val="0"/>
                  <w:vAlign w:val="center"/>
                </w:tcPr>
                <w:p w14:paraId="76CFB489">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非甲烷总烃</w:t>
                  </w:r>
                </w:p>
              </w:tc>
              <w:tc>
                <w:tcPr>
                  <w:tcW w:w="574" w:type="pct"/>
                  <w:vMerge w:val="continue"/>
                  <w:noWrap w:val="0"/>
                  <w:vAlign w:val="center"/>
                </w:tcPr>
                <w:p w14:paraId="3F895381">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p>
              </w:tc>
              <w:tc>
                <w:tcPr>
                  <w:tcW w:w="1719" w:type="pct"/>
                  <w:noWrap w:val="0"/>
                  <w:vAlign w:val="center"/>
                </w:tcPr>
                <w:p w14:paraId="448F0957">
                  <w:pPr>
                    <w:pStyle w:val="3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《挥发性有机物无组织排放控制标准》（GB37822-2019）</w:t>
                  </w:r>
                </w:p>
              </w:tc>
            </w:tr>
          </w:tbl>
          <w:p w14:paraId="6569A62C">
            <w:pPr>
              <w:pStyle w:val="35"/>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1.6小结</w:t>
            </w:r>
          </w:p>
          <w:p w14:paraId="12C890A5">
            <w:pPr>
              <w:pStyle w:val="35"/>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color w:val="auto"/>
                <w:sz w:val="24"/>
              </w:rPr>
            </w:pPr>
            <w:r>
              <w:rPr>
                <w:rFonts w:hint="default" w:ascii="Times New Roman" w:hAnsi="Times New Roman" w:eastAsia="宋体" w:cs="Times New Roman"/>
                <w:color w:val="auto"/>
                <w:sz w:val="21"/>
                <w:szCs w:val="21"/>
                <w:lang w:val="en-US" w:eastAsia="zh-CN"/>
              </w:rPr>
              <w:t>综合以上分析，项目运营期实验检测分析过程产生的各类废气污染物经收集处理后均可达标排放，因此，项目内产生的废气对周围环境影响较小。评价认为项目运营期对周围环境空气质量的影响可接受。</w:t>
            </w:r>
          </w:p>
          <w:p w14:paraId="39655C65">
            <w:pPr>
              <w:bidi w:val="0"/>
              <w:rPr>
                <w:rFonts w:hint="default"/>
                <w:b/>
                <w:bCs/>
                <w:color w:val="auto"/>
                <w:lang w:val="en-US" w:eastAsia="zh-CN"/>
              </w:rPr>
            </w:pPr>
            <w:r>
              <w:rPr>
                <w:rFonts w:hint="eastAsia"/>
                <w:b/>
                <w:bCs/>
                <w:color w:val="auto"/>
                <w:lang w:val="en-US" w:eastAsia="zh-CN"/>
              </w:rPr>
              <w:t>2废水</w:t>
            </w:r>
          </w:p>
          <w:p w14:paraId="29419FF3">
            <w:pPr>
              <w:bidi w:val="0"/>
              <w:rPr>
                <w:rFonts w:hint="default"/>
                <w:b/>
                <w:bCs/>
                <w:color w:val="auto"/>
                <w:lang w:val="en-US" w:eastAsia="zh-CN"/>
              </w:rPr>
            </w:pPr>
            <w:r>
              <w:rPr>
                <w:rFonts w:hint="eastAsia"/>
                <w:b/>
                <w:bCs/>
                <w:color w:val="auto"/>
                <w:lang w:val="en-US" w:eastAsia="zh-CN"/>
              </w:rPr>
              <w:t>2.1污染源产排情况</w:t>
            </w:r>
          </w:p>
          <w:p w14:paraId="55EC2A6A">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项目运营期废水主要为员工办公生活污水、</w:t>
            </w:r>
            <w:r>
              <w:rPr>
                <w:rFonts w:hint="default" w:ascii="Times New Roman" w:hAnsi="Times New Roman" w:eastAsia="宋体" w:cs="Times New Roman"/>
                <w:color w:val="auto"/>
                <w:sz w:val="21"/>
                <w:szCs w:val="21"/>
              </w:rPr>
              <w:t>实验器皿清洗</w:t>
            </w:r>
            <w:r>
              <w:rPr>
                <w:rFonts w:hint="eastAsia" w:cs="Times New Roman"/>
                <w:color w:val="auto"/>
                <w:sz w:val="21"/>
                <w:szCs w:val="21"/>
                <w:lang w:val="en-US" w:eastAsia="zh-CN"/>
              </w:rPr>
              <w:t>废水</w:t>
            </w:r>
            <w:r>
              <w:rPr>
                <w:rFonts w:hint="default" w:ascii="Times New Roman" w:hAnsi="Times New Roman" w:eastAsia="宋体" w:cs="Times New Roman"/>
                <w:color w:val="auto"/>
                <w:sz w:val="21"/>
                <w:szCs w:val="21"/>
                <w:lang w:eastAsia="zh-CN"/>
              </w:rPr>
              <w:t>、</w:t>
            </w:r>
            <w:r>
              <w:rPr>
                <w:rFonts w:hint="eastAsia" w:cs="Times New Roman"/>
                <w:color w:val="auto"/>
                <w:sz w:val="21"/>
                <w:szCs w:val="21"/>
                <w:lang w:eastAsia="zh-CN"/>
              </w:rPr>
              <w:t>纯水制备</w:t>
            </w:r>
            <w:r>
              <w:rPr>
                <w:rFonts w:hint="eastAsia" w:cs="Times New Roman"/>
                <w:color w:val="auto"/>
                <w:sz w:val="21"/>
                <w:szCs w:val="21"/>
                <w:lang w:val="en-US" w:eastAsia="zh-CN"/>
              </w:rPr>
              <w:t>浓水</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rPr>
              <w:t>地面清洁</w:t>
            </w:r>
            <w:r>
              <w:rPr>
                <w:rFonts w:hint="eastAsia" w:cs="Times New Roman"/>
                <w:color w:val="auto"/>
                <w:kern w:val="0"/>
                <w:sz w:val="21"/>
                <w:szCs w:val="21"/>
                <w:lang w:val="en-US" w:eastAsia="zh-CN"/>
              </w:rPr>
              <w:t>废水、</w:t>
            </w:r>
            <w:r>
              <w:rPr>
                <w:rFonts w:hint="eastAsia" w:cs="Times New Roman"/>
                <w:color w:val="auto"/>
                <w:sz w:val="21"/>
                <w:szCs w:val="21"/>
                <w:lang w:val="en-US" w:eastAsia="zh-CN"/>
              </w:rPr>
              <w:t>喷淋废水</w:t>
            </w:r>
            <w:r>
              <w:rPr>
                <w:rFonts w:hint="default" w:ascii="Times New Roman" w:hAnsi="Times New Roman" w:eastAsia="宋体" w:cs="Times New Roman"/>
                <w:color w:val="auto"/>
                <w:sz w:val="21"/>
                <w:szCs w:val="21"/>
                <w:lang w:eastAsia="zh-CN"/>
              </w:rPr>
              <w:t>。</w:t>
            </w:r>
          </w:p>
          <w:p w14:paraId="1C90DC87">
            <w:pPr>
              <w:keepNext w:val="0"/>
              <w:keepLines w:val="0"/>
              <w:pageBreakBefore w:val="0"/>
              <w:widowControl w:val="0"/>
              <w:kinsoku/>
              <w:wordWrap/>
              <w:overflowPunct/>
              <w:topLinePunct w:val="0"/>
              <w:bidi w:val="0"/>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办公生活污水</w:t>
            </w:r>
          </w:p>
          <w:p w14:paraId="00EC1694">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Cs/>
                <w:color w:val="auto"/>
                <w:sz w:val="21"/>
                <w:szCs w:val="21"/>
              </w:rPr>
              <w:t>项目</w:t>
            </w:r>
            <w:r>
              <w:rPr>
                <w:rFonts w:hint="default" w:ascii="Times New Roman" w:hAnsi="Times New Roman" w:eastAsia="宋体" w:cs="Times New Roman"/>
                <w:bCs/>
                <w:color w:val="auto"/>
                <w:sz w:val="21"/>
                <w:szCs w:val="21"/>
                <w:lang w:val="en-US" w:eastAsia="zh-CN"/>
              </w:rPr>
              <w:t>劳动定员11</w:t>
            </w:r>
            <w:r>
              <w:rPr>
                <w:rFonts w:hint="default" w:ascii="Times New Roman" w:hAnsi="Times New Roman" w:eastAsia="宋体" w:cs="Times New Roman"/>
                <w:bCs/>
                <w:color w:val="auto"/>
                <w:sz w:val="21"/>
                <w:szCs w:val="21"/>
              </w:rPr>
              <w:t>人，</w:t>
            </w:r>
            <w:r>
              <w:rPr>
                <w:rFonts w:hint="default" w:ascii="Times New Roman" w:hAnsi="Times New Roman" w:eastAsia="宋体" w:cs="Times New Roman"/>
                <w:bCs/>
                <w:color w:val="auto"/>
                <w:sz w:val="21"/>
                <w:szCs w:val="21"/>
                <w:lang w:val="en-US" w:eastAsia="zh-CN"/>
              </w:rPr>
              <w:t>均</w:t>
            </w:r>
            <w:r>
              <w:rPr>
                <w:rFonts w:hint="default" w:ascii="Times New Roman" w:hAnsi="Times New Roman" w:eastAsia="宋体" w:cs="Times New Roman"/>
                <w:bCs/>
                <w:color w:val="auto"/>
                <w:sz w:val="21"/>
                <w:szCs w:val="21"/>
              </w:rPr>
              <w:t>不在项目区</w:t>
            </w:r>
            <w:r>
              <w:rPr>
                <w:rFonts w:hint="default" w:ascii="Times New Roman" w:hAnsi="Times New Roman" w:eastAsia="宋体" w:cs="Times New Roman"/>
                <w:bCs/>
                <w:color w:val="auto"/>
                <w:sz w:val="21"/>
                <w:szCs w:val="21"/>
                <w:lang w:val="en-US" w:eastAsia="zh-CN"/>
              </w:rPr>
              <w:t>食宿</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根据《云南省地方标准-用水定额》（DB53/T168-2019），项目属于办公写字楼供水范围，其用水量为40</w:t>
            </w:r>
            <w:r>
              <w:rPr>
                <w:rFonts w:hint="default" w:ascii="Times New Roman" w:hAnsi="Times New Roman" w:eastAsia="宋体" w:cs="Times New Roman"/>
                <w:color w:val="auto"/>
                <w:sz w:val="21"/>
                <w:szCs w:val="21"/>
              </w:rPr>
              <w:t>L/（人•d），则项目区工作人员用水量为</w:t>
            </w:r>
            <w:r>
              <w:rPr>
                <w:rFonts w:hint="default" w:ascii="Times New Roman" w:hAnsi="Times New Roman" w:eastAsia="宋体" w:cs="Times New Roman"/>
                <w:color w:val="auto"/>
                <w:sz w:val="21"/>
                <w:szCs w:val="21"/>
                <w:lang w:val="en-US" w:eastAsia="zh-CN"/>
              </w:rPr>
              <w:t>0.44</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default" w:ascii="Times New Roman" w:hAnsi="Times New Roman" w:eastAsia="宋体" w:cs="Times New Roman"/>
                <w:color w:val="auto"/>
                <w:sz w:val="21"/>
                <w:szCs w:val="21"/>
                <w:lang w:val="en-US" w:eastAsia="zh-CN"/>
              </w:rPr>
              <w:t>110</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val="en-US" w:eastAsia="zh-CN"/>
              </w:rPr>
              <w:t>废水量按80%核算</w:t>
            </w:r>
            <w:r>
              <w:rPr>
                <w:rFonts w:hint="default" w:ascii="Times New Roman" w:hAnsi="Times New Roman" w:eastAsia="宋体" w:cs="Times New Roman"/>
                <w:color w:val="auto"/>
                <w:sz w:val="21"/>
                <w:szCs w:val="21"/>
              </w:rPr>
              <w:t>，则</w:t>
            </w:r>
            <w:r>
              <w:rPr>
                <w:rFonts w:hint="default" w:ascii="Times New Roman" w:hAnsi="Times New Roman" w:eastAsia="宋体" w:cs="Times New Roman"/>
                <w:color w:val="auto"/>
                <w:sz w:val="21"/>
                <w:szCs w:val="21"/>
                <w:lang w:val="en-US" w:eastAsia="zh-CN"/>
              </w:rPr>
              <w:t>办公生活污水</w:t>
            </w:r>
            <w:r>
              <w:rPr>
                <w:rFonts w:hint="default" w:ascii="Times New Roman" w:hAnsi="Times New Roman" w:eastAsia="宋体" w:cs="Times New Roman"/>
                <w:color w:val="auto"/>
                <w:sz w:val="21"/>
                <w:szCs w:val="21"/>
              </w:rPr>
              <w:t>产生量为</w:t>
            </w:r>
            <w:r>
              <w:rPr>
                <w:rFonts w:hint="default" w:ascii="Times New Roman" w:hAnsi="Times New Roman" w:eastAsia="宋体" w:cs="Times New Roman"/>
                <w:color w:val="auto"/>
                <w:sz w:val="21"/>
                <w:szCs w:val="21"/>
                <w:lang w:val="en-US" w:eastAsia="zh-CN"/>
              </w:rPr>
              <w:t>0.352</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/d，</w:t>
            </w:r>
            <w:r>
              <w:rPr>
                <w:rFonts w:hint="default" w:ascii="Times New Roman" w:hAnsi="Times New Roman" w:eastAsia="宋体" w:cs="Times New Roman"/>
                <w:color w:val="auto"/>
                <w:sz w:val="21"/>
                <w:szCs w:val="21"/>
                <w:lang w:val="en-US" w:eastAsia="zh-CN"/>
              </w:rPr>
              <w:t>88</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/a。</w:t>
            </w:r>
            <w:r>
              <w:rPr>
                <w:rFonts w:hint="default" w:ascii="Times New Roman" w:hAnsi="Times New Roman" w:eastAsia="宋体" w:cs="Times New Roman"/>
                <w:color w:val="auto"/>
                <w:sz w:val="21"/>
                <w:szCs w:val="21"/>
                <w:lang w:val="en-US" w:eastAsia="zh-CN"/>
              </w:rPr>
              <w:t>生活污水的主要污染物为COD、BOD5、SS、氨氨、总磷、总氮，根据类比《集中式污染治理设施产排系数手册中表1.1城镇污水处理厂水污染物产排污参考值-云南》，城镇生活源水污染物的产污系数为C0D250mg/L、BOD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200mg/L、NH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-N27mg/L、TP3.5mg/L、TN37mg/L、SS200mg/L。办公生活污水依托</w:t>
            </w:r>
            <w:r>
              <w:rPr>
                <w:rFonts w:hint="default" w:ascii="Times New Roman" w:hAnsi="Times New Roman" w:eastAsia="宋体" w:cs="Times New Roman"/>
                <w:color w:val="auto"/>
                <w:kern w:val="0"/>
                <w:sz w:val="21"/>
                <w:szCs w:val="21"/>
                <w:lang w:val="en-US" w:eastAsia="zh-CN" w:bidi="ar"/>
              </w:rPr>
              <w:t>云南水投牛栏江滇池补水工程有限公司现有的化粪池，经化粪池处理后排入市政管网。</w:t>
            </w:r>
          </w:p>
          <w:p w14:paraId="4AA42842">
            <w:pPr>
              <w:pStyle w:val="19"/>
              <w:adjustRightInd w:val="0"/>
              <w:snapToGrid w:val="0"/>
              <w:spacing w:after="0" w:line="360" w:lineRule="auto"/>
              <w:ind w:left="0" w:leftChars="0" w:firstLine="48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（2）实验器皿清洗</w:t>
            </w:r>
          </w:p>
          <w:p w14:paraId="53B637D4">
            <w:pPr>
              <w:pStyle w:val="19"/>
              <w:adjustRightInd w:val="0"/>
              <w:snapToGrid w:val="0"/>
              <w:spacing w:after="0" w:line="360" w:lineRule="auto"/>
              <w:ind w:left="0" w:leftChars="0" w:firstLine="480"/>
              <w:jc w:val="left"/>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项目实验</w:t>
            </w:r>
            <w:r>
              <w:rPr>
                <w:rFonts w:hint="eastAsia" w:cs="Times New Roman"/>
                <w:color w:val="auto"/>
                <w:sz w:val="21"/>
                <w:szCs w:val="21"/>
                <w:highlight w:val="none"/>
                <w:lang w:val="en-US" w:eastAsia="zh-CN"/>
              </w:rPr>
              <w:t>3500</w:t>
            </w:r>
            <w:r>
              <w:rPr>
                <w:rFonts w:hint="eastAsia" w:ascii="Times New Roman" w:hAnsi="Times New Roman" w:eastAsia="宋体" w:cs="Times New Roman"/>
                <w:color w:val="auto"/>
                <w:sz w:val="21"/>
                <w:szCs w:val="21"/>
                <w:highlight w:val="none"/>
                <w:lang w:val="en-US" w:eastAsia="zh-CN"/>
              </w:rPr>
              <w:t>样次/年，本项目所有样品均需检测科室配置试剂进行</w:t>
            </w:r>
            <w:r>
              <w:rPr>
                <w:rFonts w:hint="eastAsia" w:cs="Times New Roman"/>
                <w:color w:val="auto"/>
                <w:sz w:val="21"/>
                <w:szCs w:val="21"/>
                <w:highlight w:val="none"/>
                <w:lang w:val="en-US" w:eastAsia="zh-CN"/>
              </w:rPr>
              <w:t>检</w:t>
            </w:r>
            <w:r>
              <w:rPr>
                <w:rFonts w:hint="eastAsia" w:ascii="Times New Roman" w:hAnsi="Times New Roman" w:eastAsia="宋体" w:cs="Times New Roman"/>
                <w:color w:val="auto"/>
                <w:sz w:val="21"/>
                <w:szCs w:val="21"/>
                <w:highlight w:val="none"/>
                <w:lang w:val="en-US" w:eastAsia="zh-CN"/>
              </w:rPr>
              <w:t>测分析，</w:t>
            </w:r>
            <w:r>
              <w:rPr>
                <w:rFonts w:hint="default" w:ascii="Times New Roman" w:hAnsi="Times New Roman" w:eastAsia="宋体" w:cs="Times New Roman"/>
                <w:color w:val="auto"/>
                <w:sz w:val="21"/>
                <w:szCs w:val="21"/>
                <w:highlight w:val="none"/>
              </w:rPr>
              <w:t>检测前</w:t>
            </w:r>
            <w:r>
              <w:rPr>
                <w:rFonts w:hint="eastAsia" w:ascii="Times New Roman" w:hAnsi="Times New Roman" w:eastAsia="宋体" w:cs="Times New Roman"/>
                <w:color w:val="auto"/>
                <w:sz w:val="21"/>
                <w:szCs w:val="21"/>
                <w:highlight w:val="none"/>
                <w:lang w:val="en-US" w:eastAsia="zh-CN"/>
              </w:rPr>
              <w:t>器皿</w:t>
            </w:r>
            <w:r>
              <w:rPr>
                <w:rFonts w:hint="default" w:ascii="Times New Roman" w:hAnsi="Times New Roman" w:eastAsia="宋体" w:cs="Times New Roman"/>
                <w:color w:val="auto"/>
                <w:sz w:val="21"/>
                <w:szCs w:val="21"/>
                <w:highlight w:val="none"/>
              </w:rPr>
              <w:t>润洗和检测后</w:t>
            </w:r>
            <w:r>
              <w:rPr>
                <w:rFonts w:hint="eastAsia" w:ascii="Times New Roman" w:hAnsi="Times New Roman" w:eastAsia="宋体" w:cs="Times New Roman"/>
                <w:color w:val="auto"/>
                <w:sz w:val="21"/>
                <w:szCs w:val="21"/>
                <w:highlight w:val="none"/>
                <w:lang w:val="en-US" w:eastAsia="zh-CN"/>
              </w:rPr>
              <w:t>器皿</w:t>
            </w:r>
            <w:r>
              <w:rPr>
                <w:rFonts w:hint="default" w:ascii="Times New Roman" w:hAnsi="Times New Roman" w:eastAsia="宋体" w:cs="Times New Roman"/>
                <w:color w:val="auto"/>
                <w:sz w:val="21"/>
                <w:szCs w:val="21"/>
                <w:highlight w:val="none"/>
              </w:rPr>
              <w:t>清洗均会产生清洗废水</w:t>
            </w:r>
            <w:r>
              <w:rPr>
                <w:rFonts w:hint="eastAsia"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根据建设单位介绍，</w:t>
            </w:r>
            <w:r>
              <w:rPr>
                <w:rFonts w:hint="default" w:ascii="Times New Roman" w:hAnsi="Times New Roman" w:eastAsia="宋体" w:cs="Times New Roman"/>
                <w:color w:val="auto"/>
                <w:sz w:val="21"/>
                <w:szCs w:val="21"/>
                <w:highlight w:val="none"/>
              </w:rPr>
              <w:t>检测</w:t>
            </w:r>
            <w:r>
              <w:rPr>
                <w:rFonts w:hint="eastAsia" w:ascii="Times New Roman" w:hAnsi="Times New Roman" w:eastAsia="宋体" w:cs="Times New Roman"/>
                <w:color w:val="auto"/>
                <w:sz w:val="21"/>
                <w:szCs w:val="21"/>
                <w:highlight w:val="none"/>
                <w:lang w:val="en-US" w:eastAsia="zh-CN"/>
              </w:rPr>
              <w:t>前器皿</w:t>
            </w:r>
            <w:r>
              <w:rPr>
                <w:rFonts w:hint="default" w:ascii="Times New Roman" w:hAnsi="Times New Roman" w:eastAsia="宋体" w:cs="Times New Roman"/>
                <w:color w:val="auto"/>
                <w:sz w:val="21"/>
                <w:szCs w:val="21"/>
                <w:highlight w:val="none"/>
              </w:rPr>
              <w:t>润洗用水量约为</w:t>
            </w:r>
            <w:r>
              <w:rPr>
                <w:rFonts w:hint="eastAsia"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0mL/</w:t>
            </w:r>
            <w:r>
              <w:rPr>
                <w:rFonts w:hint="eastAsia" w:ascii="Times New Roman" w:hAnsi="Times New Roman" w:eastAsia="宋体" w:cs="Times New Roman"/>
                <w:color w:val="auto"/>
                <w:sz w:val="21"/>
                <w:szCs w:val="21"/>
                <w:highlight w:val="none"/>
                <w:lang w:val="en-US" w:eastAsia="zh-CN"/>
              </w:rPr>
              <w:t>样次</w:t>
            </w:r>
            <w:r>
              <w:rPr>
                <w:rFonts w:hint="eastAsia"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实验器皿前两道清洗用水量约</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400</w:t>
            </w:r>
            <w:r>
              <w:rPr>
                <w:rFonts w:hint="eastAsia"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rPr>
              <w:t>L/</w:t>
            </w:r>
            <w:r>
              <w:rPr>
                <w:rFonts w:hint="eastAsia" w:ascii="Times New Roman" w:hAnsi="Times New Roman" w:eastAsia="宋体" w:cs="Times New Roman"/>
                <w:color w:val="auto"/>
                <w:sz w:val="21"/>
                <w:szCs w:val="21"/>
                <w:highlight w:val="none"/>
                <w:lang w:val="en-US" w:eastAsia="zh-CN"/>
              </w:rPr>
              <w:t>样次</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前两道</w:t>
            </w:r>
            <w:r>
              <w:rPr>
                <w:rFonts w:hint="default" w:ascii="Times New Roman" w:hAnsi="Times New Roman" w:eastAsia="宋体" w:cs="Times New Roman"/>
                <w:color w:val="auto"/>
                <w:sz w:val="21"/>
                <w:szCs w:val="21"/>
                <w:highlight w:val="none"/>
              </w:rPr>
              <w:t>清洗</w:t>
            </w:r>
            <w:r>
              <w:rPr>
                <w:rFonts w:hint="eastAsia" w:ascii="Times New Roman" w:hAnsi="Times New Roman" w:eastAsia="宋体"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rPr>
              <w:t>水作为</w:t>
            </w:r>
            <w:r>
              <w:rPr>
                <w:rFonts w:hint="eastAsia" w:ascii="Times New Roman" w:hAnsi="Times New Roman" w:eastAsia="宋体" w:cs="Times New Roman"/>
                <w:color w:val="auto"/>
                <w:sz w:val="21"/>
                <w:szCs w:val="21"/>
                <w:highlight w:val="none"/>
                <w:lang w:val="en-US" w:eastAsia="zh-CN"/>
              </w:rPr>
              <w:t>危废</w:t>
            </w:r>
            <w:r>
              <w:rPr>
                <w:rFonts w:hint="default" w:ascii="Times New Roman" w:hAnsi="Times New Roman" w:eastAsia="宋体" w:cs="Times New Roman"/>
                <w:color w:val="auto"/>
                <w:sz w:val="21"/>
                <w:szCs w:val="21"/>
                <w:highlight w:val="none"/>
              </w:rPr>
              <w:t>处置</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后续清洗用水约为</w:t>
            </w:r>
            <w:r>
              <w:rPr>
                <w:rFonts w:hint="eastAsia" w:cs="Times New Roman"/>
                <w:color w:val="auto"/>
                <w:sz w:val="21"/>
                <w:szCs w:val="21"/>
                <w:highlight w:val="none"/>
                <w:lang w:val="en-US" w:eastAsia="zh-CN"/>
              </w:rPr>
              <w:t>1000</w:t>
            </w:r>
            <w:r>
              <w:rPr>
                <w:rFonts w:hint="default" w:ascii="Times New Roman" w:hAnsi="Times New Roman" w:eastAsia="宋体" w:cs="Times New Roman"/>
                <w:color w:val="auto"/>
                <w:sz w:val="21"/>
                <w:szCs w:val="21"/>
                <w:highlight w:val="none"/>
              </w:rPr>
              <w:t>mL/</w:t>
            </w:r>
            <w:r>
              <w:rPr>
                <w:rFonts w:hint="eastAsia" w:ascii="Times New Roman" w:hAnsi="Times New Roman" w:eastAsia="宋体" w:cs="Times New Roman"/>
                <w:color w:val="auto"/>
                <w:sz w:val="21"/>
                <w:szCs w:val="21"/>
                <w:highlight w:val="none"/>
                <w:lang w:val="en-US" w:eastAsia="zh-CN"/>
              </w:rPr>
              <w:t>样次</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前两道</w:t>
            </w:r>
            <w:r>
              <w:rPr>
                <w:rFonts w:hint="default" w:ascii="Times New Roman" w:hAnsi="Times New Roman" w:eastAsia="宋体" w:cs="Times New Roman"/>
                <w:color w:val="auto"/>
                <w:sz w:val="21"/>
                <w:szCs w:val="21"/>
                <w:highlight w:val="none"/>
              </w:rPr>
              <w:t>清洗、后续清洗水主要为自来水，润洗水为纯水。本项目检测</w:t>
            </w:r>
            <w:r>
              <w:rPr>
                <w:rFonts w:hint="eastAsia" w:ascii="Times New Roman" w:hAnsi="Times New Roman" w:eastAsia="宋体" w:cs="Times New Roman"/>
                <w:color w:val="auto"/>
                <w:sz w:val="21"/>
                <w:szCs w:val="21"/>
                <w:highlight w:val="none"/>
                <w:lang w:val="en-US" w:eastAsia="zh-CN"/>
              </w:rPr>
              <w:t>前</w:t>
            </w:r>
            <w:r>
              <w:rPr>
                <w:rFonts w:hint="default" w:ascii="Times New Roman" w:hAnsi="Times New Roman" w:eastAsia="宋体" w:cs="Times New Roman"/>
                <w:color w:val="auto"/>
                <w:sz w:val="21"/>
                <w:szCs w:val="21"/>
                <w:highlight w:val="none"/>
              </w:rPr>
              <w:t>实验器皿润洗用水</w:t>
            </w:r>
            <w:r>
              <w:rPr>
                <w:rFonts w:hint="eastAsia" w:cs="Times New Roman"/>
                <w:color w:val="auto"/>
                <w:sz w:val="21"/>
                <w:szCs w:val="21"/>
                <w:highlight w:val="none"/>
                <w:lang w:val="en-US" w:eastAsia="zh-CN"/>
              </w:rPr>
              <w:t>量</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0.0014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r>
              <w:rPr>
                <w:rFonts w:hint="eastAsia" w:cs="Times New Roman"/>
                <w:color w:val="auto"/>
                <w:sz w:val="21"/>
                <w:szCs w:val="21"/>
                <w:highlight w:val="none"/>
                <w:lang w:val="en-US" w:eastAsia="zh-CN"/>
              </w:rPr>
              <w:t>0.35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前两道清洗分别位于不同清洗槽中，项目实验</w:t>
            </w:r>
            <w:r>
              <w:rPr>
                <w:rFonts w:hint="default" w:ascii="Times New Roman" w:hAnsi="Times New Roman" w:eastAsia="宋体" w:cs="Times New Roman"/>
                <w:color w:val="auto"/>
                <w:sz w:val="21"/>
                <w:szCs w:val="21"/>
                <w:highlight w:val="none"/>
                <w:lang w:val="en-US" w:eastAsia="zh-CN"/>
              </w:rPr>
              <w:t>器皿</w:t>
            </w:r>
            <w:r>
              <w:rPr>
                <w:rFonts w:hint="default" w:ascii="Times New Roman" w:hAnsi="Times New Roman" w:eastAsia="宋体" w:cs="Times New Roman"/>
                <w:color w:val="auto"/>
                <w:sz w:val="21"/>
                <w:szCs w:val="21"/>
                <w:highlight w:val="none"/>
              </w:rPr>
              <w:t>前两道清洗用水</w:t>
            </w:r>
            <w:r>
              <w:rPr>
                <w:rFonts w:hint="eastAsia" w:cs="Times New Roman"/>
                <w:color w:val="auto"/>
                <w:sz w:val="21"/>
                <w:szCs w:val="21"/>
                <w:highlight w:val="none"/>
                <w:lang w:val="en-US" w:eastAsia="zh-CN"/>
              </w:rPr>
              <w:t>量</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0.0056</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r>
              <w:rPr>
                <w:rFonts w:hint="eastAsia"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后续清洗用水</w:t>
            </w:r>
            <w:r>
              <w:rPr>
                <w:rFonts w:hint="eastAsia" w:cs="Times New Roman"/>
                <w:color w:val="auto"/>
                <w:sz w:val="21"/>
                <w:szCs w:val="21"/>
                <w:highlight w:val="none"/>
                <w:lang w:val="en-US" w:eastAsia="zh-CN"/>
              </w:rPr>
              <w:t>0.014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r>
              <w:rPr>
                <w:rFonts w:hint="eastAsia" w:cs="Times New Roman"/>
                <w:color w:val="auto"/>
                <w:sz w:val="21"/>
                <w:szCs w:val="21"/>
                <w:highlight w:val="none"/>
                <w:lang w:val="en-US" w:eastAsia="zh-CN"/>
              </w:rPr>
              <w:t>3.5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val="en-US" w:eastAsia="zh-CN"/>
              </w:rPr>
              <w:t>废水按用水量的90%计算废水量，则</w:t>
            </w:r>
            <w:r>
              <w:rPr>
                <w:rFonts w:hint="default" w:ascii="Times New Roman" w:hAnsi="Times New Roman" w:eastAsia="宋体" w:cs="Times New Roman"/>
                <w:color w:val="auto"/>
                <w:sz w:val="21"/>
                <w:szCs w:val="21"/>
                <w:highlight w:val="none"/>
              </w:rPr>
              <w:t>实验器皿润洗</w:t>
            </w:r>
            <w:r>
              <w:rPr>
                <w:rFonts w:hint="eastAsia"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rPr>
              <w:t>水</w:t>
            </w:r>
            <w:r>
              <w:rPr>
                <w:rFonts w:hint="eastAsia" w:cs="Times New Roman"/>
                <w:color w:val="auto"/>
                <w:sz w:val="21"/>
                <w:szCs w:val="21"/>
                <w:highlight w:val="none"/>
                <w:lang w:val="en-US" w:eastAsia="zh-CN"/>
              </w:rPr>
              <w:t>量</w:t>
            </w:r>
            <w:r>
              <w:rPr>
                <w:rFonts w:hint="default" w:ascii="Times New Roman" w:hAnsi="Times New Roman" w:eastAsia="宋体" w:cs="Times New Roman"/>
                <w:color w:val="auto"/>
                <w:sz w:val="21"/>
                <w:szCs w:val="21"/>
                <w:highlight w:val="none"/>
                <w:lang w:val="en-US" w:eastAsia="zh-CN"/>
              </w:rPr>
              <w:t>为</w:t>
            </w:r>
            <w:r>
              <w:rPr>
                <w:rFonts w:hint="eastAsia" w:cs="Times New Roman"/>
                <w:color w:val="auto"/>
                <w:sz w:val="21"/>
                <w:szCs w:val="21"/>
                <w:highlight w:val="none"/>
                <w:lang w:val="en-US" w:eastAsia="zh-CN"/>
              </w:rPr>
              <w:t>0.00126</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w:t>
            </w:r>
            <w:r>
              <w:rPr>
                <w:rFonts w:hint="eastAsia" w:cs="Times New Roman"/>
                <w:color w:val="auto"/>
                <w:sz w:val="21"/>
                <w:szCs w:val="21"/>
                <w:highlight w:val="none"/>
                <w:lang w:val="en-US" w:eastAsia="zh-CN"/>
              </w:rPr>
              <w:t>0.315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/a</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实验器皿前两道清洗废水为0.00</w:t>
            </w:r>
            <w:r>
              <w:rPr>
                <w:rFonts w:hint="eastAsia" w:cs="Times New Roman"/>
                <w:color w:val="auto"/>
                <w:sz w:val="21"/>
                <w:szCs w:val="21"/>
                <w:highlight w:val="none"/>
                <w:lang w:val="en-US" w:eastAsia="zh-CN"/>
              </w:rPr>
              <w:t>504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cs="Times New Roman"/>
                <w:color w:val="auto"/>
                <w:sz w:val="21"/>
                <w:szCs w:val="21"/>
                <w:highlight w:val="none"/>
                <w:lang w:val="en-US" w:eastAsia="zh-CN"/>
              </w:rPr>
              <w:t>1.26</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后续清洗废水为0.0126m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/d，3.</w:t>
            </w: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p w14:paraId="75E17D6E">
            <w:pPr>
              <w:pStyle w:val="19"/>
              <w:adjustRightInd w:val="0"/>
              <w:snapToGrid w:val="0"/>
              <w:spacing w:after="0" w:line="360" w:lineRule="auto"/>
              <w:ind w:left="0" w:leftChars="0" w:firstLine="480"/>
              <w:jc w:val="left"/>
              <w:rPr>
                <w:color w:val="auto"/>
                <w:sz w:val="24"/>
              </w:rPr>
            </w:pPr>
            <w:r>
              <w:rPr>
                <w:rFonts w:hint="default" w:ascii="Times New Roman" w:hAnsi="Times New Roman" w:eastAsia="宋体" w:cs="Times New Roman"/>
                <w:color w:val="auto"/>
                <w:sz w:val="21"/>
                <w:szCs w:val="21"/>
                <w:highlight w:val="none"/>
                <w:lang w:val="en-US" w:eastAsia="zh-CN"/>
              </w:rPr>
              <w:t>实验器皿前两道清洗废水</w:t>
            </w:r>
            <w:r>
              <w:rPr>
                <w:rFonts w:hint="default" w:ascii="Times New Roman" w:hAnsi="Times New Roman" w:eastAsia="宋体" w:cs="Times New Roman"/>
                <w:color w:val="auto"/>
                <w:sz w:val="21"/>
                <w:szCs w:val="21"/>
                <w:highlight w:val="none"/>
              </w:rPr>
              <w:t>作为危废处置，其余清洗废水经</w:t>
            </w:r>
            <w:r>
              <w:rPr>
                <w:rFonts w:hint="eastAsia" w:cs="Times New Roman"/>
                <w:color w:val="auto"/>
                <w:sz w:val="21"/>
                <w:szCs w:val="21"/>
                <w:highlight w:val="none"/>
                <w:lang w:val="en-US" w:eastAsia="zh-CN"/>
              </w:rPr>
              <w:t>中和沉淀池</w:t>
            </w:r>
            <w:r>
              <w:rPr>
                <w:rFonts w:hint="default" w:ascii="Times New Roman" w:hAnsi="Times New Roman" w:eastAsia="宋体" w:cs="Times New Roman"/>
                <w:color w:val="auto"/>
                <w:sz w:val="21"/>
                <w:szCs w:val="21"/>
                <w:highlight w:val="none"/>
              </w:rPr>
              <w:t>处理后排入市政污水管网，最终进入</w:t>
            </w:r>
            <w:r>
              <w:rPr>
                <w:rFonts w:hint="eastAsia" w:cs="Times New Roman"/>
                <w:color w:val="auto"/>
                <w:sz w:val="21"/>
                <w:szCs w:val="21"/>
                <w:highlight w:val="none"/>
                <w:lang w:eastAsia="zh-CN"/>
              </w:rPr>
              <w:t>昆明市第十四水质净化厂</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bCs/>
                <w:color w:val="auto"/>
                <w:kern w:val="0"/>
                <w:sz w:val="21"/>
                <w:szCs w:val="21"/>
              </w:rPr>
              <w:t>类比同类实验室项目竣工验收监测数据（云南铖悦环境科技有限公司实验室建设项目竣工环境保护验收报告表），经中和预处理后，</w:t>
            </w:r>
            <w:r>
              <w:rPr>
                <w:rFonts w:hint="default" w:ascii="Times New Roman" w:hAnsi="Times New Roman" w:eastAsia="宋体" w:cs="Times New Roman"/>
                <w:bCs/>
                <w:color w:val="auto"/>
                <w:kern w:val="0"/>
                <w:sz w:val="21"/>
                <w:szCs w:val="21"/>
                <w:lang w:val="en-US" w:eastAsia="zh-CN"/>
              </w:rPr>
              <w:t>实验</w:t>
            </w:r>
            <w:r>
              <w:rPr>
                <w:rFonts w:hint="default" w:ascii="Times New Roman" w:hAnsi="Times New Roman" w:eastAsia="宋体" w:cs="Times New Roman"/>
                <w:bCs/>
                <w:color w:val="auto"/>
                <w:kern w:val="0"/>
                <w:sz w:val="21"/>
                <w:szCs w:val="21"/>
              </w:rPr>
              <w:t>器皿</w:t>
            </w:r>
            <w:r>
              <w:rPr>
                <w:rFonts w:hint="default" w:ascii="Times New Roman" w:hAnsi="Times New Roman" w:eastAsia="宋体" w:cs="Times New Roman"/>
                <w:bCs/>
                <w:color w:val="auto"/>
                <w:kern w:val="0"/>
                <w:sz w:val="21"/>
                <w:szCs w:val="21"/>
                <w:lang w:val="en-US" w:eastAsia="zh-CN"/>
              </w:rPr>
              <w:t>后续</w:t>
            </w:r>
            <w:r>
              <w:rPr>
                <w:rFonts w:hint="default" w:ascii="Times New Roman" w:hAnsi="Times New Roman" w:eastAsia="宋体" w:cs="Times New Roman"/>
                <w:bCs/>
                <w:color w:val="auto"/>
                <w:kern w:val="0"/>
                <w:sz w:val="21"/>
                <w:szCs w:val="21"/>
              </w:rPr>
              <w:t>清洗废水污染物浓度为：</w:t>
            </w:r>
            <w:r>
              <w:rPr>
                <w:rFonts w:hint="eastAsia" w:cs="Times New Roman"/>
                <w:bCs/>
                <w:color w:val="auto"/>
                <w:kern w:val="0"/>
                <w:sz w:val="21"/>
                <w:szCs w:val="21"/>
                <w:lang w:val="en-US" w:eastAsia="zh-CN"/>
              </w:rPr>
              <w:t>pH：7.3、</w:t>
            </w:r>
            <w:r>
              <w:rPr>
                <w:rFonts w:hint="default" w:ascii="Times New Roman" w:hAnsi="Times New Roman" w:eastAsia="宋体" w:cs="Times New Roman"/>
                <w:bCs/>
                <w:color w:val="auto"/>
                <w:kern w:val="0"/>
                <w:sz w:val="21"/>
                <w:szCs w:val="21"/>
              </w:rPr>
              <w:t>COD</w:t>
            </w:r>
            <w:r>
              <w:rPr>
                <w:rFonts w:hint="default" w:ascii="Times New Roman" w:hAnsi="Times New Roman" w:eastAsia="宋体" w:cs="Times New Roman"/>
                <w:bCs/>
                <w:color w:val="auto"/>
                <w:kern w:val="0"/>
                <w:sz w:val="21"/>
                <w:szCs w:val="21"/>
                <w:lang w:eastAsia="zh-CN"/>
              </w:rPr>
              <w:t>：</w:t>
            </w:r>
            <w:r>
              <w:rPr>
                <w:rFonts w:hint="eastAsia" w:ascii="Times New Roman" w:hAnsi="Times New Roman" w:eastAsia="宋体" w:cs="Times New Roman"/>
                <w:bCs/>
                <w:color w:val="auto"/>
                <w:kern w:val="0"/>
                <w:sz w:val="21"/>
                <w:szCs w:val="21"/>
                <w:lang w:val="en-US" w:eastAsia="zh-CN"/>
              </w:rPr>
              <w:t>32</w:t>
            </w:r>
            <w:r>
              <w:rPr>
                <w:rFonts w:hint="default" w:ascii="Times New Roman" w:hAnsi="Times New Roman" w:eastAsia="宋体" w:cs="Times New Roman"/>
                <w:bCs/>
                <w:color w:val="auto"/>
                <w:kern w:val="0"/>
                <w:sz w:val="21"/>
                <w:szCs w:val="21"/>
              </w:rPr>
              <w:t>mg/L、BOD</w:t>
            </w:r>
            <w:r>
              <w:rPr>
                <w:rFonts w:hint="default" w:ascii="Times New Roman" w:hAnsi="Times New Roman" w:eastAsia="宋体" w:cs="Times New Roman"/>
                <w:bCs/>
                <w:color w:val="auto"/>
                <w:kern w:val="0"/>
                <w:sz w:val="21"/>
                <w:szCs w:val="21"/>
                <w:vertAlign w:val="subscript"/>
              </w:rPr>
              <w:t>5</w:t>
            </w:r>
            <w:r>
              <w:rPr>
                <w:rFonts w:hint="default" w:ascii="Times New Roman" w:hAnsi="Times New Roman" w:eastAsia="宋体" w:cs="Times New Roman"/>
                <w:bCs/>
                <w:color w:val="auto"/>
                <w:kern w:val="0"/>
                <w:sz w:val="21"/>
                <w:szCs w:val="21"/>
                <w:vertAlign w:val="baseline"/>
                <w:lang w:eastAsia="zh-CN"/>
              </w:rPr>
              <w:t>：</w:t>
            </w:r>
            <w:r>
              <w:rPr>
                <w:rFonts w:hint="eastAsia" w:ascii="Times New Roman" w:hAnsi="Times New Roman" w:eastAsia="宋体" w:cs="Times New Roman"/>
                <w:bCs/>
                <w:color w:val="auto"/>
                <w:kern w:val="0"/>
                <w:sz w:val="21"/>
                <w:szCs w:val="21"/>
                <w:lang w:val="en-US" w:eastAsia="zh-CN"/>
              </w:rPr>
              <w:t>14.5</w:t>
            </w:r>
            <w:r>
              <w:rPr>
                <w:rFonts w:hint="default" w:ascii="Times New Roman" w:hAnsi="Times New Roman" w:eastAsia="宋体" w:cs="Times New Roman"/>
                <w:bCs/>
                <w:color w:val="auto"/>
                <w:kern w:val="0"/>
                <w:sz w:val="21"/>
                <w:szCs w:val="21"/>
              </w:rPr>
              <w:t>mg/L、NH</w:t>
            </w:r>
            <w:r>
              <w:rPr>
                <w:rFonts w:hint="default" w:ascii="Times New Roman" w:hAnsi="Times New Roman" w:eastAsia="宋体" w:cs="Times New Roman"/>
                <w:bCs/>
                <w:color w:val="auto"/>
                <w:kern w:val="0"/>
                <w:sz w:val="21"/>
                <w:szCs w:val="21"/>
                <w:vertAlign w:val="subscript"/>
              </w:rPr>
              <w:t>3</w:t>
            </w:r>
            <w:r>
              <w:rPr>
                <w:rFonts w:hint="default" w:ascii="Times New Roman" w:hAnsi="Times New Roman" w:eastAsia="宋体" w:cs="Times New Roman"/>
                <w:bCs/>
                <w:color w:val="auto"/>
                <w:kern w:val="0"/>
                <w:sz w:val="21"/>
                <w:szCs w:val="21"/>
              </w:rPr>
              <w:t>-N</w:t>
            </w:r>
            <w:r>
              <w:rPr>
                <w:rFonts w:hint="default"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lang w:val="en-US" w:eastAsia="zh-CN"/>
              </w:rPr>
              <w:t>0.6</w:t>
            </w:r>
            <w:r>
              <w:rPr>
                <w:rFonts w:hint="eastAsia" w:ascii="Times New Roman" w:hAnsi="Times New Roman" w:eastAsia="宋体" w:cs="Times New Roman"/>
                <w:bCs/>
                <w:color w:val="auto"/>
                <w:kern w:val="0"/>
                <w:sz w:val="21"/>
                <w:szCs w:val="21"/>
                <w:lang w:val="en-US" w:eastAsia="zh-CN"/>
              </w:rPr>
              <w:t>03</w:t>
            </w:r>
            <w:r>
              <w:rPr>
                <w:rFonts w:hint="default" w:ascii="Times New Roman" w:hAnsi="Times New Roman" w:eastAsia="宋体" w:cs="Times New Roman"/>
                <w:bCs/>
                <w:color w:val="auto"/>
                <w:kern w:val="0"/>
                <w:sz w:val="21"/>
                <w:szCs w:val="21"/>
              </w:rPr>
              <w:t>mg/L、SS</w:t>
            </w:r>
            <w:r>
              <w:rPr>
                <w:rFonts w:hint="default" w:ascii="Times New Roman" w:hAnsi="Times New Roman" w:eastAsia="宋体" w:cs="Times New Roman"/>
                <w:bCs/>
                <w:color w:val="auto"/>
                <w:kern w:val="0"/>
                <w:sz w:val="21"/>
                <w:szCs w:val="21"/>
                <w:lang w:eastAsia="zh-CN"/>
              </w:rPr>
              <w:t>：</w:t>
            </w:r>
            <w:r>
              <w:rPr>
                <w:rFonts w:hint="eastAsia" w:ascii="Times New Roman" w:hAnsi="Times New Roman" w:eastAsia="宋体" w:cs="Times New Roman"/>
                <w:bCs/>
                <w:color w:val="auto"/>
                <w:kern w:val="0"/>
                <w:sz w:val="21"/>
                <w:szCs w:val="21"/>
                <w:lang w:val="en-US" w:eastAsia="zh-CN"/>
              </w:rPr>
              <w:t>7</w:t>
            </w:r>
            <w:r>
              <w:rPr>
                <w:rFonts w:hint="default" w:ascii="Times New Roman" w:hAnsi="Times New Roman" w:eastAsia="宋体" w:cs="Times New Roman"/>
                <w:bCs/>
                <w:color w:val="auto"/>
                <w:kern w:val="0"/>
                <w:sz w:val="21"/>
                <w:szCs w:val="21"/>
              </w:rPr>
              <w:t>mg/L、TP</w:t>
            </w:r>
            <w:r>
              <w:rPr>
                <w:rFonts w:hint="default"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rPr>
              <w:t>0.</w:t>
            </w:r>
            <w:r>
              <w:rPr>
                <w:rFonts w:hint="default" w:ascii="Times New Roman" w:hAnsi="Times New Roman" w:eastAsia="宋体" w:cs="Times New Roman"/>
                <w:bCs/>
                <w:color w:val="auto"/>
                <w:kern w:val="0"/>
                <w:sz w:val="21"/>
                <w:szCs w:val="21"/>
                <w:lang w:val="en-US" w:eastAsia="zh-CN"/>
              </w:rPr>
              <w:t>2</w:t>
            </w:r>
            <w:r>
              <w:rPr>
                <w:rFonts w:hint="eastAsia" w:ascii="Times New Roman" w:hAnsi="Times New Roman" w:eastAsia="宋体" w:cs="Times New Roman"/>
                <w:bCs/>
                <w:color w:val="auto"/>
                <w:kern w:val="0"/>
                <w:sz w:val="21"/>
                <w:szCs w:val="21"/>
                <w:lang w:val="en-US" w:eastAsia="zh-CN"/>
              </w:rPr>
              <w:t>3</w:t>
            </w:r>
            <w:r>
              <w:rPr>
                <w:rFonts w:hint="default" w:ascii="Times New Roman" w:hAnsi="Times New Roman" w:eastAsia="宋体" w:cs="Times New Roman"/>
                <w:bCs/>
                <w:color w:val="auto"/>
                <w:kern w:val="0"/>
                <w:sz w:val="21"/>
                <w:szCs w:val="21"/>
              </w:rPr>
              <w:t>mg/L。</w:t>
            </w:r>
          </w:p>
          <w:p w14:paraId="4F58AA3A">
            <w:pPr>
              <w:pStyle w:val="19"/>
              <w:adjustRightInd w:val="0"/>
              <w:snapToGrid w:val="0"/>
              <w:spacing w:after="0" w:line="360" w:lineRule="auto"/>
              <w:ind w:left="0" w:leftChars="0" w:firstLine="480"/>
              <w:jc w:val="left"/>
              <w:rPr>
                <w:rFonts w:hint="eastAsia" w:cs="Times New Roman"/>
                <w:color w:val="auto"/>
                <w:sz w:val="21"/>
                <w:szCs w:val="21"/>
                <w:lang w:eastAsia="zh-CN"/>
              </w:rPr>
            </w:pPr>
            <w:r>
              <w:rPr>
                <w:rFonts w:hint="eastAsia" w:cs="Times New Roman"/>
                <w:color w:val="auto"/>
                <w:sz w:val="21"/>
                <w:szCs w:val="21"/>
                <w:lang w:eastAsia="zh-CN"/>
              </w:rPr>
              <w:t>（</w:t>
            </w:r>
            <w:r>
              <w:rPr>
                <w:rFonts w:hint="eastAsia" w:cs="Times New Roman"/>
                <w:color w:val="auto"/>
                <w:sz w:val="21"/>
                <w:szCs w:val="21"/>
                <w:lang w:val="en-US" w:eastAsia="zh-CN"/>
              </w:rPr>
              <w:t>3</w:t>
            </w:r>
            <w:r>
              <w:rPr>
                <w:rFonts w:hint="eastAsia" w:cs="Times New Roman"/>
                <w:color w:val="auto"/>
                <w:sz w:val="21"/>
                <w:szCs w:val="21"/>
                <w:lang w:eastAsia="zh-CN"/>
              </w:rPr>
              <w:t>）纯水制备</w:t>
            </w:r>
          </w:p>
          <w:p w14:paraId="022C790C">
            <w:pPr>
              <w:pStyle w:val="19"/>
              <w:adjustRightInd w:val="0"/>
              <w:snapToGrid w:val="0"/>
              <w:spacing w:after="0" w:line="360" w:lineRule="auto"/>
              <w:ind w:left="0" w:leftChars="0" w:firstLine="480"/>
              <w:jc w:val="left"/>
              <w:rPr>
                <w:rFonts w:hint="default" w:ascii="Times New Roman" w:hAnsi="Times New Roman" w:eastAsia="宋体" w:cs="Times New Roman"/>
                <w:color w:val="auto"/>
                <w:sz w:val="21"/>
                <w:szCs w:val="21"/>
                <w:highlight w:val="none"/>
              </w:rPr>
            </w:pPr>
            <w:r>
              <w:rPr>
                <w:rFonts w:hint="eastAsia" w:cs="Times New Roman"/>
                <w:color w:val="auto"/>
                <w:sz w:val="21"/>
                <w:szCs w:val="21"/>
                <w:lang w:eastAsia="zh-CN"/>
              </w:rPr>
              <w:t>项目实验用纯水由项目配置的</w:t>
            </w:r>
            <w:r>
              <w:rPr>
                <w:rFonts w:hint="eastAsia" w:cs="Times New Roman"/>
                <w:color w:val="auto"/>
                <w:sz w:val="21"/>
                <w:szCs w:val="21"/>
                <w:lang w:val="en-US" w:eastAsia="zh-CN"/>
              </w:rPr>
              <w:t>超</w:t>
            </w:r>
            <w:r>
              <w:rPr>
                <w:rFonts w:hint="eastAsia" w:cs="Times New Roman"/>
                <w:color w:val="auto"/>
                <w:sz w:val="21"/>
                <w:szCs w:val="21"/>
                <w:lang w:eastAsia="zh-CN"/>
              </w:rPr>
              <w:t>纯水机统一制备供给，根据建设单位介绍，项目年使用纯水约</w:t>
            </w:r>
            <w:r>
              <w:rPr>
                <w:rFonts w:hint="eastAsia" w:cs="Times New Roman"/>
                <w:color w:val="auto"/>
                <w:sz w:val="21"/>
                <w:szCs w:val="21"/>
                <w:lang w:val="en-US" w:eastAsia="zh-CN"/>
              </w:rPr>
              <w:t>25.35</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r>
              <w:rPr>
                <w:rFonts w:hint="eastAsia" w:cs="Times New Roman"/>
                <w:color w:val="auto"/>
                <w:sz w:val="21"/>
                <w:szCs w:val="21"/>
                <w:lang w:eastAsia="zh-CN"/>
              </w:rPr>
              <w:t>/a，</w:t>
            </w:r>
            <w:r>
              <w:rPr>
                <w:rFonts w:hint="eastAsia" w:cs="Times New Roman"/>
                <w:color w:val="auto"/>
                <w:sz w:val="21"/>
                <w:szCs w:val="21"/>
                <w:lang w:val="en-US" w:eastAsia="zh-CN"/>
              </w:rPr>
              <w:t>0.1014</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r>
              <w:rPr>
                <w:rFonts w:hint="eastAsia" w:cs="Times New Roman"/>
                <w:color w:val="auto"/>
                <w:sz w:val="21"/>
                <w:szCs w:val="21"/>
                <w:lang w:eastAsia="zh-CN"/>
              </w:rPr>
              <w:t>/d，根据设备制备纯水工艺可知，项目纯水机出水比例为60%，则项目用于制备纯水的自来水用量即为</w:t>
            </w:r>
            <w:r>
              <w:rPr>
                <w:rFonts w:hint="eastAsia" w:cs="Times New Roman"/>
                <w:color w:val="auto"/>
                <w:sz w:val="21"/>
                <w:szCs w:val="21"/>
                <w:lang w:val="en-US" w:eastAsia="zh-CN"/>
              </w:rPr>
              <w:t>0.169</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r>
              <w:rPr>
                <w:rFonts w:hint="eastAsia" w:cs="Times New Roman"/>
                <w:color w:val="auto"/>
                <w:sz w:val="21"/>
                <w:szCs w:val="21"/>
                <w:lang w:eastAsia="zh-CN"/>
              </w:rPr>
              <w:t>/d，</w:t>
            </w:r>
            <w:r>
              <w:rPr>
                <w:rFonts w:hint="eastAsia" w:cs="Times New Roman"/>
                <w:color w:val="auto"/>
                <w:sz w:val="21"/>
                <w:szCs w:val="21"/>
                <w:lang w:val="en-US" w:eastAsia="zh-CN"/>
              </w:rPr>
              <w:t>42.25</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r>
              <w:rPr>
                <w:rFonts w:hint="eastAsia" w:cs="Times New Roman"/>
                <w:color w:val="auto"/>
                <w:sz w:val="21"/>
                <w:szCs w:val="21"/>
                <w:lang w:eastAsia="zh-CN"/>
              </w:rPr>
              <w:t>/a，其余的0.0676m</w:t>
            </w:r>
            <w:r>
              <w:rPr>
                <w:rFonts w:hint="eastAsia" w:cs="Times New Roman"/>
                <w:color w:val="auto"/>
                <w:sz w:val="21"/>
                <w:szCs w:val="21"/>
                <w:vertAlign w:val="superscript"/>
                <w:lang w:eastAsia="zh-CN"/>
              </w:rPr>
              <w:t>3</w:t>
            </w:r>
            <w:r>
              <w:rPr>
                <w:rFonts w:hint="eastAsia" w:cs="Times New Roman"/>
                <w:color w:val="auto"/>
                <w:sz w:val="21"/>
                <w:szCs w:val="21"/>
                <w:lang w:eastAsia="zh-CN"/>
              </w:rPr>
              <w:t>/d，</w:t>
            </w:r>
            <w:r>
              <w:rPr>
                <w:rFonts w:hint="eastAsia" w:cs="Times New Roman"/>
                <w:color w:val="auto"/>
                <w:sz w:val="21"/>
                <w:szCs w:val="21"/>
                <w:lang w:val="en-US" w:eastAsia="zh-CN"/>
              </w:rPr>
              <w:t>16.9</w:t>
            </w:r>
            <w:r>
              <w:rPr>
                <w:rFonts w:hint="eastAsia" w:cs="Times New Roman"/>
                <w:color w:val="auto"/>
                <w:sz w:val="21"/>
                <w:szCs w:val="21"/>
                <w:lang w:eastAsia="zh-CN"/>
              </w:rPr>
              <w:t>m</w:t>
            </w:r>
            <w:r>
              <w:rPr>
                <w:rFonts w:hint="eastAsia" w:cs="Times New Roman"/>
                <w:color w:val="auto"/>
                <w:sz w:val="21"/>
                <w:szCs w:val="21"/>
                <w:vertAlign w:val="superscript"/>
                <w:lang w:eastAsia="zh-CN"/>
              </w:rPr>
              <w:t>3</w:t>
            </w:r>
            <w:r>
              <w:rPr>
                <w:rFonts w:hint="eastAsia" w:cs="Times New Roman"/>
                <w:color w:val="auto"/>
                <w:sz w:val="21"/>
                <w:szCs w:val="21"/>
                <w:lang w:eastAsia="zh-CN"/>
              </w:rPr>
              <w:t>/a即形成浓水排放，排水硬度较高，主要含有钙、镁盐类，与实验室器皿</w:t>
            </w:r>
            <w:r>
              <w:rPr>
                <w:rFonts w:hint="default" w:ascii="Times New Roman" w:hAnsi="Times New Roman" w:eastAsia="宋体" w:cs="Times New Roman"/>
                <w:color w:val="auto"/>
                <w:sz w:val="21"/>
                <w:szCs w:val="21"/>
                <w:highlight w:val="none"/>
              </w:rPr>
              <w:t>润洗</w:t>
            </w:r>
            <w:r>
              <w:rPr>
                <w:rFonts w:hint="eastAsia"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rPr>
              <w:t>水</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后续清洗废水</w:t>
            </w:r>
            <w:r>
              <w:rPr>
                <w:rFonts w:hint="eastAsia" w:cs="Times New Roman"/>
                <w:color w:val="auto"/>
                <w:sz w:val="21"/>
                <w:szCs w:val="21"/>
                <w:lang w:eastAsia="zh-CN"/>
              </w:rPr>
              <w:t>一起汇入</w:t>
            </w:r>
            <w:r>
              <w:rPr>
                <w:rFonts w:hint="eastAsia" w:cs="Times New Roman"/>
                <w:color w:val="auto"/>
                <w:sz w:val="21"/>
                <w:szCs w:val="21"/>
                <w:highlight w:val="none"/>
                <w:lang w:val="en-US" w:eastAsia="zh-CN"/>
              </w:rPr>
              <w:t>中和沉淀池</w:t>
            </w:r>
            <w:r>
              <w:rPr>
                <w:rFonts w:hint="default" w:ascii="Times New Roman" w:hAnsi="Times New Roman" w:eastAsia="宋体" w:cs="Times New Roman"/>
                <w:color w:val="auto"/>
                <w:sz w:val="21"/>
                <w:szCs w:val="21"/>
                <w:highlight w:val="none"/>
              </w:rPr>
              <w:t>处理后排入市政污水管网，最终进入</w:t>
            </w:r>
            <w:r>
              <w:rPr>
                <w:rFonts w:hint="eastAsia" w:cs="Times New Roman"/>
                <w:color w:val="auto"/>
                <w:sz w:val="21"/>
                <w:szCs w:val="21"/>
                <w:highlight w:val="none"/>
                <w:lang w:eastAsia="zh-CN"/>
              </w:rPr>
              <w:t>昆明市第十四水质净化厂</w:t>
            </w:r>
            <w:r>
              <w:rPr>
                <w:rFonts w:hint="default" w:ascii="Times New Roman" w:hAnsi="Times New Roman" w:eastAsia="宋体" w:cs="Times New Roman"/>
                <w:color w:val="auto"/>
                <w:sz w:val="21"/>
                <w:szCs w:val="21"/>
                <w:highlight w:val="none"/>
              </w:rPr>
              <w:t>处理。</w:t>
            </w:r>
          </w:p>
          <w:p w14:paraId="321B96BB">
            <w:pPr>
              <w:pStyle w:val="19"/>
              <w:adjustRightInd w:val="0"/>
              <w:snapToGrid w:val="0"/>
              <w:spacing w:after="0" w:line="360" w:lineRule="auto"/>
              <w:ind w:left="0" w:leftChars="0" w:firstLine="480"/>
              <w:jc w:val="left"/>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default" w:ascii="Times New Roman" w:hAnsi="Times New Roman" w:eastAsia="宋体" w:cs="Times New Roman"/>
                <w:color w:val="auto"/>
                <w:kern w:val="0"/>
                <w:sz w:val="21"/>
                <w:szCs w:val="21"/>
                <w:lang w:val="en-US" w:eastAsia="zh-CN"/>
              </w:rPr>
              <w:t>4</w:t>
            </w:r>
            <w:r>
              <w:rPr>
                <w:rFonts w:hint="default" w:ascii="Times New Roman" w:hAnsi="Times New Roman" w:eastAsia="宋体" w:cs="Times New Roman"/>
                <w:color w:val="auto"/>
                <w:kern w:val="0"/>
                <w:sz w:val="21"/>
                <w:szCs w:val="21"/>
              </w:rPr>
              <w:t>）地面清洁用排水</w:t>
            </w:r>
          </w:p>
          <w:p w14:paraId="011E8FEF">
            <w:pPr>
              <w:keepNext w:val="0"/>
              <w:keepLines w:val="0"/>
              <w:pageBreakBefore w:val="0"/>
              <w:widowControl w:val="0"/>
              <w:kinsoku/>
              <w:wordWrap w:val="0"/>
              <w:overflowPunct/>
              <w:topLinePunct w:val="0"/>
              <w:autoSpaceDE w:val="0"/>
              <w:autoSpaceDN w:val="0"/>
              <w:bidi w:val="0"/>
              <w:adjustRightInd w:val="0"/>
              <w:snapToGrid w:val="0"/>
              <w:spacing w:line="360" w:lineRule="auto"/>
              <w:ind w:firstLine="420" w:firstLineChars="200"/>
              <w:jc w:val="left"/>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rPr>
              <w:t>项目总建筑面积</w:t>
            </w:r>
            <w:r>
              <w:rPr>
                <w:rFonts w:hint="default" w:ascii="Times New Roman" w:hAnsi="Times New Roman" w:eastAsia="宋体" w:cs="Times New Roman"/>
                <w:color w:val="auto"/>
                <w:kern w:val="0"/>
                <w:sz w:val="21"/>
                <w:szCs w:val="21"/>
                <w:lang w:val="en-US" w:eastAsia="zh-CN"/>
              </w:rPr>
              <w:t>734.1m</w:t>
            </w:r>
            <w:r>
              <w:rPr>
                <w:rFonts w:hint="default" w:ascii="Times New Roman" w:hAnsi="Times New Roman" w:eastAsia="宋体" w:cs="Times New Roman"/>
                <w:color w:val="auto"/>
                <w:kern w:val="0"/>
                <w:sz w:val="21"/>
                <w:szCs w:val="21"/>
                <w:vertAlign w:val="superscript"/>
                <w:lang w:val="en-US" w:eastAsia="zh-CN"/>
              </w:rPr>
              <w:t>2</w:t>
            </w:r>
            <w:r>
              <w:rPr>
                <w:rFonts w:hint="default" w:ascii="Times New Roman" w:hAnsi="Times New Roman" w:eastAsia="宋体" w:cs="Times New Roman"/>
                <w:color w:val="auto"/>
                <w:kern w:val="0"/>
                <w:sz w:val="21"/>
                <w:szCs w:val="21"/>
              </w:rPr>
              <w:t>，依据《建筑给水排水设计手册》(中国建筑工业出版社)，地面冲洗用水量为1.0~1.5L/m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次。本项目</w:t>
            </w:r>
            <w:r>
              <w:rPr>
                <w:rFonts w:hint="default" w:ascii="Times New Roman" w:hAnsi="Times New Roman" w:eastAsia="宋体" w:cs="Times New Roman"/>
                <w:color w:val="auto"/>
                <w:kern w:val="0"/>
                <w:sz w:val="21"/>
                <w:szCs w:val="21"/>
              </w:rPr>
              <w:t>主要使用拖把</w:t>
            </w:r>
            <w:r>
              <w:rPr>
                <w:rFonts w:hint="eastAsia" w:cs="Times New Roman"/>
                <w:color w:val="auto"/>
                <w:kern w:val="0"/>
                <w:sz w:val="21"/>
                <w:szCs w:val="21"/>
                <w:lang w:val="en-US" w:eastAsia="zh-CN"/>
              </w:rPr>
              <w:t>清洁</w:t>
            </w:r>
            <w:r>
              <w:rPr>
                <w:rFonts w:hint="default" w:ascii="Times New Roman" w:hAnsi="Times New Roman" w:eastAsia="宋体" w:cs="Times New Roman"/>
                <w:color w:val="auto"/>
                <w:kern w:val="0"/>
                <w:sz w:val="21"/>
                <w:szCs w:val="21"/>
              </w:rPr>
              <w:t>，不进行冲洗，清洁用水按</w:t>
            </w:r>
            <w:r>
              <w:rPr>
                <w:rFonts w:hint="eastAsia" w:cs="Times New Roman"/>
                <w:color w:val="auto"/>
                <w:kern w:val="0"/>
                <w:sz w:val="21"/>
                <w:szCs w:val="21"/>
                <w:lang w:val="en-US" w:eastAsia="zh-CN"/>
              </w:rPr>
              <w:t>0.5</w:t>
            </w:r>
            <w:r>
              <w:rPr>
                <w:rFonts w:hint="default" w:ascii="Times New Roman" w:hAnsi="Times New Roman" w:eastAsia="宋体" w:cs="Times New Roman"/>
                <w:color w:val="auto"/>
                <w:kern w:val="0"/>
                <w:sz w:val="21"/>
                <w:szCs w:val="21"/>
              </w:rPr>
              <w:t>L/m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次</w:t>
            </w:r>
            <w:r>
              <w:rPr>
                <w:rFonts w:hint="default" w:ascii="Times New Roman" w:hAnsi="Times New Roman" w:eastAsia="宋体" w:cs="Times New Roman"/>
                <w:color w:val="auto"/>
                <w:sz w:val="21"/>
                <w:szCs w:val="21"/>
              </w:rPr>
              <w:t>计，</w:t>
            </w:r>
            <w:r>
              <w:rPr>
                <w:rFonts w:hint="eastAsia" w:cs="Times New Roman"/>
                <w:color w:val="auto"/>
                <w:sz w:val="21"/>
                <w:szCs w:val="21"/>
                <w:lang w:val="en-US" w:eastAsia="zh-CN"/>
              </w:rPr>
              <w:t>地面每两天清洁一次，</w:t>
            </w:r>
            <w:r>
              <w:rPr>
                <w:rFonts w:hint="default" w:ascii="Times New Roman" w:hAnsi="Times New Roman" w:eastAsia="宋体" w:cs="Times New Roman"/>
                <w:color w:val="auto"/>
                <w:sz w:val="21"/>
                <w:szCs w:val="21"/>
              </w:rPr>
              <w:t>则地面清洁用水量为</w:t>
            </w:r>
            <w:r>
              <w:rPr>
                <w:rFonts w:hint="default" w:ascii="Times New Roman" w:hAnsi="Times New Roman" w:eastAsia="宋体" w:cs="Times New Roman"/>
                <w:color w:val="auto"/>
                <w:kern w:val="0"/>
                <w:sz w:val="21"/>
                <w:szCs w:val="21"/>
              </w:rPr>
              <w:t>0.</w:t>
            </w:r>
            <w:r>
              <w:rPr>
                <w:rFonts w:hint="eastAsia" w:cs="Times New Roman"/>
                <w:color w:val="auto"/>
                <w:kern w:val="0"/>
                <w:sz w:val="21"/>
                <w:szCs w:val="21"/>
                <w:lang w:val="en-US" w:eastAsia="zh-CN"/>
              </w:rPr>
              <w:t>184</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/d，</w:t>
            </w:r>
            <w:r>
              <w:rPr>
                <w:rFonts w:hint="eastAsia" w:cs="Times New Roman"/>
                <w:color w:val="auto"/>
                <w:kern w:val="0"/>
                <w:sz w:val="21"/>
                <w:szCs w:val="21"/>
                <w:lang w:val="en-US" w:eastAsia="zh-CN"/>
              </w:rPr>
              <w:t>46</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/a，废水排放系数取0.8，则产生的地面清洁废水量（主要拖把清洗废水）为</w:t>
            </w:r>
            <w:r>
              <w:rPr>
                <w:rFonts w:hint="default" w:ascii="Times New Roman" w:hAnsi="Times New Roman" w:eastAsia="宋体" w:cs="Times New Roman"/>
                <w:color w:val="auto"/>
                <w:kern w:val="0"/>
                <w:sz w:val="21"/>
                <w:szCs w:val="21"/>
                <w:lang w:val="en-US"/>
              </w:rPr>
              <w:t>0.</w:t>
            </w:r>
            <w:r>
              <w:rPr>
                <w:rFonts w:hint="eastAsia" w:cs="Times New Roman"/>
                <w:color w:val="auto"/>
                <w:kern w:val="0"/>
                <w:sz w:val="21"/>
                <w:szCs w:val="21"/>
                <w:lang w:val="en-US" w:eastAsia="zh-CN"/>
              </w:rPr>
              <w:t>1472</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/d，</w:t>
            </w:r>
            <w:r>
              <w:rPr>
                <w:rFonts w:hint="eastAsia" w:cs="Times New Roman"/>
                <w:color w:val="auto"/>
                <w:kern w:val="0"/>
                <w:sz w:val="21"/>
                <w:szCs w:val="21"/>
                <w:lang w:val="en-US" w:eastAsia="zh-CN"/>
              </w:rPr>
              <w:t>36.8</w:t>
            </w:r>
            <w:r>
              <w:rPr>
                <w:rFonts w:hint="default" w:ascii="Times New Roman" w:hAnsi="Times New Roman" w:eastAsia="宋体" w:cs="Times New Roman"/>
                <w:color w:val="auto"/>
                <w:kern w:val="0"/>
                <w:sz w:val="21"/>
                <w:szCs w:val="21"/>
              </w:rPr>
              <w:t>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/a。</w:t>
            </w:r>
            <w:r>
              <w:rPr>
                <w:rFonts w:hint="eastAsia" w:cs="Times New Roman"/>
                <w:color w:val="auto"/>
                <w:kern w:val="0"/>
                <w:sz w:val="21"/>
                <w:szCs w:val="21"/>
                <w:lang w:val="en-US" w:eastAsia="zh-CN"/>
              </w:rPr>
              <w:t>地面清洁废水水质与一般生活污水无异，</w:t>
            </w:r>
            <w:r>
              <w:rPr>
                <w:rFonts w:hint="default" w:ascii="Times New Roman" w:hAnsi="Times New Roman" w:eastAsia="宋体" w:cs="Times New Roman"/>
                <w:color w:val="auto"/>
                <w:sz w:val="21"/>
                <w:szCs w:val="21"/>
                <w:lang w:val="en-US" w:eastAsia="zh-CN"/>
              </w:rPr>
              <w:t>依托</w:t>
            </w:r>
            <w:r>
              <w:rPr>
                <w:rFonts w:hint="eastAsia" w:cs="Times New Roman"/>
                <w:color w:val="auto"/>
                <w:kern w:val="0"/>
                <w:sz w:val="21"/>
                <w:szCs w:val="21"/>
                <w:lang w:val="en-US" w:eastAsia="zh-CN" w:bidi="ar"/>
              </w:rPr>
              <w:t>云南水投牛栏江滇池补水工程有限公司现有的化粪池，经化粪池处理后</w:t>
            </w:r>
            <w:r>
              <w:rPr>
                <w:rFonts w:hint="default" w:ascii="Times New Roman" w:hAnsi="Times New Roman" w:eastAsia="宋体" w:cs="Times New Roman"/>
                <w:color w:val="auto"/>
                <w:kern w:val="0"/>
                <w:sz w:val="21"/>
                <w:szCs w:val="21"/>
                <w:lang w:val="en-US" w:eastAsia="zh-CN" w:bidi="ar"/>
              </w:rPr>
              <w:t>排入市政管网。</w:t>
            </w:r>
          </w:p>
          <w:p w14:paraId="0B8EE84A">
            <w:pPr>
              <w:pStyle w:val="19"/>
              <w:adjustRightInd w:val="0"/>
              <w:snapToGrid w:val="0"/>
              <w:spacing w:after="0" w:line="360" w:lineRule="auto"/>
              <w:ind w:left="0" w:leftChars="0" w:firstLine="480"/>
              <w:jc w:val="left"/>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w:t>
            </w:r>
            <w:r>
              <w:rPr>
                <w:rFonts w:hint="default"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eastAsia="zh-CN"/>
              </w:rPr>
              <w:t>）喷淋用水</w:t>
            </w:r>
          </w:p>
          <w:p w14:paraId="20950773">
            <w:pPr>
              <w:pStyle w:val="1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项目针对检测室产生的酸性废气采取碱液喷淋治理措施，根据建设单位</w:t>
            </w:r>
            <w:r>
              <w:rPr>
                <w:rFonts w:hint="default" w:ascii="Times New Roman" w:hAnsi="Times New Roman" w:eastAsia="宋体" w:cs="Times New Roman"/>
                <w:color w:val="auto"/>
                <w:kern w:val="0"/>
                <w:sz w:val="21"/>
                <w:szCs w:val="21"/>
                <w:lang w:val="en-US" w:eastAsia="zh-CN"/>
              </w:rPr>
              <w:t>介绍</w:t>
            </w:r>
            <w:r>
              <w:rPr>
                <w:rFonts w:hint="default" w:ascii="Times New Roman" w:hAnsi="Times New Roman" w:eastAsia="宋体" w:cs="Times New Roman"/>
                <w:color w:val="auto"/>
                <w:kern w:val="0"/>
                <w:sz w:val="21"/>
                <w:szCs w:val="21"/>
                <w:lang w:eastAsia="zh-CN"/>
              </w:rPr>
              <w:t>，项目</w:t>
            </w:r>
            <w:r>
              <w:rPr>
                <w:rFonts w:hint="eastAsia" w:cs="Times New Roman"/>
                <w:color w:val="auto"/>
                <w:kern w:val="0"/>
                <w:sz w:val="21"/>
                <w:szCs w:val="21"/>
                <w:lang w:eastAsia="zh-CN"/>
              </w:rPr>
              <w:t>喷淋循环</w:t>
            </w:r>
            <w:r>
              <w:rPr>
                <w:rFonts w:hint="default" w:ascii="Times New Roman" w:hAnsi="Times New Roman" w:eastAsia="宋体" w:cs="Times New Roman"/>
                <w:color w:val="auto"/>
                <w:kern w:val="0"/>
                <w:sz w:val="21"/>
                <w:szCs w:val="21"/>
                <w:lang w:eastAsia="zh-CN"/>
              </w:rPr>
              <w:t>用水量为6m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eastAsia="zh-CN"/>
              </w:rPr>
              <w:t>/d，通过定期(2</w:t>
            </w:r>
            <w:r>
              <w:rPr>
                <w:rFonts w:hint="default"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eastAsia="zh-CN"/>
              </w:rPr>
              <w:t>个月)投放少量的氢氧化钠调节喷淋水的pH后循环回用，不外排，定期补充损耗。其中补充蒸发损耗量为0.6m</w:t>
            </w:r>
            <w:r>
              <w:rPr>
                <w:rFonts w:hint="default" w:ascii="Times New Roman" w:hAnsi="Times New Roman" w:eastAsia="宋体" w:cs="Times New Roman"/>
                <w:color w:val="auto"/>
                <w:kern w:val="0"/>
                <w:sz w:val="21"/>
                <w:szCs w:val="21"/>
                <w:vertAlign w:val="superscript"/>
                <w:lang w:val="en-US" w:eastAsia="zh-CN"/>
              </w:rPr>
              <w:t>3</w:t>
            </w:r>
            <w:r>
              <w:rPr>
                <w:rFonts w:hint="default" w:ascii="Times New Roman" w:hAnsi="Times New Roman" w:eastAsia="宋体" w:cs="Times New Roman"/>
                <w:color w:val="auto"/>
                <w:kern w:val="0"/>
                <w:sz w:val="21"/>
                <w:szCs w:val="21"/>
                <w:lang w:eastAsia="zh-CN"/>
              </w:rPr>
              <w:t>/d。</w:t>
            </w:r>
          </w:p>
          <w:p w14:paraId="35F2750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default"/>
                <w:color w:val="auto"/>
                <w:lang w:val="en-US" w:eastAsia="zh-CN"/>
              </w:rPr>
              <w:t>项目废水产生情况见下表。</w:t>
            </w:r>
          </w:p>
          <w:p w14:paraId="44526D31">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lang w:val="en-US" w:eastAsia="zh-CN"/>
              </w:rPr>
              <w:t>表4-1</w:t>
            </w:r>
            <w:r>
              <w:rPr>
                <w:rFonts w:hint="eastAsia" w:ascii="Times New Roman" w:hAnsi="Times New Roman" w:eastAsia="宋体" w:cs="Times New Roman"/>
                <w:b/>
                <w:bCs/>
                <w:color w:val="auto"/>
                <w:sz w:val="18"/>
                <w:szCs w:val="18"/>
                <w:lang w:val="en-US" w:eastAsia="zh-CN"/>
              </w:rPr>
              <w:t>1</w:t>
            </w:r>
            <w:r>
              <w:rPr>
                <w:rFonts w:hint="default" w:ascii="Times New Roman" w:hAnsi="Times New Roman" w:eastAsia="宋体" w:cs="Times New Roman"/>
                <w:b/>
                <w:bCs/>
                <w:color w:val="auto"/>
                <w:sz w:val="18"/>
                <w:szCs w:val="18"/>
                <w:lang w:val="en-US" w:eastAsia="zh-CN"/>
              </w:rPr>
              <w:t xml:space="preserve">  项目废水污染物产</w:t>
            </w:r>
            <w:r>
              <w:rPr>
                <w:rFonts w:hint="eastAsia" w:cs="Times New Roman"/>
                <w:b/>
                <w:bCs/>
                <w:color w:val="auto"/>
                <w:sz w:val="18"/>
                <w:szCs w:val="18"/>
                <w:lang w:val="en-US" w:eastAsia="zh-CN"/>
              </w:rPr>
              <w:t>生</w:t>
            </w:r>
            <w:r>
              <w:rPr>
                <w:rFonts w:hint="default" w:ascii="Times New Roman" w:hAnsi="Times New Roman" w:eastAsia="宋体" w:cs="Times New Roman"/>
                <w:b/>
                <w:bCs/>
                <w:color w:val="auto"/>
                <w:sz w:val="18"/>
                <w:szCs w:val="18"/>
                <w:lang w:val="en-US" w:eastAsia="zh-CN"/>
              </w:rPr>
              <w:t>情况一览表</w:t>
            </w:r>
          </w:p>
          <w:tbl>
            <w:tblPr>
              <w:tblStyle w:val="21"/>
              <w:tblW w:w="8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782"/>
              <w:gridCol w:w="894"/>
              <w:gridCol w:w="1532"/>
              <w:gridCol w:w="1605"/>
              <w:gridCol w:w="1605"/>
            </w:tblGrid>
            <w:tr w14:paraId="4BEF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1317F2B4">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类别</w:t>
                  </w:r>
                </w:p>
              </w:tc>
              <w:tc>
                <w:tcPr>
                  <w:tcW w:w="1676" w:type="dxa"/>
                  <w:gridSpan w:val="2"/>
                  <w:vAlign w:val="center"/>
                </w:tcPr>
                <w:p w14:paraId="517D6035">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废水量</w:t>
                  </w:r>
                  <w:r>
                    <w:rPr>
                      <w:rFonts w:hint="eastAsia" w:ascii="Times New Roman" w:hAnsi="Times New Roman" w:eastAsia="宋体" w:cs="Times New Roman"/>
                      <w:b/>
                      <w:bCs/>
                      <w:color w:val="auto"/>
                      <w:sz w:val="18"/>
                      <w:szCs w:val="18"/>
                      <w:vertAlign w:val="baseline"/>
                      <w:lang w:val="en-US" w:eastAsia="zh-CN"/>
                    </w:rPr>
                    <w:t>（m</w:t>
                  </w:r>
                  <w:r>
                    <w:rPr>
                      <w:rFonts w:hint="eastAsia" w:ascii="Times New Roman" w:hAnsi="Times New Roman" w:eastAsia="宋体" w:cs="Times New Roman"/>
                      <w:b/>
                      <w:bCs/>
                      <w:color w:val="auto"/>
                      <w:sz w:val="18"/>
                      <w:szCs w:val="18"/>
                      <w:vertAlign w:val="superscript"/>
                      <w:lang w:val="en-US" w:eastAsia="zh-CN"/>
                    </w:rPr>
                    <w:t>3</w:t>
                  </w:r>
                  <w:r>
                    <w:rPr>
                      <w:rFonts w:hint="eastAsia" w:ascii="Times New Roman" w:hAnsi="Times New Roman" w:eastAsia="宋体" w:cs="Times New Roman"/>
                      <w:b/>
                      <w:bCs/>
                      <w:color w:val="auto"/>
                      <w:sz w:val="18"/>
                      <w:szCs w:val="18"/>
                      <w:vertAlign w:val="baseline"/>
                      <w:lang w:val="en-US" w:eastAsia="zh-CN"/>
                    </w:rPr>
                    <w:t>/a）</w:t>
                  </w:r>
                </w:p>
              </w:tc>
              <w:tc>
                <w:tcPr>
                  <w:tcW w:w="1532" w:type="dxa"/>
                  <w:vAlign w:val="center"/>
                </w:tcPr>
                <w:p w14:paraId="4C0088D1">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污染物</w:t>
                  </w:r>
                  <w:r>
                    <w:rPr>
                      <w:rFonts w:hint="eastAsia" w:cs="Times New Roman"/>
                      <w:b/>
                      <w:bCs/>
                      <w:color w:val="auto"/>
                      <w:sz w:val="18"/>
                      <w:szCs w:val="18"/>
                      <w:vertAlign w:val="baseline"/>
                      <w:lang w:val="en-US" w:eastAsia="zh-CN"/>
                    </w:rPr>
                    <w:t>名称</w:t>
                  </w:r>
                </w:p>
              </w:tc>
              <w:tc>
                <w:tcPr>
                  <w:tcW w:w="1605" w:type="dxa"/>
                  <w:vAlign w:val="center"/>
                </w:tcPr>
                <w:p w14:paraId="6EB85F95">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产生浓度（mg/L）</w:t>
                  </w:r>
                </w:p>
              </w:tc>
              <w:tc>
                <w:tcPr>
                  <w:tcW w:w="1605" w:type="dxa"/>
                  <w:vAlign w:val="center"/>
                </w:tcPr>
                <w:p w14:paraId="4CA04EA8">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产生量（</w:t>
                  </w:r>
                  <w:r>
                    <w:rPr>
                      <w:rFonts w:hint="eastAsia" w:ascii="Times New Roman" w:hAnsi="Times New Roman" w:eastAsia="宋体" w:cs="Times New Roman"/>
                      <w:b/>
                      <w:bCs/>
                      <w:color w:val="auto"/>
                      <w:sz w:val="18"/>
                      <w:szCs w:val="18"/>
                      <w:vertAlign w:val="baseline"/>
                      <w:lang w:val="en-US" w:eastAsia="zh-CN"/>
                    </w:rPr>
                    <w:t>t</w:t>
                  </w:r>
                  <w:r>
                    <w:rPr>
                      <w:rFonts w:hint="default" w:ascii="Times New Roman" w:hAnsi="Times New Roman" w:eastAsia="宋体" w:cs="Times New Roman"/>
                      <w:b/>
                      <w:bCs/>
                      <w:color w:val="auto"/>
                      <w:sz w:val="18"/>
                      <w:szCs w:val="18"/>
                      <w:vertAlign w:val="baseline"/>
                      <w:lang w:val="en-US" w:eastAsia="zh-CN"/>
                    </w:rPr>
                    <w:t>/a）</w:t>
                  </w:r>
                </w:p>
              </w:tc>
            </w:tr>
            <w:tr w14:paraId="68B1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6DEA152F">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b w:val="0"/>
                      <w:bCs w:val="0"/>
                      <w:color w:val="auto"/>
                      <w:sz w:val="18"/>
                      <w:szCs w:val="18"/>
                      <w:vertAlign w:val="baseline"/>
                      <w:lang w:val="en-US" w:eastAsia="zh-CN"/>
                    </w:rPr>
                    <w:t>生活污水、地面清洁废水</w:t>
                  </w:r>
                </w:p>
              </w:tc>
              <w:tc>
                <w:tcPr>
                  <w:tcW w:w="1676" w:type="dxa"/>
                  <w:gridSpan w:val="2"/>
                  <w:vMerge w:val="restart"/>
                  <w:vAlign w:val="center"/>
                </w:tcPr>
                <w:p w14:paraId="7C253113">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cs="Times New Roman"/>
                      <w:color w:val="auto"/>
                      <w:sz w:val="18"/>
                      <w:szCs w:val="18"/>
                      <w:vertAlign w:val="baseline"/>
                      <w:lang w:val="en-US" w:eastAsia="zh-CN"/>
                    </w:rPr>
                    <w:t>124</w:t>
                  </w:r>
                  <w:r>
                    <w:rPr>
                      <w:rFonts w:hint="eastAsia" w:ascii="Times New Roman" w:hAnsi="Times New Roman" w:eastAsia="宋体" w:cs="Times New Roman"/>
                      <w:color w:val="auto"/>
                      <w:sz w:val="18"/>
                      <w:szCs w:val="18"/>
                      <w:vertAlign w:val="baseline"/>
                      <w:lang w:val="en-US" w:eastAsia="zh-CN"/>
                    </w:rPr>
                    <w:t>.8</w:t>
                  </w:r>
                </w:p>
              </w:tc>
              <w:tc>
                <w:tcPr>
                  <w:tcW w:w="1532" w:type="dxa"/>
                  <w:vAlign w:val="center"/>
                </w:tcPr>
                <w:p w14:paraId="17CF8345">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COD</w:t>
                  </w:r>
                </w:p>
              </w:tc>
              <w:tc>
                <w:tcPr>
                  <w:tcW w:w="1605" w:type="dxa"/>
                  <w:vAlign w:val="center"/>
                </w:tcPr>
                <w:p w14:paraId="5C4A9BAA">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250</w:t>
                  </w:r>
                </w:p>
              </w:tc>
              <w:tc>
                <w:tcPr>
                  <w:tcW w:w="1605" w:type="dxa"/>
                  <w:vAlign w:val="center"/>
                </w:tcPr>
                <w:p w14:paraId="1F27C089">
                  <w:pPr>
                    <w:keepNext w:val="0"/>
                    <w:keepLines w:val="0"/>
                    <w:widowControl/>
                    <w:suppressLineNumbers w:val="0"/>
                    <w:jc w:val="center"/>
                    <w:textAlignment w:val="center"/>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0.0312</w:t>
                  </w:r>
                </w:p>
              </w:tc>
            </w:tr>
            <w:tr w14:paraId="1550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16251951">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p>
              </w:tc>
              <w:tc>
                <w:tcPr>
                  <w:tcW w:w="1676" w:type="dxa"/>
                  <w:gridSpan w:val="2"/>
                  <w:vMerge w:val="continue"/>
                </w:tcPr>
                <w:p w14:paraId="3CE538D8">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532" w:type="dxa"/>
                  <w:vAlign w:val="center"/>
                </w:tcPr>
                <w:p w14:paraId="00CF6B04">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BOD</w:t>
                  </w:r>
                  <w:r>
                    <w:rPr>
                      <w:rFonts w:hint="default" w:ascii="Times New Roman" w:hAnsi="Times New Roman" w:eastAsia="宋体" w:cs="Times New Roman"/>
                      <w:color w:val="auto"/>
                      <w:sz w:val="18"/>
                      <w:szCs w:val="18"/>
                      <w:vertAlign w:val="subscript"/>
                      <w:lang w:val="en-US" w:eastAsia="zh-CN"/>
                    </w:rPr>
                    <w:t>5</w:t>
                  </w:r>
                </w:p>
              </w:tc>
              <w:tc>
                <w:tcPr>
                  <w:tcW w:w="1605" w:type="dxa"/>
                  <w:vAlign w:val="center"/>
                </w:tcPr>
                <w:p w14:paraId="3F7BF6C4">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200</w:t>
                  </w:r>
                </w:p>
              </w:tc>
              <w:tc>
                <w:tcPr>
                  <w:tcW w:w="1605" w:type="dxa"/>
                  <w:vAlign w:val="center"/>
                </w:tcPr>
                <w:p w14:paraId="5BBCB767">
                  <w:pPr>
                    <w:keepNext w:val="0"/>
                    <w:keepLines w:val="0"/>
                    <w:widowControl/>
                    <w:suppressLineNumbers w:val="0"/>
                    <w:jc w:val="center"/>
                    <w:textAlignment w:val="center"/>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0.02496 </w:t>
                  </w:r>
                </w:p>
              </w:tc>
            </w:tr>
            <w:tr w14:paraId="0C00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06ECE888">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p>
              </w:tc>
              <w:tc>
                <w:tcPr>
                  <w:tcW w:w="1676" w:type="dxa"/>
                  <w:gridSpan w:val="2"/>
                  <w:vMerge w:val="continue"/>
                </w:tcPr>
                <w:p w14:paraId="7BA37526">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532" w:type="dxa"/>
                  <w:vAlign w:val="center"/>
                </w:tcPr>
                <w:p w14:paraId="415F6B2F">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NH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vertAlign w:val="baseline"/>
                      <w:lang w:val="en-US" w:eastAsia="zh-CN"/>
                    </w:rPr>
                    <w:t>-N</w:t>
                  </w:r>
                </w:p>
              </w:tc>
              <w:tc>
                <w:tcPr>
                  <w:tcW w:w="1605" w:type="dxa"/>
                  <w:vAlign w:val="center"/>
                </w:tcPr>
                <w:p w14:paraId="29DDFE62">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27</w:t>
                  </w:r>
                </w:p>
              </w:tc>
              <w:tc>
                <w:tcPr>
                  <w:tcW w:w="1605" w:type="dxa"/>
                  <w:vAlign w:val="center"/>
                </w:tcPr>
                <w:p w14:paraId="4A264104">
                  <w:pPr>
                    <w:keepNext w:val="0"/>
                    <w:keepLines w:val="0"/>
                    <w:widowControl/>
                    <w:suppressLineNumbers w:val="0"/>
                    <w:jc w:val="center"/>
                    <w:textAlignment w:val="center"/>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0.003</w:t>
                  </w:r>
                  <w:r>
                    <w:rPr>
                      <w:rFonts w:hint="eastAsia" w:ascii="Times New Roman" w:hAnsi="Times New Roman" w:eastAsia="宋体" w:cs="Times New Roman"/>
                      <w:i w:val="0"/>
                      <w:iCs w:val="0"/>
                      <w:color w:val="auto"/>
                      <w:kern w:val="0"/>
                      <w:sz w:val="18"/>
                      <w:szCs w:val="18"/>
                      <w:u w:val="none"/>
                      <w:lang w:val="en-US" w:eastAsia="zh-CN" w:bidi="ar"/>
                    </w:rPr>
                    <w:t>4</w:t>
                  </w:r>
                  <w:r>
                    <w:rPr>
                      <w:rFonts w:hint="default" w:ascii="Times New Roman" w:hAnsi="Times New Roman" w:eastAsia="宋体" w:cs="Times New Roman"/>
                      <w:i w:val="0"/>
                      <w:iCs w:val="0"/>
                      <w:color w:val="auto"/>
                      <w:kern w:val="0"/>
                      <w:sz w:val="18"/>
                      <w:szCs w:val="18"/>
                      <w:u w:val="none"/>
                      <w:lang w:val="en-US" w:eastAsia="zh-CN" w:bidi="ar"/>
                    </w:rPr>
                    <w:t xml:space="preserve"> </w:t>
                  </w:r>
                </w:p>
              </w:tc>
            </w:tr>
            <w:tr w14:paraId="4A24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140CD98B">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p>
              </w:tc>
              <w:tc>
                <w:tcPr>
                  <w:tcW w:w="1676" w:type="dxa"/>
                  <w:gridSpan w:val="2"/>
                  <w:vMerge w:val="continue"/>
                </w:tcPr>
                <w:p w14:paraId="3AB8DBCE">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532" w:type="dxa"/>
                  <w:vAlign w:val="center"/>
                </w:tcPr>
                <w:p w14:paraId="2F13A115">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T</w:t>
                  </w:r>
                  <w:r>
                    <w:rPr>
                      <w:rFonts w:hint="eastAsia" w:cs="Times New Roman"/>
                      <w:color w:val="auto"/>
                      <w:sz w:val="18"/>
                      <w:szCs w:val="18"/>
                      <w:vertAlign w:val="baseline"/>
                      <w:lang w:val="en-US" w:eastAsia="zh-CN"/>
                    </w:rPr>
                    <w:t>P</w:t>
                  </w:r>
                </w:p>
              </w:tc>
              <w:tc>
                <w:tcPr>
                  <w:tcW w:w="1605" w:type="dxa"/>
                  <w:vAlign w:val="center"/>
                </w:tcPr>
                <w:p w14:paraId="50C4CB89">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3.5</w:t>
                  </w:r>
                </w:p>
              </w:tc>
              <w:tc>
                <w:tcPr>
                  <w:tcW w:w="1605" w:type="dxa"/>
                  <w:vAlign w:val="center"/>
                </w:tcPr>
                <w:p w14:paraId="37E0C426">
                  <w:pPr>
                    <w:keepNext w:val="0"/>
                    <w:keepLines w:val="0"/>
                    <w:widowControl/>
                    <w:suppressLineNumbers w:val="0"/>
                    <w:jc w:val="center"/>
                    <w:textAlignment w:val="center"/>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0.0004</w:t>
                  </w:r>
                  <w:r>
                    <w:rPr>
                      <w:rFonts w:hint="eastAsia" w:ascii="Times New Roman" w:hAnsi="Times New Roman" w:eastAsia="宋体" w:cs="Times New Roman"/>
                      <w:i w:val="0"/>
                      <w:iCs w:val="0"/>
                      <w:color w:val="auto"/>
                      <w:kern w:val="0"/>
                      <w:sz w:val="18"/>
                      <w:szCs w:val="18"/>
                      <w:u w:val="none"/>
                      <w:lang w:val="en-US" w:eastAsia="zh-CN" w:bidi="ar"/>
                    </w:rPr>
                    <w:t>4</w:t>
                  </w:r>
                  <w:r>
                    <w:rPr>
                      <w:rFonts w:hint="default" w:ascii="Times New Roman" w:hAnsi="Times New Roman" w:eastAsia="宋体" w:cs="Times New Roman"/>
                      <w:i w:val="0"/>
                      <w:iCs w:val="0"/>
                      <w:color w:val="auto"/>
                      <w:kern w:val="0"/>
                      <w:sz w:val="18"/>
                      <w:szCs w:val="18"/>
                      <w:u w:val="none"/>
                      <w:lang w:val="en-US" w:eastAsia="zh-CN" w:bidi="ar"/>
                    </w:rPr>
                    <w:t xml:space="preserve"> </w:t>
                  </w:r>
                </w:p>
              </w:tc>
            </w:tr>
            <w:tr w14:paraId="4A582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0995F11A">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p>
              </w:tc>
              <w:tc>
                <w:tcPr>
                  <w:tcW w:w="1676" w:type="dxa"/>
                  <w:gridSpan w:val="2"/>
                  <w:vMerge w:val="continue"/>
                </w:tcPr>
                <w:p w14:paraId="78672B68">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532" w:type="dxa"/>
                  <w:vAlign w:val="center"/>
                </w:tcPr>
                <w:p w14:paraId="404A1EA9">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TN</w:t>
                  </w:r>
                </w:p>
              </w:tc>
              <w:tc>
                <w:tcPr>
                  <w:tcW w:w="1605" w:type="dxa"/>
                  <w:vAlign w:val="center"/>
                </w:tcPr>
                <w:p w14:paraId="3D26360C">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37</w:t>
                  </w:r>
                </w:p>
              </w:tc>
              <w:tc>
                <w:tcPr>
                  <w:tcW w:w="1605" w:type="dxa"/>
                  <w:vAlign w:val="center"/>
                </w:tcPr>
                <w:p w14:paraId="2ED15C1B">
                  <w:pPr>
                    <w:keepNext w:val="0"/>
                    <w:keepLines w:val="0"/>
                    <w:widowControl/>
                    <w:suppressLineNumbers w:val="0"/>
                    <w:jc w:val="center"/>
                    <w:textAlignment w:val="center"/>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0.0046 </w:t>
                  </w:r>
                </w:p>
              </w:tc>
            </w:tr>
            <w:tr w14:paraId="1367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2E058989">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p>
              </w:tc>
              <w:tc>
                <w:tcPr>
                  <w:tcW w:w="1676" w:type="dxa"/>
                  <w:gridSpan w:val="2"/>
                  <w:vMerge w:val="continue"/>
                </w:tcPr>
                <w:p w14:paraId="75EEB840">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532" w:type="dxa"/>
                  <w:vAlign w:val="center"/>
                </w:tcPr>
                <w:p w14:paraId="6E13972F">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SS</w:t>
                  </w:r>
                </w:p>
              </w:tc>
              <w:tc>
                <w:tcPr>
                  <w:tcW w:w="1605" w:type="dxa"/>
                  <w:vAlign w:val="center"/>
                </w:tcPr>
                <w:p w14:paraId="6F5BC5D5">
                  <w:pPr>
                    <w:pStyle w:val="38"/>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200</w:t>
                  </w:r>
                </w:p>
              </w:tc>
              <w:tc>
                <w:tcPr>
                  <w:tcW w:w="1605" w:type="dxa"/>
                  <w:vAlign w:val="center"/>
                </w:tcPr>
                <w:p w14:paraId="2D992D34">
                  <w:pPr>
                    <w:keepNext w:val="0"/>
                    <w:keepLines w:val="0"/>
                    <w:widowControl/>
                    <w:suppressLineNumbers w:val="0"/>
                    <w:jc w:val="center"/>
                    <w:textAlignment w:val="center"/>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 xml:space="preserve">0.02496 </w:t>
                  </w:r>
                </w:p>
              </w:tc>
            </w:tr>
            <w:tr w14:paraId="7BF7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restart"/>
                  <w:vAlign w:val="center"/>
                </w:tcPr>
                <w:p w14:paraId="1BDE04CA">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cs="Times New Roman"/>
                      <w:b w:val="0"/>
                      <w:bCs w:val="0"/>
                      <w:color w:val="auto"/>
                      <w:sz w:val="18"/>
                      <w:szCs w:val="18"/>
                      <w:vertAlign w:val="baseline"/>
                      <w:lang w:val="en-US" w:eastAsia="zh-CN"/>
                    </w:rPr>
                    <w:t>中和沉淀池出水（实验器皿润洗及后续清洗废水、纯水制备浓水）</w:t>
                  </w:r>
                </w:p>
              </w:tc>
              <w:tc>
                <w:tcPr>
                  <w:tcW w:w="1676" w:type="dxa"/>
                  <w:gridSpan w:val="2"/>
                  <w:vMerge w:val="restart"/>
                  <w:vAlign w:val="center"/>
                </w:tcPr>
                <w:p w14:paraId="41050626">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20.365</w:t>
                  </w:r>
                </w:p>
              </w:tc>
              <w:tc>
                <w:tcPr>
                  <w:tcW w:w="1532" w:type="dxa"/>
                  <w:vAlign w:val="center"/>
                </w:tcPr>
                <w:p w14:paraId="6F6875A5">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pH</w:t>
                  </w:r>
                </w:p>
              </w:tc>
              <w:tc>
                <w:tcPr>
                  <w:tcW w:w="1605" w:type="dxa"/>
                  <w:vAlign w:val="center"/>
                </w:tcPr>
                <w:p w14:paraId="2BE4ECD7">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vertAlign w:val="baseline"/>
                      <w:lang w:val="en-US" w:eastAsia="zh-CN"/>
                    </w:rPr>
                  </w:pPr>
                  <w:r>
                    <w:rPr>
                      <w:rFonts w:hint="eastAsia" w:cs="Times New Roman"/>
                      <w:color w:val="auto"/>
                      <w:sz w:val="18"/>
                      <w:szCs w:val="18"/>
                      <w:vertAlign w:val="baseline"/>
                      <w:lang w:val="en-US" w:eastAsia="zh-CN"/>
                    </w:rPr>
                    <w:t>7.3</w:t>
                  </w:r>
                </w:p>
              </w:tc>
              <w:tc>
                <w:tcPr>
                  <w:tcW w:w="1605" w:type="dxa"/>
                  <w:vAlign w:val="center"/>
                </w:tcPr>
                <w:p w14:paraId="4C1FA7A4">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cs="Times New Roman"/>
                      <w:i w:val="0"/>
                      <w:iCs w:val="0"/>
                      <w:color w:val="auto"/>
                      <w:kern w:val="0"/>
                      <w:sz w:val="18"/>
                      <w:szCs w:val="18"/>
                      <w:u w:val="none"/>
                      <w:lang w:val="en-US" w:eastAsia="zh-CN" w:bidi="ar"/>
                    </w:rPr>
                    <w:t>/</w:t>
                  </w:r>
                </w:p>
              </w:tc>
            </w:tr>
            <w:tr w14:paraId="020C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5463A240">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p>
              </w:tc>
              <w:tc>
                <w:tcPr>
                  <w:tcW w:w="1676" w:type="dxa"/>
                  <w:gridSpan w:val="2"/>
                  <w:vMerge w:val="continue"/>
                  <w:vAlign w:val="center"/>
                </w:tcPr>
                <w:p w14:paraId="72102520">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532" w:type="dxa"/>
                  <w:vAlign w:val="center"/>
                </w:tcPr>
                <w:p w14:paraId="0F59701C">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CODcr</w:t>
                  </w:r>
                </w:p>
              </w:tc>
              <w:tc>
                <w:tcPr>
                  <w:tcW w:w="1605" w:type="dxa"/>
                  <w:vAlign w:val="center"/>
                </w:tcPr>
                <w:p w14:paraId="04B83C65">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32</w:t>
                  </w:r>
                </w:p>
              </w:tc>
              <w:tc>
                <w:tcPr>
                  <w:tcW w:w="1605" w:type="dxa"/>
                  <w:vAlign w:val="center"/>
                </w:tcPr>
                <w:p w14:paraId="3ECD3004">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0.00065</w:t>
                  </w:r>
                </w:p>
              </w:tc>
            </w:tr>
            <w:tr w14:paraId="3E46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54B114D6">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p>
              </w:tc>
              <w:tc>
                <w:tcPr>
                  <w:tcW w:w="1676" w:type="dxa"/>
                  <w:gridSpan w:val="2"/>
                  <w:vMerge w:val="continue"/>
                </w:tcPr>
                <w:p w14:paraId="29218100">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532" w:type="dxa"/>
                  <w:vAlign w:val="center"/>
                </w:tcPr>
                <w:p w14:paraId="30A2F9D5">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BOD</w:t>
                  </w:r>
                  <w:r>
                    <w:rPr>
                      <w:rFonts w:hint="default" w:ascii="Times New Roman" w:hAnsi="Times New Roman" w:eastAsia="宋体" w:cs="Times New Roman"/>
                      <w:color w:val="auto"/>
                      <w:sz w:val="18"/>
                      <w:szCs w:val="18"/>
                      <w:vertAlign w:val="subscript"/>
                      <w:lang w:val="en-US" w:eastAsia="zh-CN"/>
                    </w:rPr>
                    <w:t>5</w:t>
                  </w:r>
                </w:p>
              </w:tc>
              <w:tc>
                <w:tcPr>
                  <w:tcW w:w="1605" w:type="dxa"/>
                  <w:vAlign w:val="center"/>
                </w:tcPr>
                <w:p w14:paraId="51C122D2">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14.5</w:t>
                  </w:r>
                </w:p>
              </w:tc>
              <w:tc>
                <w:tcPr>
                  <w:tcW w:w="1605" w:type="dxa"/>
                  <w:vAlign w:val="center"/>
                </w:tcPr>
                <w:p w14:paraId="7882C7B2">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w:t>
                  </w:r>
                  <w:r>
                    <w:rPr>
                      <w:rFonts w:hint="eastAsia" w:cs="Times New Roman"/>
                      <w:i w:val="0"/>
                      <w:iCs w:val="0"/>
                      <w:color w:val="auto"/>
                      <w:kern w:val="0"/>
                      <w:sz w:val="18"/>
                      <w:szCs w:val="18"/>
                      <w:u w:val="none"/>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 xml:space="preserve"> </w:t>
                  </w:r>
                </w:p>
              </w:tc>
            </w:tr>
            <w:tr w14:paraId="7C8C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440F3BB2">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p>
              </w:tc>
              <w:tc>
                <w:tcPr>
                  <w:tcW w:w="1676" w:type="dxa"/>
                  <w:gridSpan w:val="2"/>
                  <w:vMerge w:val="continue"/>
                </w:tcPr>
                <w:p w14:paraId="30F1BBF8">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532" w:type="dxa"/>
                  <w:vAlign w:val="center"/>
                </w:tcPr>
                <w:p w14:paraId="3FA188F9">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SS</w:t>
                  </w:r>
                </w:p>
              </w:tc>
              <w:tc>
                <w:tcPr>
                  <w:tcW w:w="1605" w:type="dxa"/>
                  <w:vAlign w:val="center"/>
                </w:tcPr>
                <w:p w14:paraId="75B6B36C">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7</w:t>
                  </w:r>
                </w:p>
              </w:tc>
              <w:tc>
                <w:tcPr>
                  <w:tcW w:w="1605" w:type="dxa"/>
                  <w:vAlign w:val="center"/>
                </w:tcPr>
                <w:p w14:paraId="6A83A178">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0.00014</w:t>
                  </w:r>
                </w:p>
              </w:tc>
            </w:tr>
            <w:tr w14:paraId="637C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0439A10B">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p>
              </w:tc>
              <w:tc>
                <w:tcPr>
                  <w:tcW w:w="1676" w:type="dxa"/>
                  <w:gridSpan w:val="2"/>
                  <w:vMerge w:val="continue"/>
                </w:tcPr>
                <w:p w14:paraId="39247C0A">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532" w:type="dxa"/>
                  <w:vAlign w:val="center"/>
                </w:tcPr>
                <w:p w14:paraId="731D5F16">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NH</w:t>
                  </w:r>
                  <w:r>
                    <w:rPr>
                      <w:rFonts w:hint="eastAsia" w:ascii="Times New Roman" w:hAnsi="Times New Roman" w:eastAsia="宋体" w:cs="Times New Roman"/>
                      <w:color w:val="auto"/>
                      <w:sz w:val="18"/>
                      <w:szCs w:val="18"/>
                      <w:vertAlign w:val="subscript"/>
                      <w:lang w:val="en-US" w:eastAsia="zh-CN"/>
                    </w:rPr>
                    <w:t>3</w:t>
                  </w:r>
                  <w:r>
                    <w:rPr>
                      <w:rFonts w:hint="eastAsia" w:ascii="Times New Roman" w:hAnsi="Times New Roman" w:eastAsia="宋体" w:cs="Times New Roman"/>
                      <w:color w:val="auto"/>
                      <w:sz w:val="18"/>
                      <w:szCs w:val="18"/>
                      <w:vertAlign w:val="baseline"/>
                      <w:lang w:val="en-US" w:eastAsia="zh-CN"/>
                    </w:rPr>
                    <w:t>-N</w:t>
                  </w:r>
                </w:p>
              </w:tc>
              <w:tc>
                <w:tcPr>
                  <w:tcW w:w="1605" w:type="dxa"/>
                  <w:vAlign w:val="center"/>
                </w:tcPr>
                <w:p w14:paraId="51DF14EC">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0.603</w:t>
                  </w:r>
                </w:p>
              </w:tc>
              <w:tc>
                <w:tcPr>
                  <w:tcW w:w="1605" w:type="dxa"/>
                  <w:vAlign w:val="center"/>
                </w:tcPr>
                <w:p w14:paraId="2B7471CC">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0.000012</w:t>
                  </w:r>
                </w:p>
              </w:tc>
            </w:tr>
            <w:tr w14:paraId="7AA2E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Merge w:val="continue"/>
                  <w:vAlign w:val="center"/>
                </w:tcPr>
                <w:p w14:paraId="1EF33F9C">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p>
              </w:tc>
              <w:tc>
                <w:tcPr>
                  <w:tcW w:w="1676" w:type="dxa"/>
                  <w:gridSpan w:val="2"/>
                  <w:vMerge w:val="continue"/>
                </w:tcPr>
                <w:p w14:paraId="3460E231">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p>
              </w:tc>
              <w:tc>
                <w:tcPr>
                  <w:tcW w:w="1532" w:type="dxa"/>
                  <w:vAlign w:val="center"/>
                </w:tcPr>
                <w:p w14:paraId="5BAD11C6">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TP</w:t>
                  </w:r>
                </w:p>
              </w:tc>
              <w:tc>
                <w:tcPr>
                  <w:tcW w:w="1605" w:type="dxa"/>
                  <w:vAlign w:val="center"/>
                </w:tcPr>
                <w:p w14:paraId="5F4CC841">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0.23</w:t>
                  </w:r>
                </w:p>
              </w:tc>
              <w:tc>
                <w:tcPr>
                  <w:tcW w:w="1605" w:type="dxa"/>
                  <w:vAlign w:val="center"/>
                </w:tcPr>
                <w:p w14:paraId="6114B62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0.00000</w:t>
                  </w:r>
                  <w:r>
                    <w:rPr>
                      <w:rFonts w:hint="eastAsia" w:cs="Times New Roman"/>
                      <w:i w:val="0"/>
                      <w:iCs w:val="0"/>
                      <w:color w:val="auto"/>
                      <w:kern w:val="0"/>
                      <w:sz w:val="18"/>
                      <w:szCs w:val="18"/>
                      <w:u w:val="none"/>
                      <w:lang w:val="en-US" w:eastAsia="zh-CN" w:bidi="ar"/>
                    </w:rPr>
                    <w:t>5</w:t>
                  </w:r>
                </w:p>
              </w:tc>
            </w:tr>
            <w:tr w14:paraId="7CFC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125EC784">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喷淋水</w:t>
                  </w:r>
                </w:p>
              </w:tc>
              <w:tc>
                <w:tcPr>
                  <w:tcW w:w="6418" w:type="dxa"/>
                  <w:gridSpan w:val="5"/>
                  <w:vAlign w:val="center"/>
                </w:tcPr>
                <w:p w14:paraId="7C33F0A7">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喷淋水循环回用，不外排，定期补充新鲜水0.6m</w:t>
                  </w:r>
                  <w:r>
                    <w:rPr>
                      <w:rFonts w:hint="eastAsia" w:ascii="Times New Roman" w:hAnsi="Times New Roman" w:eastAsia="宋体" w:cs="Times New Roman"/>
                      <w:color w:val="auto"/>
                      <w:sz w:val="18"/>
                      <w:szCs w:val="18"/>
                      <w:vertAlign w:val="superscript"/>
                      <w:lang w:val="en-US" w:eastAsia="zh-CN"/>
                    </w:rPr>
                    <w:t>3</w:t>
                  </w:r>
                  <w:r>
                    <w:rPr>
                      <w:rFonts w:hint="eastAsia" w:ascii="Times New Roman" w:hAnsi="Times New Roman" w:eastAsia="宋体" w:cs="Times New Roman"/>
                      <w:color w:val="auto"/>
                      <w:sz w:val="18"/>
                      <w:szCs w:val="18"/>
                      <w:vertAlign w:val="baseline"/>
                      <w:lang w:val="en-US" w:eastAsia="zh-CN"/>
                    </w:rPr>
                    <w:t>/d。</w:t>
                  </w:r>
                </w:p>
              </w:tc>
            </w:tr>
            <w:tr w14:paraId="2A7F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4" w:type="dxa"/>
                  <w:vAlign w:val="center"/>
                </w:tcPr>
                <w:p w14:paraId="0DBC0C26">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val="0"/>
                      <w:bCs w:val="0"/>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实</w:t>
                  </w:r>
                  <w:r>
                    <w:rPr>
                      <w:rFonts w:hint="default" w:ascii="Times New Roman" w:hAnsi="Times New Roman" w:eastAsia="宋体" w:cs="Times New Roman"/>
                      <w:color w:val="auto"/>
                      <w:sz w:val="18"/>
                      <w:szCs w:val="18"/>
                      <w:vertAlign w:val="baseline"/>
                      <w:lang w:val="en-US" w:eastAsia="zh-CN"/>
                    </w:rPr>
                    <w:t>验器皿前两道清洗废水</w:t>
                  </w:r>
                </w:p>
              </w:tc>
              <w:tc>
                <w:tcPr>
                  <w:tcW w:w="782" w:type="dxa"/>
                  <w:vAlign w:val="center"/>
                </w:tcPr>
                <w:p w14:paraId="61A5A4BC">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eastAsia" w:ascii="Times New Roman" w:hAnsi="Times New Roman" w:eastAsia="宋体" w:cs="Times New Roman"/>
                      <w:color w:val="auto"/>
                      <w:sz w:val="18"/>
                      <w:szCs w:val="18"/>
                      <w:vertAlign w:val="baseline"/>
                      <w:lang w:val="en-US" w:eastAsia="zh-CN"/>
                    </w:rPr>
                    <w:t>1.26</w:t>
                  </w:r>
                </w:p>
              </w:tc>
              <w:tc>
                <w:tcPr>
                  <w:tcW w:w="5636" w:type="dxa"/>
                  <w:gridSpan w:val="4"/>
                  <w:vAlign w:val="center"/>
                </w:tcPr>
                <w:p w14:paraId="74CB4447">
                  <w:pPr>
                    <w:keepNext w:val="0"/>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color w:val="auto"/>
                      <w:sz w:val="18"/>
                      <w:szCs w:val="18"/>
                      <w:vertAlign w:val="baseline"/>
                      <w:lang w:val="en-US" w:eastAsia="zh-CN"/>
                    </w:rPr>
                    <w:t>作为危废处置</w:t>
                  </w:r>
                </w:p>
              </w:tc>
            </w:tr>
          </w:tbl>
          <w:p w14:paraId="24E82F5B">
            <w:pPr>
              <w:bidi w:val="0"/>
              <w:rPr>
                <w:rFonts w:hint="default"/>
                <w:b/>
                <w:bCs/>
                <w:color w:val="auto"/>
                <w:lang w:val="en-US" w:eastAsia="zh-CN"/>
              </w:rPr>
            </w:pPr>
            <w:r>
              <w:rPr>
                <w:rFonts w:hint="default"/>
                <w:b/>
                <w:bCs/>
                <w:color w:val="auto"/>
                <w:lang w:val="en-US" w:eastAsia="zh-CN"/>
              </w:rPr>
              <w:t>2.2废水治理措施及可行性</w:t>
            </w:r>
            <w:r>
              <w:rPr>
                <w:rFonts w:hint="eastAsia"/>
                <w:b/>
                <w:bCs/>
                <w:color w:val="auto"/>
                <w:lang w:val="en-US" w:eastAsia="zh-CN"/>
              </w:rPr>
              <w:t>分析</w:t>
            </w:r>
          </w:p>
          <w:p w14:paraId="1A41DA48">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（1）废水排放方式</w:t>
            </w:r>
          </w:p>
          <w:p w14:paraId="26815340">
            <w:pPr>
              <w:pStyle w:val="7"/>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项目区严格实行雨污分流制。项目实验器皿第一、二道清洗废水和实验废液作为危废进行管理，</w:t>
            </w:r>
            <w:r>
              <w:rPr>
                <w:rFonts w:hint="eastAsia" w:cs="Times New Roman"/>
                <w:color w:val="auto"/>
                <w:lang w:val="en-US" w:eastAsia="zh-CN"/>
              </w:rPr>
              <w:t>收集于专用</w:t>
            </w:r>
            <w:r>
              <w:rPr>
                <w:rFonts w:hint="default" w:ascii="Times New Roman" w:hAnsi="Times New Roman" w:eastAsia="宋体" w:cs="Times New Roman"/>
                <w:color w:val="auto"/>
                <w:lang w:val="en-US" w:eastAsia="zh-CN"/>
              </w:rPr>
              <w:t>容器</w:t>
            </w:r>
            <w:r>
              <w:rPr>
                <w:rFonts w:hint="eastAsia" w:ascii="Times New Roman" w:hAnsi="Times New Roman" w:eastAsia="宋体" w:cs="Times New Roman"/>
                <w:color w:val="auto"/>
                <w:lang w:val="en-US" w:eastAsia="zh-CN"/>
              </w:rPr>
              <w:t>（废液桶）</w:t>
            </w:r>
            <w:r>
              <w:rPr>
                <w:rFonts w:hint="default" w:ascii="Times New Roman" w:hAnsi="Times New Roman" w:eastAsia="宋体" w:cs="Times New Roman"/>
                <w:color w:val="auto"/>
                <w:lang w:val="en-US" w:eastAsia="zh-CN"/>
              </w:rPr>
              <w:t>，</w:t>
            </w:r>
            <w:r>
              <w:rPr>
                <w:rFonts w:hint="eastAsia" w:cs="Times New Roman"/>
                <w:color w:val="auto"/>
                <w:lang w:val="en-US" w:eastAsia="zh-CN"/>
              </w:rPr>
              <w:t>暂存于危废暂存间内，</w:t>
            </w:r>
            <w:r>
              <w:rPr>
                <w:rFonts w:hint="default" w:ascii="Times New Roman" w:hAnsi="Times New Roman" w:eastAsia="宋体" w:cs="Times New Roman"/>
                <w:color w:val="auto"/>
                <w:lang w:val="en-US" w:eastAsia="zh-CN"/>
              </w:rPr>
              <w:t>定期委托有资质单位定期清运处置，不外排</w:t>
            </w:r>
            <w:r>
              <w:rPr>
                <w:rFonts w:hint="eastAsia" w:ascii="Times New Roman" w:hAnsi="Times New Roman" w:eastAsia="宋体" w:cs="Times New Roman"/>
                <w:color w:val="auto"/>
                <w:lang w:val="en-US" w:eastAsia="zh-CN"/>
              </w:rPr>
              <w:t>；</w:t>
            </w:r>
            <w:r>
              <w:rPr>
                <w:rFonts w:hint="eastAsia"/>
                <w:color w:val="auto"/>
                <w:lang w:val="en-US" w:eastAsia="zh-CN"/>
              </w:rPr>
              <w:t>实验室内不设卫生间，职工如厕、洗手、清洗拖把等依托牛栏江公司办公楼的卫生间。</w:t>
            </w:r>
            <w:r>
              <w:rPr>
                <w:rFonts w:hint="eastAsia" w:ascii="Times New Roman" w:hAnsi="Times New Roman" w:eastAsia="宋体" w:cs="Times New Roman"/>
                <w:color w:val="auto"/>
                <w:lang w:val="en-US" w:eastAsia="zh-CN"/>
              </w:rPr>
              <w:t>员工办公生活污水、地面清洁废水依托</w:t>
            </w:r>
            <w:r>
              <w:rPr>
                <w:rFonts w:hint="eastAsia" w:cs="Times New Roman"/>
                <w:color w:val="auto"/>
                <w:lang w:val="en-US" w:eastAsia="zh-CN"/>
              </w:rPr>
              <w:t>云南水投牛栏江滇池补水工程有限公司现有的化粪池</w:t>
            </w:r>
            <w:r>
              <w:rPr>
                <w:rFonts w:hint="eastAsia" w:ascii="Times New Roman" w:hAnsi="Times New Roman" w:eastAsia="宋体" w:cs="Times New Roman"/>
                <w:color w:val="auto"/>
                <w:lang w:val="en-US" w:eastAsia="zh-CN"/>
              </w:rPr>
              <w:t>，经化粪池处理后排入市政管网；实验器皿后续清洗废水（含润洗）及纯水制备浓水经自建的中和沉淀池处理后排入市政污水管网，最终进入昆明市第十四水质净化厂处理。</w:t>
            </w:r>
            <w:r>
              <w:rPr>
                <w:rFonts w:hint="default" w:ascii="Times New Roman" w:hAnsi="Times New Roman" w:eastAsia="宋体" w:cs="Times New Roman"/>
                <w:color w:val="auto"/>
                <w:lang w:val="en-US" w:eastAsia="zh-CN"/>
              </w:rPr>
              <w:t>本项目废水属于间接排放。</w:t>
            </w:r>
          </w:p>
          <w:p w14:paraId="0BEDD5F9">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（2）项目依托现有化粪池的可行性分析</w:t>
            </w:r>
          </w:p>
          <w:p w14:paraId="643640C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根据源强核算，进入化粪池的废水主要有员工办公生活污水0.264m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/d，地面清洁废水（主要拖把清洗废水）为0.1472m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/d，则每天进入化粪池的废水量最大为0.4112m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/d，考虑1.2的安全系数，应设置总容积不小于0.5m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的化粪池。</w:t>
            </w:r>
          </w:p>
          <w:p w14:paraId="6C6FCF8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本项目租用云南水投牛栏江滇池补水工程有限公司负2楼地下室，根据建设单位介绍，云南水投牛栏江滇池补水工程有限公司已设有化粪池，容积为20m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据现场调查及咨询，目前项目所在企业产生废水以生活污水为主，根据调查，目前该企业工作人员为119人，主要为办公人员，根据《云南省地方标准-用水定额》（DB53/T168-2019），项目属于办公写字楼供水范围其用水量为40L/（人•d）计算，则进入化粪池最大水量为3.81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/d，本项目废水量为0.4112m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/d，合计进入化粪池的废水量为4.2212m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，云南水投牛栏江滇池补水工程有限公司公共化粪池能够接纳并处理本项目产生的废水。项目废水依托现有化粪池进行处理是可行的。</w:t>
            </w:r>
          </w:p>
          <w:p w14:paraId="4FED9D9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（3）项目设置中和沉淀池的可行性分析</w:t>
            </w:r>
          </w:p>
          <w:p w14:paraId="5C51F6F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项目拟于</w:t>
            </w:r>
            <w:r>
              <w:rPr>
                <w:rFonts w:hint="eastAsia" w:ascii="Times New Roman" w:hAnsi="Times New Roman" w:eastAsia="宋体" w:cs="Times New Roman"/>
                <w:color w:val="auto"/>
                <w:lang w:val="en-US" w:eastAsia="zh-CN"/>
              </w:rPr>
              <w:t>实验室西南角处设置一个用于处理实验器皿二次以后低浓度清洗废水（不含实验器皿第一、二道清洗废水、涉及重金属及剧毒污染物检测的实验废液及清洗废水）中和沉淀池，容积约为1.5m</w:t>
            </w:r>
            <w:r>
              <w:rPr>
                <w:rFonts w:hint="eastAsia"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，池体采取防腐、防渗等措施，并于出口设置取样口，便于采样监测。本项目进入中和沉淀池的</w:t>
            </w:r>
            <w:r>
              <w:rPr>
                <w:rFonts w:hint="eastAsia" w:ascii="Times New Roman" w:hAnsi="Times New Roman" w:eastAsia="宋体" w:cs="Times New Roman"/>
                <w:color w:val="auto"/>
                <w:lang w:val="en-US" w:eastAsia="zh-CN"/>
              </w:rPr>
              <w:t>废水主要为实验器皿后续清洗废水（含润洗）及纯水制备浓水，则每天进入中和沉淀池的废</w:t>
            </w:r>
            <w:r>
              <w:rPr>
                <w:rFonts w:hint="default" w:ascii="Times New Roman" w:hAnsi="Times New Roman" w:eastAsia="宋体" w:cs="Times New Roman"/>
                <w:color w:val="auto"/>
                <w:lang w:val="en-US" w:eastAsia="zh-CN"/>
              </w:rPr>
              <w:t>水量为0.083m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w:t>
            </w:r>
            <w:r>
              <w:rPr>
                <w:rFonts w:hint="eastAsia" w:ascii="Times New Roman" w:hAnsi="Times New Roman" w:eastAsia="宋体" w:cs="Times New Roman"/>
                <w:color w:val="auto"/>
                <w:lang w:val="en-US" w:eastAsia="zh-CN"/>
              </w:rPr>
              <w:t>废</w:t>
            </w:r>
            <w:r>
              <w:rPr>
                <w:rFonts w:hint="default" w:ascii="Times New Roman" w:hAnsi="Times New Roman" w:eastAsia="宋体" w:cs="Times New Roman"/>
                <w:color w:val="auto"/>
                <w:lang w:val="en-US" w:eastAsia="zh-CN"/>
              </w:rPr>
              <w:t>水量较小，中和沉淀池容量为1.5m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，可容纳项目约</w:t>
            </w:r>
            <w:r>
              <w:rPr>
                <w:rFonts w:hint="eastAsia" w:ascii="Times New Roman" w:hAnsi="Times New Roman" w:eastAsia="宋体" w:cs="Times New Roman"/>
                <w:color w:val="auto"/>
                <w:lang w:val="en-US" w:eastAsia="zh-CN"/>
              </w:rPr>
              <w:t>18</w:t>
            </w:r>
            <w:r>
              <w:rPr>
                <w:rFonts w:hint="default" w:ascii="Times New Roman" w:hAnsi="Times New Roman" w:eastAsia="宋体" w:cs="Times New Roman"/>
                <w:color w:val="auto"/>
                <w:lang w:val="en-US" w:eastAsia="zh-CN"/>
              </w:rPr>
              <w:t>天的废水量。本方案设置的中和沉淀池共分为调节池、酸碱中和</w:t>
            </w:r>
            <w:r>
              <w:rPr>
                <w:rFonts w:hint="eastAsia" w:ascii="Times New Roman" w:hAnsi="Times New Roman" w:eastAsia="宋体" w:cs="Times New Roman"/>
                <w:color w:val="auto"/>
                <w:lang w:val="en-US" w:eastAsia="zh-CN"/>
              </w:rPr>
              <w:t>沉淀池</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消毒池</w:t>
            </w:r>
            <w:r>
              <w:rPr>
                <w:rFonts w:hint="default" w:ascii="Times New Roman" w:hAnsi="Times New Roman" w:eastAsia="宋体" w:cs="Times New Roman"/>
                <w:color w:val="auto"/>
                <w:lang w:val="en-US" w:eastAsia="zh-CN"/>
              </w:rPr>
              <w:t>三级，池体采用防腐防渗设计。</w:t>
            </w:r>
          </w:p>
          <w:p w14:paraId="4EF39E6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对于中和沉淀池收集的实验室器皿第二次以后低浓度清洗废水，建设单位应每两天对该废水进行检测，根据检测结果判定收集的实验器皿第二次以后低浓度清洗废水中主要的污染物质，再进行相应的化学沉淀法进行预处理，如：若在第一级池中检测结果显示废水呈酸性或碱性，则应进行中和处理；若检测结果显示废水中微生物菌群浓度较高，则应投加消毒剂以灭菌等措施，以保证项目预处理池出口水质能满足GB/T31962-2015《污水排入城镇下水道水质标准》表1中A等级标准限值要求。本项目涉及重金属及剧毒污染物检测的实验废液及清洗废水均全部收集作为危险废物处置，不进入实验区排水系统。</w:t>
            </w:r>
          </w:p>
          <w:p w14:paraId="7197A5A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且根据对建设单位调查核实，项目实验室制定了严格的试剂管理制度，试剂进库及取用都有相应的台账管理记录，本环评要求项目配备专人对实验器皿第一、二次清洗废液、涉及重金属及剧毒污染物检测的实验废液及清洗废水进行收集及统计，以最大程度减少实验器皿清洗废水的浓度。故结合项目实际运营过程所采取的管理制度及设置的中和沉淀预处理池，项目实验室清洗废水能做到达标排放。</w:t>
            </w:r>
          </w:p>
          <w:p w14:paraId="1F76CD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综合上述分析，项目拟设置的中和沉淀预处理池及其处理方案可行。</w:t>
            </w:r>
          </w:p>
          <w:p w14:paraId="44EA7F0E">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22" w:firstLineChars="200"/>
              <w:textAlignment w:val="auto"/>
              <w:rPr>
                <w:rFonts w:hint="eastAsia" w:cs="Times New Roman"/>
                <w:b/>
                <w:bCs/>
                <w:color w:val="auto"/>
                <w:highlight w:val="none"/>
                <w:lang w:val="en-US" w:eastAsia="zh-CN"/>
              </w:rPr>
            </w:pPr>
            <w:r>
              <w:rPr>
                <w:rFonts w:hint="eastAsia" w:cs="Times New Roman"/>
                <w:b/>
                <w:bCs/>
                <w:color w:val="auto"/>
                <w:highlight w:val="none"/>
                <w:lang w:val="en-US" w:eastAsia="zh-CN"/>
              </w:rPr>
              <w:t>达标排放可行性分析</w:t>
            </w:r>
          </w:p>
          <w:p w14:paraId="112073C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①中和沉淀池排放口</w:t>
            </w:r>
          </w:p>
          <w:p w14:paraId="103D1432">
            <w:pPr>
              <w:pStyle w:val="7"/>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lang w:val="en-US" w:eastAsia="zh-CN"/>
              </w:rPr>
              <w:t>经查阅，</w:t>
            </w:r>
            <w:r>
              <w:rPr>
                <w:rFonts w:hint="default" w:ascii="Times New Roman" w:hAnsi="Times New Roman" w:eastAsia="宋体" w:cs="Times New Roman"/>
                <w:color w:val="auto"/>
                <w:lang w:val="en-US" w:eastAsia="zh-CN"/>
              </w:rPr>
              <w:t>实验室项目无对应的排污许可核发技术指南，未规定可行技术。中和沉淀是环境实验室常用的做法，在昆明市现有的环境实验室中广泛应用。从其他环境实验室的验收检测数据来看，能够满足达标排放的要求。</w:t>
            </w:r>
          </w:p>
          <w:p w14:paraId="1020FF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含重金属等有毒有害物质的实验室器皿第一道、第二道清洗废水、实验废液作为危废处置；第二道以后器皿清洗废水大部分化学试剂已经进行收集，不含有强酸、强碱、重金属废液等大量有毒有害的物质。低浓度实验废水经收集用酸碱中和+沉淀后，pH 值达到6~9，预处理排放口不含重金属等有毒有害物质，废水水质可达到</w:t>
            </w:r>
            <w:r>
              <w:rPr>
                <w:rFonts w:hint="default" w:ascii="Times New Roman" w:hAnsi="Times New Roman" w:eastAsia="宋体" w:cs="Times New Roman"/>
                <w:color w:val="auto"/>
                <w:lang w:val="en-US" w:eastAsia="zh-CN"/>
              </w:rPr>
              <w:t>《污水排入城镇下水道水质标准》（GB/T31962-2015）表1中A等级标准</w:t>
            </w:r>
            <w:r>
              <w:rPr>
                <w:rFonts w:hint="default" w:ascii="Times New Roman" w:hAnsi="Times New Roman" w:eastAsia="宋体" w:cs="Times New Roman"/>
                <w:color w:val="auto"/>
                <w:sz w:val="21"/>
                <w:szCs w:val="21"/>
                <w:lang w:val="en-US" w:eastAsia="zh-CN"/>
              </w:rPr>
              <w:t>。根据类比</w:t>
            </w:r>
            <w:r>
              <w:rPr>
                <w:rFonts w:hint="default" w:ascii="Times New Roman" w:hAnsi="Times New Roman" w:eastAsia="宋体" w:cs="Times New Roman"/>
                <w:bCs/>
                <w:color w:val="auto"/>
                <w:kern w:val="0"/>
                <w:sz w:val="21"/>
                <w:szCs w:val="21"/>
              </w:rPr>
              <w:t>类比同类实验室项目竣工验收监测数据（云南铖悦环境科技有限公司实验室建设项目竣工环境保护验收报告表），</w:t>
            </w:r>
            <w:r>
              <w:rPr>
                <w:rFonts w:hint="default" w:ascii="Times New Roman" w:hAnsi="Times New Roman" w:eastAsia="宋体" w:cs="Times New Roman"/>
                <w:color w:val="auto"/>
                <w:sz w:val="21"/>
                <w:szCs w:val="21"/>
                <w:lang w:val="en-US" w:eastAsia="zh-CN"/>
              </w:rPr>
              <w:t>项目实验室废水经中和沉淀池预处理后出水口污染物水质可达到</w:t>
            </w:r>
            <w:r>
              <w:rPr>
                <w:rFonts w:hint="default" w:ascii="Times New Roman" w:hAnsi="Times New Roman" w:eastAsia="宋体" w:cs="Times New Roman"/>
                <w:color w:val="auto"/>
                <w:lang w:val="en-US" w:eastAsia="zh-CN"/>
              </w:rPr>
              <w:t>《污水排入城镇下水道水质标准》（GB/T31962-2015）表1中A等级标准</w:t>
            </w:r>
            <w:r>
              <w:rPr>
                <w:rFonts w:hint="default" w:ascii="Times New Roman" w:hAnsi="Times New Roman" w:eastAsia="宋体" w:cs="Times New Roman"/>
                <w:color w:val="auto"/>
                <w:sz w:val="21"/>
                <w:szCs w:val="21"/>
                <w:lang w:val="en-US" w:eastAsia="zh-CN"/>
              </w:rPr>
              <w:t>。</w:t>
            </w:r>
          </w:p>
          <w:p w14:paraId="301B1D5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②化粪池处理后总排口</w:t>
            </w:r>
          </w:p>
          <w:p w14:paraId="7338706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参照《化粪池原理及水污染物去除率》且结合实际运行经验系数，化粪池对 CODcr 的去除率可以达到15%，BOD</w:t>
            </w:r>
            <w:r>
              <w:rPr>
                <w:rFonts w:hint="default" w:ascii="Times New Roman" w:hAnsi="Times New Roman" w:eastAsia="宋体" w:cs="Times New Roman"/>
                <w:color w:val="auto"/>
                <w:vertAlign w:val="subscript"/>
                <w:lang w:val="en-US" w:eastAsia="zh-CN"/>
              </w:rPr>
              <w:t>5</w:t>
            </w:r>
            <w:r>
              <w:rPr>
                <w:rFonts w:hint="default" w:ascii="Times New Roman" w:hAnsi="Times New Roman" w:eastAsia="宋体" w:cs="Times New Roman"/>
                <w:color w:val="auto"/>
                <w:lang w:val="en-US" w:eastAsia="zh-CN"/>
              </w:rPr>
              <w:t>去除率可达到9%，SS 去除率可达30%，NH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lang w:val="en-US" w:eastAsia="zh-CN"/>
              </w:rPr>
              <w:t>-N去除率可达3%。</w:t>
            </w:r>
          </w:p>
          <w:p w14:paraId="167AD0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cs="Times New Roman"/>
                <w:color w:val="auto"/>
                <w:lang w:val="en-US" w:eastAsia="zh-CN"/>
              </w:rPr>
            </w:pPr>
            <w:r>
              <w:rPr>
                <w:rFonts w:hint="eastAsia" w:cs="Times New Roman"/>
                <w:color w:val="auto"/>
                <w:lang w:val="en-US" w:eastAsia="zh-CN"/>
              </w:rPr>
              <w:t>本项目废水达标排放分析见下表。</w:t>
            </w:r>
          </w:p>
          <w:p w14:paraId="3704F886">
            <w:pPr>
              <w:keepNext w:val="0"/>
              <w:keepLines w:val="0"/>
              <w:pageBreakBefore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表4-12  项目废水污染物产排情况一览表</w:t>
            </w:r>
          </w:p>
          <w:tbl>
            <w:tblPr>
              <w:tblStyle w:val="20"/>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7"/>
              <w:gridCol w:w="1821"/>
              <w:gridCol w:w="852"/>
              <w:gridCol w:w="907"/>
              <w:gridCol w:w="801"/>
              <w:gridCol w:w="818"/>
              <w:gridCol w:w="767"/>
              <w:gridCol w:w="815"/>
            </w:tblGrid>
            <w:tr w14:paraId="7C4B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noWrap w:val="0"/>
                  <w:vAlign w:val="center"/>
                </w:tcPr>
                <w:p w14:paraId="2E93A2AD">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类型</w:t>
                  </w:r>
                </w:p>
              </w:tc>
              <w:tc>
                <w:tcPr>
                  <w:tcW w:w="1121" w:type="pct"/>
                  <w:noWrap w:val="0"/>
                  <w:vAlign w:val="center"/>
                </w:tcPr>
                <w:p w14:paraId="38068D0B">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w:t>
                  </w:r>
                </w:p>
              </w:tc>
              <w:tc>
                <w:tcPr>
                  <w:tcW w:w="524" w:type="pct"/>
                  <w:noWrap w:val="0"/>
                  <w:vAlign w:val="center"/>
                </w:tcPr>
                <w:p w14:paraId="31A074FB">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CODcr</w:t>
                  </w:r>
                </w:p>
              </w:tc>
              <w:tc>
                <w:tcPr>
                  <w:tcW w:w="558" w:type="pct"/>
                  <w:noWrap w:val="0"/>
                  <w:vAlign w:val="center"/>
                </w:tcPr>
                <w:p w14:paraId="4ABFDE65">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BOD</w:t>
                  </w:r>
                  <w:r>
                    <w:rPr>
                      <w:rFonts w:hint="default" w:ascii="Times New Roman" w:hAnsi="Times New Roman" w:eastAsia="宋体" w:cs="Times New Roman"/>
                      <w:b/>
                      <w:bCs/>
                      <w:color w:val="auto"/>
                      <w:sz w:val="18"/>
                      <w:szCs w:val="18"/>
                      <w:vertAlign w:val="subscript"/>
                    </w:rPr>
                    <w:t>5</w:t>
                  </w:r>
                </w:p>
              </w:tc>
              <w:tc>
                <w:tcPr>
                  <w:tcW w:w="493" w:type="pct"/>
                  <w:noWrap w:val="0"/>
                  <w:vAlign w:val="center"/>
                </w:tcPr>
                <w:p w14:paraId="3E7C45B5">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氨氮</w:t>
                  </w:r>
                </w:p>
              </w:tc>
              <w:tc>
                <w:tcPr>
                  <w:tcW w:w="503" w:type="pct"/>
                  <w:noWrap w:val="0"/>
                  <w:vAlign w:val="center"/>
                </w:tcPr>
                <w:p w14:paraId="19DFA21E">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TP</w:t>
                  </w:r>
                </w:p>
              </w:tc>
              <w:tc>
                <w:tcPr>
                  <w:tcW w:w="472" w:type="pct"/>
                  <w:noWrap w:val="0"/>
                  <w:vAlign w:val="center"/>
                </w:tcPr>
                <w:p w14:paraId="48761071">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TN</w:t>
                  </w:r>
                </w:p>
              </w:tc>
              <w:tc>
                <w:tcPr>
                  <w:tcW w:w="501" w:type="pct"/>
                  <w:noWrap w:val="0"/>
                  <w:vAlign w:val="center"/>
                </w:tcPr>
                <w:p w14:paraId="7C3AB588">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SS</w:t>
                  </w:r>
                </w:p>
              </w:tc>
            </w:tr>
            <w:tr w14:paraId="2989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restart"/>
                  <w:noWrap w:val="0"/>
                  <w:vAlign w:val="center"/>
                </w:tcPr>
                <w:p w14:paraId="0BDFA44D">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vertAlign w:val="baseline"/>
                      <w:lang w:val="en-US" w:eastAsia="zh-CN"/>
                    </w:rPr>
                    <w:t>生活污水、地面清洁废水</w:t>
                  </w:r>
                  <w:r>
                    <w:rPr>
                      <w:rFonts w:hint="default" w:ascii="Times New Roman" w:hAnsi="Times New Roman" w:eastAsia="宋体" w:cs="Times New Roman"/>
                      <w:color w:val="auto"/>
                      <w:sz w:val="18"/>
                      <w:szCs w:val="18"/>
                    </w:rPr>
                    <w:t>（</w:t>
                  </w:r>
                  <w:r>
                    <w:rPr>
                      <w:rFonts w:hint="eastAsia" w:cs="Times New Roman"/>
                      <w:color w:val="auto"/>
                      <w:sz w:val="18"/>
                      <w:szCs w:val="18"/>
                      <w:vertAlign w:val="baseline"/>
                      <w:lang w:val="en-US" w:eastAsia="zh-CN"/>
                    </w:rPr>
                    <w:t>124</w:t>
                  </w:r>
                  <w:r>
                    <w:rPr>
                      <w:rFonts w:hint="default" w:ascii="Times New Roman" w:hAnsi="Times New Roman" w:eastAsia="宋体" w:cs="Times New Roman"/>
                      <w:color w:val="auto"/>
                      <w:sz w:val="18"/>
                      <w:szCs w:val="18"/>
                      <w:vertAlign w:val="baseline"/>
                      <w:lang w:val="en-US" w:eastAsia="zh-CN"/>
                    </w:rPr>
                    <w:t>.8</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/a）</w:t>
                  </w:r>
                </w:p>
              </w:tc>
              <w:tc>
                <w:tcPr>
                  <w:tcW w:w="1121" w:type="pct"/>
                  <w:noWrap w:val="0"/>
                  <w:vAlign w:val="center"/>
                </w:tcPr>
                <w:p w14:paraId="00A245ED">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污染物产生浓度（mg/L）</w:t>
                  </w:r>
                </w:p>
              </w:tc>
              <w:tc>
                <w:tcPr>
                  <w:tcW w:w="524" w:type="pct"/>
                  <w:noWrap w:val="0"/>
                  <w:vAlign w:val="center"/>
                </w:tcPr>
                <w:p w14:paraId="791F7EDB">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250</w:t>
                  </w:r>
                </w:p>
              </w:tc>
              <w:tc>
                <w:tcPr>
                  <w:tcW w:w="558" w:type="pct"/>
                  <w:noWrap w:val="0"/>
                  <w:vAlign w:val="center"/>
                </w:tcPr>
                <w:p w14:paraId="21BB0071">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200</w:t>
                  </w:r>
                </w:p>
              </w:tc>
              <w:tc>
                <w:tcPr>
                  <w:tcW w:w="493" w:type="pct"/>
                  <w:noWrap w:val="0"/>
                  <w:vAlign w:val="center"/>
                </w:tcPr>
                <w:p w14:paraId="2F85B74E">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27</w:t>
                  </w:r>
                </w:p>
              </w:tc>
              <w:tc>
                <w:tcPr>
                  <w:tcW w:w="503" w:type="pct"/>
                  <w:noWrap w:val="0"/>
                  <w:vAlign w:val="center"/>
                </w:tcPr>
                <w:p w14:paraId="7664D8BD">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3.5</w:t>
                  </w:r>
                </w:p>
              </w:tc>
              <w:tc>
                <w:tcPr>
                  <w:tcW w:w="472" w:type="pct"/>
                  <w:noWrap w:val="0"/>
                  <w:vAlign w:val="center"/>
                </w:tcPr>
                <w:p w14:paraId="4EC7FB9E">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37</w:t>
                  </w:r>
                </w:p>
              </w:tc>
              <w:tc>
                <w:tcPr>
                  <w:tcW w:w="501" w:type="pct"/>
                  <w:noWrap w:val="0"/>
                  <w:vAlign w:val="center"/>
                </w:tcPr>
                <w:p w14:paraId="23071F13">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200</w:t>
                  </w:r>
                </w:p>
              </w:tc>
            </w:tr>
            <w:tr w14:paraId="15508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continue"/>
                  <w:noWrap w:val="0"/>
                  <w:vAlign w:val="center"/>
                </w:tcPr>
                <w:p w14:paraId="69C5AECE">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p>
              </w:tc>
              <w:tc>
                <w:tcPr>
                  <w:tcW w:w="1121" w:type="pct"/>
                  <w:noWrap w:val="0"/>
                  <w:vAlign w:val="center"/>
                </w:tcPr>
                <w:p w14:paraId="11DEAF9F">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污染物产生量（t/a）</w:t>
                  </w:r>
                </w:p>
              </w:tc>
              <w:tc>
                <w:tcPr>
                  <w:tcW w:w="524" w:type="pct"/>
                  <w:noWrap w:val="0"/>
                  <w:vAlign w:val="center"/>
                </w:tcPr>
                <w:p w14:paraId="1C4C7499">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0.0312</w:t>
                  </w:r>
                </w:p>
              </w:tc>
              <w:tc>
                <w:tcPr>
                  <w:tcW w:w="558" w:type="pct"/>
                  <w:shd w:val="clear" w:color="auto" w:fill="auto"/>
                  <w:noWrap w:val="0"/>
                  <w:vAlign w:val="center"/>
                </w:tcPr>
                <w:p w14:paraId="338E153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0.02496</w:t>
                  </w:r>
                </w:p>
              </w:tc>
              <w:tc>
                <w:tcPr>
                  <w:tcW w:w="493" w:type="pct"/>
                  <w:shd w:val="clear" w:color="auto" w:fill="auto"/>
                  <w:noWrap w:val="0"/>
                  <w:vAlign w:val="center"/>
                </w:tcPr>
                <w:p w14:paraId="01315DF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0.0034</w:t>
                  </w:r>
                </w:p>
              </w:tc>
              <w:tc>
                <w:tcPr>
                  <w:tcW w:w="503" w:type="pct"/>
                  <w:shd w:val="clear" w:color="auto" w:fill="auto"/>
                  <w:noWrap w:val="0"/>
                  <w:vAlign w:val="center"/>
                </w:tcPr>
                <w:p w14:paraId="46EB2B0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0.00044</w:t>
                  </w:r>
                </w:p>
              </w:tc>
              <w:tc>
                <w:tcPr>
                  <w:tcW w:w="472" w:type="pct"/>
                  <w:shd w:val="clear" w:color="auto" w:fill="auto"/>
                  <w:noWrap w:val="0"/>
                  <w:vAlign w:val="center"/>
                </w:tcPr>
                <w:p w14:paraId="6BE1D9F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0.0046</w:t>
                  </w:r>
                </w:p>
              </w:tc>
              <w:tc>
                <w:tcPr>
                  <w:tcW w:w="501" w:type="pct"/>
                  <w:shd w:val="clear" w:color="auto" w:fill="auto"/>
                  <w:noWrap w:val="0"/>
                  <w:vAlign w:val="center"/>
                </w:tcPr>
                <w:p w14:paraId="72A27307">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0.02496</w:t>
                  </w:r>
                </w:p>
              </w:tc>
            </w:tr>
            <w:tr w14:paraId="341AC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continue"/>
                  <w:noWrap w:val="0"/>
                  <w:vAlign w:val="center"/>
                </w:tcPr>
                <w:p w14:paraId="64D4E68A">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p>
              </w:tc>
              <w:tc>
                <w:tcPr>
                  <w:tcW w:w="1121" w:type="pct"/>
                  <w:noWrap w:val="0"/>
                  <w:vAlign w:val="center"/>
                </w:tcPr>
                <w:p w14:paraId="2DF8DD8E">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化粪池处理效率</w:t>
                  </w:r>
                </w:p>
              </w:tc>
              <w:tc>
                <w:tcPr>
                  <w:tcW w:w="524" w:type="pct"/>
                  <w:noWrap w:val="0"/>
                  <w:vAlign w:val="center"/>
                </w:tcPr>
                <w:p w14:paraId="11838EA1">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15%</w:t>
                  </w:r>
                </w:p>
              </w:tc>
              <w:tc>
                <w:tcPr>
                  <w:tcW w:w="558" w:type="pct"/>
                  <w:noWrap w:val="0"/>
                  <w:vAlign w:val="center"/>
                </w:tcPr>
                <w:p w14:paraId="76A93B54">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9%</w:t>
                  </w:r>
                </w:p>
              </w:tc>
              <w:tc>
                <w:tcPr>
                  <w:tcW w:w="493" w:type="pct"/>
                  <w:noWrap w:val="0"/>
                  <w:vAlign w:val="center"/>
                </w:tcPr>
                <w:p w14:paraId="4049CCA6">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503" w:type="pct"/>
                  <w:noWrap w:val="0"/>
                  <w:vAlign w:val="center"/>
                </w:tcPr>
                <w:p w14:paraId="332F847D">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w:t>
                  </w:r>
                </w:p>
              </w:tc>
              <w:tc>
                <w:tcPr>
                  <w:tcW w:w="472" w:type="pct"/>
                  <w:noWrap w:val="0"/>
                  <w:vAlign w:val="center"/>
                </w:tcPr>
                <w:p w14:paraId="60C63213">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501" w:type="pct"/>
                  <w:noWrap w:val="0"/>
                  <w:vAlign w:val="center"/>
                </w:tcPr>
                <w:p w14:paraId="732EF5FA">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30</w:t>
                  </w:r>
                  <w:r>
                    <w:rPr>
                      <w:rFonts w:hint="default" w:ascii="Times New Roman" w:hAnsi="Times New Roman" w:eastAsia="宋体" w:cs="Times New Roman"/>
                      <w:color w:val="auto"/>
                      <w:sz w:val="18"/>
                      <w:szCs w:val="18"/>
                    </w:rPr>
                    <w:t>%</w:t>
                  </w:r>
                </w:p>
              </w:tc>
            </w:tr>
            <w:tr w14:paraId="541B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continue"/>
                  <w:noWrap w:val="0"/>
                  <w:vAlign w:val="center"/>
                </w:tcPr>
                <w:p w14:paraId="11653907">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p>
              </w:tc>
              <w:tc>
                <w:tcPr>
                  <w:tcW w:w="1121" w:type="pct"/>
                  <w:noWrap w:val="0"/>
                  <w:vAlign w:val="center"/>
                </w:tcPr>
                <w:p w14:paraId="062ACEF6">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污染物排放量（t/a）</w:t>
                  </w:r>
                </w:p>
              </w:tc>
              <w:tc>
                <w:tcPr>
                  <w:tcW w:w="852" w:type="dxa"/>
                  <w:noWrap w:val="0"/>
                  <w:vAlign w:val="center"/>
                </w:tcPr>
                <w:p w14:paraId="601212CE">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0.02652</w:t>
                  </w:r>
                </w:p>
              </w:tc>
              <w:tc>
                <w:tcPr>
                  <w:tcW w:w="907" w:type="dxa"/>
                  <w:noWrap w:val="0"/>
                  <w:vAlign w:val="center"/>
                </w:tcPr>
                <w:p w14:paraId="1E8C40B5">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0.0227</w:t>
                  </w:r>
                </w:p>
              </w:tc>
              <w:tc>
                <w:tcPr>
                  <w:tcW w:w="801" w:type="dxa"/>
                  <w:noWrap w:val="0"/>
                  <w:vAlign w:val="center"/>
                </w:tcPr>
                <w:p w14:paraId="1732EAE8">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0.003</w:t>
                  </w:r>
                  <w:r>
                    <w:rPr>
                      <w:rFonts w:hint="eastAsia" w:ascii="Times New Roman" w:hAnsi="Times New Roman" w:eastAsia="宋体" w:cs="Times New Roman"/>
                      <w:i w:val="0"/>
                      <w:iCs w:val="0"/>
                      <w:color w:val="auto"/>
                      <w:kern w:val="0"/>
                      <w:sz w:val="18"/>
                      <w:szCs w:val="18"/>
                      <w:u w:val="none"/>
                      <w:lang w:val="en-US" w:eastAsia="zh-CN" w:bidi="ar"/>
                    </w:rPr>
                    <w:t>3</w:t>
                  </w:r>
                </w:p>
              </w:tc>
              <w:tc>
                <w:tcPr>
                  <w:tcW w:w="818" w:type="dxa"/>
                  <w:noWrap w:val="0"/>
                  <w:vAlign w:val="center"/>
                </w:tcPr>
                <w:p w14:paraId="51348F81">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0.0004</w:t>
                  </w:r>
                  <w:r>
                    <w:rPr>
                      <w:rFonts w:hint="eastAsia" w:ascii="Times New Roman" w:hAnsi="Times New Roman" w:eastAsia="宋体" w:cs="Times New Roman"/>
                      <w:i w:val="0"/>
                      <w:iCs w:val="0"/>
                      <w:color w:val="auto"/>
                      <w:kern w:val="0"/>
                      <w:sz w:val="18"/>
                      <w:szCs w:val="18"/>
                      <w:u w:val="none"/>
                      <w:lang w:val="en-US" w:eastAsia="zh-CN" w:bidi="ar"/>
                    </w:rPr>
                    <w:t>4</w:t>
                  </w:r>
                </w:p>
              </w:tc>
              <w:tc>
                <w:tcPr>
                  <w:tcW w:w="767" w:type="dxa"/>
                  <w:noWrap w:val="0"/>
                  <w:vAlign w:val="center"/>
                </w:tcPr>
                <w:p w14:paraId="0768B967">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0.0046</w:t>
                  </w:r>
                </w:p>
              </w:tc>
              <w:tc>
                <w:tcPr>
                  <w:tcW w:w="815" w:type="dxa"/>
                  <w:noWrap w:val="0"/>
                  <w:vAlign w:val="center"/>
                </w:tcPr>
                <w:p w14:paraId="45ACD649">
                  <w:pPr>
                    <w:keepNext w:val="0"/>
                    <w:keepLines w:val="0"/>
                    <w:widowControl/>
                    <w:suppressLineNumbers w:val="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auto"/>
                      <w:kern w:val="0"/>
                      <w:sz w:val="18"/>
                      <w:szCs w:val="18"/>
                      <w:u w:val="none"/>
                      <w:lang w:val="en-US" w:eastAsia="zh-CN" w:bidi="ar"/>
                    </w:rPr>
                    <w:t>0.017</w:t>
                  </w:r>
                  <w:r>
                    <w:rPr>
                      <w:rFonts w:hint="eastAsia" w:ascii="Times New Roman" w:hAnsi="Times New Roman" w:eastAsia="宋体" w:cs="Times New Roman"/>
                      <w:i w:val="0"/>
                      <w:iCs w:val="0"/>
                      <w:color w:val="auto"/>
                      <w:kern w:val="0"/>
                      <w:sz w:val="18"/>
                      <w:szCs w:val="18"/>
                      <w:u w:val="none"/>
                      <w:lang w:val="en-US" w:eastAsia="zh-CN" w:bidi="ar"/>
                    </w:rPr>
                    <w:t>5</w:t>
                  </w:r>
                </w:p>
              </w:tc>
            </w:tr>
            <w:tr w14:paraId="7B73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continue"/>
                  <w:noWrap w:val="0"/>
                  <w:vAlign w:val="center"/>
                </w:tcPr>
                <w:p w14:paraId="39A730D5">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p>
              </w:tc>
              <w:tc>
                <w:tcPr>
                  <w:tcW w:w="1121" w:type="pct"/>
                  <w:noWrap w:val="0"/>
                  <w:vAlign w:val="center"/>
                </w:tcPr>
                <w:p w14:paraId="53A0DAD2">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污染物排放浓度（mg/L）</w:t>
                  </w:r>
                </w:p>
              </w:tc>
              <w:tc>
                <w:tcPr>
                  <w:tcW w:w="524" w:type="pct"/>
                  <w:noWrap w:val="0"/>
                  <w:vAlign w:val="center"/>
                </w:tcPr>
                <w:p w14:paraId="6B92E234">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212.5</w:t>
                  </w:r>
                </w:p>
              </w:tc>
              <w:tc>
                <w:tcPr>
                  <w:tcW w:w="558" w:type="pct"/>
                  <w:noWrap w:val="0"/>
                  <w:vAlign w:val="center"/>
                </w:tcPr>
                <w:p w14:paraId="196734E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182</w:t>
                  </w:r>
                </w:p>
              </w:tc>
              <w:tc>
                <w:tcPr>
                  <w:tcW w:w="493" w:type="pct"/>
                  <w:noWrap w:val="0"/>
                  <w:vAlign w:val="center"/>
                </w:tcPr>
                <w:p w14:paraId="3363282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26.19</w:t>
                  </w:r>
                </w:p>
              </w:tc>
              <w:tc>
                <w:tcPr>
                  <w:tcW w:w="503" w:type="pct"/>
                  <w:noWrap w:val="0"/>
                  <w:vAlign w:val="center"/>
                </w:tcPr>
                <w:p w14:paraId="7877146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3.5</w:t>
                  </w:r>
                </w:p>
              </w:tc>
              <w:tc>
                <w:tcPr>
                  <w:tcW w:w="472" w:type="pct"/>
                  <w:noWrap w:val="0"/>
                  <w:vAlign w:val="center"/>
                </w:tcPr>
                <w:p w14:paraId="7B0F70B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lang w:val="en-US"/>
                    </w:rPr>
                  </w:pPr>
                  <w:r>
                    <w:rPr>
                      <w:rFonts w:hint="default" w:ascii="Times New Roman" w:hAnsi="Times New Roman" w:eastAsia="宋体" w:cs="Times New Roman"/>
                      <w:i w:val="0"/>
                      <w:iCs w:val="0"/>
                      <w:color w:val="auto"/>
                      <w:kern w:val="0"/>
                      <w:sz w:val="18"/>
                      <w:szCs w:val="18"/>
                      <w:u w:val="none"/>
                      <w:lang w:val="en-US" w:eastAsia="zh-CN" w:bidi="ar"/>
                    </w:rPr>
                    <w:t>37</w:t>
                  </w:r>
                </w:p>
              </w:tc>
              <w:tc>
                <w:tcPr>
                  <w:tcW w:w="501" w:type="pct"/>
                  <w:noWrap w:val="0"/>
                  <w:vAlign w:val="center"/>
                </w:tcPr>
                <w:p w14:paraId="481C49D3">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140</w:t>
                  </w:r>
                </w:p>
              </w:tc>
            </w:tr>
            <w:tr w14:paraId="5BC85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continue"/>
                  <w:noWrap w:val="0"/>
                  <w:vAlign w:val="center"/>
                </w:tcPr>
                <w:p w14:paraId="4179D5C1">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p>
              </w:tc>
              <w:tc>
                <w:tcPr>
                  <w:tcW w:w="1121" w:type="pct"/>
                  <w:noWrap w:val="0"/>
                  <w:vAlign w:val="center"/>
                </w:tcPr>
                <w:p w14:paraId="09F4ECB2">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标准浓度（mg/L）</w:t>
                  </w:r>
                </w:p>
              </w:tc>
              <w:tc>
                <w:tcPr>
                  <w:tcW w:w="524" w:type="pct"/>
                  <w:noWrap w:val="0"/>
                  <w:vAlign w:val="center"/>
                </w:tcPr>
                <w:p w14:paraId="03B1487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558" w:type="pct"/>
                  <w:noWrap w:val="0"/>
                  <w:vAlign w:val="center"/>
                </w:tcPr>
                <w:p w14:paraId="02DAAFE7">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350</w:t>
                  </w:r>
                </w:p>
              </w:tc>
              <w:tc>
                <w:tcPr>
                  <w:tcW w:w="493" w:type="pct"/>
                  <w:noWrap w:val="0"/>
                  <w:vAlign w:val="center"/>
                </w:tcPr>
                <w:p w14:paraId="7C9DC75C">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45</w:t>
                  </w:r>
                </w:p>
              </w:tc>
              <w:tc>
                <w:tcPr>
                  <w:tcW w:w="503" w:type="pct"/>
                  <w:noWrap w:val="0"/>
                  <w:vAlign w:val="center"/>
                </w:tcPr>
                <w:p w14:paraId="2C89F60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w:t>
                  </w:r>
                </w:p>
              </w:tc>
              <w:tc>
                <w:tcPr>
                  <w:tcW w:w="472" w:type="pct"/>
                  <w:noWrap w:val="0"/>
                  <w:vAlign w:val="center"/>
                </w:tcPr>
                <w:p w14:paraId="78CB0A8F">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70</w:t>
                  </w:r>
                </w:p>
              </w:tc>
              <w:tc>
                <w:tcPr>
                  <w:tcW w:w="501" w:type="pct"/>
                  <w:noWrap w:val="0"/>
                  <w:vAlign w:val="center"/>
                </w:tcPr>
                <w:p w14:paraId="3295049F">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400</w:t>
                  </w:r>
                </w:p>
              </w:tc>
            </w:tr>
            <w:tr w14:paraId="0FE8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continue"/>
                  <w:noWrap w:val="0"/>
                  <w:vAlign w:val="center"/>
                </w:tcPr>
                <w:p w14:paraId="440EC8E7">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p>
              </w:tc>
              <w:tc>
                <w:tcPr>
                  <w:tcW w:w="1121" w:type="pct"/>
                  <w:noWrap w:val="0"/>
                  <w:vAlign w:val="center"/>
                </w:tcPr>
                <w:p w14:paraId="0690DA3F">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达标情况</w:t>
                  </w:r>
                </w:p>
              </w:tc>
              <w:tc>
                <w:tcPr>
                  <w:tcW w:w="524" w:type="pct"/>
                  <w:noWrap w:val="0"/>
                  <w:vAlign w:val="center"/>
                </w:tcPr>
                <w:p w14:paraId="4B9A8202">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558" w:type="pct"/>
                  <w:noWrap w:val="0"/>
                  <w:vAlign w:val="center"/>
                </w:tcPr>
                <w:p w14:paraId="0A3B99AF">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493" w:type="pct"/>
                  <w:noWrap w:val="0"/>
                  <w:vAlign w:val="center"/>
                </w:tcPr>
                <w:p w14:paraId="6FF43A3E">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503" w:type="pct"/>
                  <w:noWrap w:val="0"/>
                  <w:vAlign w:val="center"/>
                </w:tcPr>
                <w:p w14:paraId="2E97613A">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472" w:type="pct"/>
                  <w:noWrap w:val="0"/>
                  <w:vAlign w:val="center"/>
                </w:tcPr>
                <w:p w14:paraId="0AC7EB87">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501" w:type="pct"/>
                  <w:noWrap w:val="0"/>
                  <w:vAlign w:val="center"/>
                </w:tcPr>
                <w:p w14:paraId="76F9B064">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r w14:paraId="61FC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noWrap w:val="0"/>
                  <w:vAlign w:val="center"/>
                </w:tcPr>
                <w:p w14:paraId="705D5383">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类型</w:t>
                  </w:r>
                </w:p>
              </w:tc>
              <w:tc>
                <w:tcPr>
                  <w:tcW w:w="1121" w:type="pct"/>
                  <w:noWrap w:val="0"/>
                  <w:vAlign w:val="center"/>
                </w:tcPr>
                <w:p w14:paraId="0BEFF58D">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项目</w:t>
                  </w:r>
                </w:p>
              </w:tc>
              <w:tc>
                <w:tcPr>
                  <w:tcW w:w="524" w:type="pct"/>
                  <w:noWrap w:val="0"/>
                  <w:vAlign w:val="center"/>
                </w:tcPr>
                <w:p w14:paraId="13CDFB9B">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CODcr</w:t>
                  </w:r>
                </w:p>
              </w:tc>
              <w:tc>
                <w:tcPr>
                  <w:tcW w:w="558" w:type="pct"/>
                  <w:noWrap w:val="0"/>
                  <w:vAlign w:val="center"/>
                </w:tcPr>
                <w:p w14:paraId="2344DC0B">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BOD</w:t>
                  </w:r>
                  <w:r>
                    <w:rPr>
                      <w:rFonts w:hint="default" w:ascii="Times New Roman" w:hAnsi="Times New Roman" w:eastAsia="宋体" w:cs="Times New Roman"/>
                      <w:b/>
                      <w:bCs/>
                      <w:color w:val="auto"/>
                      <w:sz w:val="18"/>
                      <w:szCs w:val="18"/>
                      <w:vertAlign w:val="subscript"/>
                    </w:rPr>
                    <w:t>5</w:t>
                  </w:r>
                </w:p>
              </w:tc>
              <w:tc>
                <w:tcPr>
                  <w:tcW w:w="493" w:type="pct"/>
                  <w:noWrap w:val="0"/>
                  <w:vAlign w:val="center"/>
                </w:tcPr>
                <w:p w14:paraId="6E125EA5">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氨氮</w:t>
                  </w:r>
                </w:p>
              </w:tc>
              <w:tc>
                <w:tcPr>
                  <w:tcW w:w="503" w:type="pct"/>
                  <w:noWrap w:val="0"/>
                  <w:vAlign w:val="center"/>
                </w:tcPr>
                <w:p w14:paraId="4E28BA64">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lang w:val="en-US" w:eastAsia="zh-CN"/>
                    </w:rPr>
                    <w:t>TP</w:t>
                  </w:r>
                </w:p>
              </w:tc>
              <w:tc>
                <w:tcPr>
                  <w:tcW w:w="472" w:type="pct"/>
                  <w:noWrap w:val="0"/>
                  <w:vAlign w:val="center"/>
                </w:tcPr>
                <w:p w14:paraId="20AD38D9">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lang w:val="en-US"/>
                    </w:rPr>
                  </w:pPr>
                  <w:r>
                    <w:rPr>
                      <w:rFonts w:hint="eastAsia" w:cs="Times New Roman"/>
                      <w:b/>
                      <w:bCs/>
                      <w:color w:val="auto"/>
                      <w:sz w:val="18"/>
                      <w:szCs w:val="18"/>
                      <w:lang w:val="en-US" w:eastAsia="zh-CN"/>
                    </w:rPr>
                    <w:t>SS</w:t>
                  </w:r>
                </w:p>
              </w:tc>
              <w:tc>
                <w:tcPr>
                  <w:tcW w:w="501" w:type="pct"/>
                  <w:noWrap w:val="0"/>
                  <w:vAlign w:val="center"/>
                </w:tcPr>
                <w:p w14:paraId="41DCB0CD">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b/>
                      <w:bCs/>
                      <w:color w:val="auto"/>
                      <w:sz w:val="18"/>
                      <w:szCs w:val="18"/>
                      <w:lang w:val="en-US" w:eastAsia="zh-CN"/>
                    </w:rPr>
                  </w:pPr>
                  <w:r>
                    <w:rPr>
                      <w:rFonts w:hint="eastAsia" w:ascii="Times New Roman" w:hAnsi="Times New Roman" w:eastAsia="宋体" w:cs="Times New Roman"/>
                      <w:b/>
                      <w:bCs/>
                      <w:color w:val="auto"/>
                      <w:sz w:val="18"/>
                      <w:szCs w:val="18"/>
                      <w:lang w:val="en-US" w:eastAsia="zh-CN"/>
                    </w:rPr>
                    <w:t>PH</w:t>
                  </w:r>
                </w:p>
              </w:tc>
            </w:tr>
            <w:tr w14:paraId="23A8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restart"/>
                  <w:noWrap w:val="0"/>
                  <w:vAlign w:val="center"/>
                </w:tcPr>
                <w:p w14:paraId="2EDB15DD">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rPr>
                  </w:pPr>
                  <w:r>
                    <w:rPr>
                      <w:rFonts w:hint="eastAsia" w:cs="Times New Roman"/>
                      <w:b w:val="0"/>
                      <w:bCs w:val="0"/>
                      <w:color w:val="auto"/>
                      <w:sz w:val="18"/>
                      <w:szCs w:val="18"/>
                      <w:vertAlign w:val="baseline"/>
                      <w:lang w:val="en-US" w:eastAsia="zh-CN"/>
                    </w:rPr>
                    <w:t>中和沉淀池出水（实验器皿润洗及后续清洗废水、纯水制备浓水）20.365</w:t>
                  </w:r>
                  <w:r>
                    <w:rPr>
                      <w:rFonts w:hint="default" w:ascii="Times New Roman" w:hAnsi="Times New Roman" w:eastAsia="宋体" w:cs="Times New Roman"/>
                      <w:color w:val="auto"/>
                      <w:sz w:val="18"/>
                      <w:szCs w:val="18"/>
                    </w:rPr>
                    <w:t>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/a</w:t>
                  </w:r>
                </w:p>
              </w:tc>
              <w:tc>
                <w:tcPr>
                  <w:tcW w:w="1121" w:type="pct"/>
                  <w:noWrap w:val="0"/>
                  <w:vAlign w:val="center"/>
                </w:tcPr>
                <w:p w14:paraId="005CEEDB">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污染物排放量（t/a）</w:t>
                  </w:r>
                </w:p>
              </w:tc>
              <w:tc>
                <w:tcPr>
                  <w:tcW w:w="524" w:type="pct"/>
                  <w:noWrap w:val="0"/>
                  <w:vAlign w:val="center"/>
                </w:tcPr>
                <w:p w14:paraId="293822AD">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0.00065</w:t>
                  </w:r>
                </w:p>
              </w:tc>
              <w:tc>
                <w:tcPr>
                  <w:tcW w:w="558" w:type="pct"/>
                  <w:noWrap w:val="0"/>
                  <w:vAlign w:val="center"/>
                </w:tcPr>
                <w:p w14:paraId="28CC577B">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0.000</w:t>
                  </w:r>
                  <w:r>
                    <w:rPr>
                      <w:rFonts w:hint="eastAsia" w:cs="Times New Roman"/>
                      <w:i w:val="0"/>
                      <w:iCs w:val="0"/>
                      <w:color w:val="auto"/>
                      <w:kern w:val="0"/>
                      <w:sz w:val="18"/>
                      <w:szCs w:val="18"/>
                      <w:u w:val="none"/>
                      <w:lang w:val="en-US" w:eastAsia="zh-CN" w:bidi="ar"/>
                    </w:rPr>
                    <w:t>3</w:t>
                  </w:r>
                </w:p>
              </w:tc>
              <w:tc>
                <w:tcPr>
                  <w:tcW w:w="493" w:type="pct"/>
                  <w:noWrap w:val="0"/>
                  <w:vAlign w:val="center"/>
                </w:tcPr>
                <w:p w14:paraId="7215A947">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0.000012</w:t>
                  </w:r>
                </w:p>
              </w:tc>
              <w:tc>
                <w:tcPr>
                  <w:tcW w:w="503" w:type="pct"/>
                  <w:noWrap w:val="0"/>
                  <w:vAlign w:val="center"/>
                </w:tcPr>
                <w:p w14:paraId="49DB4405">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0.00000</w:t>
                  </w:r>
                  <w:r>
                    <w:rPr>
                      <w:rFonts w:hint="eastAsia" w:cs="Times New Roman"/>
                      <w:i w:val="0"/>
                      <w:iCs w:val="0"/>
                      <w:color w:val="auto"/>
                      <w:kern w:val="0"/>
                      <w:sz w:val="18"/>
                      <w:szCs w:val="18"/>
                      <w:u w:val="none"/>
                      <w:lang w:val="en-US" w:eastAsia="zh-CN" w:bidi="ar"/>
                    </w:rPr>
                    <w:t>5</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472" w:type="pct"/>
                  <w:noWrap w:val="0"/>
                  <w:vAlign w:val="center"/>
                </w:tcPr>
                <w:p w14:paraId="547591BF">
                  <w:pPr>
                    <w:keepNext w:val="0"/>
                    <w:keepLines w:val="0"/>
                    <w:widowControl/>
                    <w:suppressLineNumbers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0.00014</w:t>
                  </w:r>
                  <w:r>
                    <w:rPr>
                      <w:rFonts w:hint="eastAsia" w:cs="Times New Roman"/>
                      <w:i w:val="0"/>
                      <w:iCs w:val="0"/>
                      <w:color w:val="auto"/>
                      <w:kern w:val="0"/>
                      <w:sz w:val="18"/>
                      <w:szCs w:val="18"/>
                      <w:u w:val="none"/>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 xml:space="preserve"> </w:t>
                  </w:r>
                </w:p>
              </w:tc>
              <w:tc>
                <w:tcPr>
                  <w:tcW w:w="501" w:type="pct"/>
                  <w:noWrap w:val="0"/>
                  <w:vAlign w:val="center"/>
                </w:tcPr>
                <w:p w14:paraId="7FF79672">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w:t>
                  </w:r>
                </w:p>
              </w:tc>
            </w:tr>
            <w:tr w14:paraId="3DB3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continue"/>
                  <w:noWrap w:val="0"/>
                  <w:vAlign w:val="center"/>
                </w:tcPr>
                <w:p w14:paraId="785D8833">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p>
              </w:tc>
              <w:tc>
                <w:tcPr>
                  <w:tcW w:w="1121" w:type="pct"/>
                  <w:noWrap w:val="0"/>
                  <w:vAlign w:val="center"/>
                </w:tcPr>
                <w:p w14:paraId="3D46CCE8">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污染物排放浓度（mg/L）</w:t>
                  </w:r>
                </w:p>
              </w:tc>
              <w:tc>
                <w:tcPr>
                  <w:tcW w:w="524" w:type="pct"/>
                  <w:noWrap w:val="0"/>
                  <w:vAlign w:val="center"/>
                </w:tcPr>
                <w:p w14:paraId="0B859409">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32</w:t>
                  </w:r>
                </w:p>
              </w:tc>
              <w:tc>
                <w:tcPr>
                  <w:tcW w:w="558" w:type="pct"/>
                  <w:noWrap w:val="0"/>
                  <w:vAlign w:val="center"/>
                </w:tcPr>
                <w:p w14:paraId="0E772B2C">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14.5</w:t>
                  </w:r>
                </w:p>
              </w:tc>
              <w:tc>
                <w:tcPr>
                  <w:tcW w:w="493" w:type="pct"/>
                  <w:noWrap w:val="0"/>
                  <w:vAlign w:val="center"/>
                </w:tcPr>
                <w:p w14:paraId="50D2F170">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0.603</w:t>
                  </w:r>
                </w:p>
              </w:tc>
              <w:tc>
                <w:tcPr>
                  <w:tcW w:w="503" w:type="pct"/>
                  <w:noWrap w:val="0"/>
                  <w:vAlign w:val="center"/>
                </w:tcPr>
                <w:p w14:paraId="7F33BD29">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0.23</w:t>
                  </w:r>
                </w:p>
              </w:tc>
              <w:tc>
                <w:tcPr>
                  <w:tcW w:w="472" w:type="pct"/>
                  <w:noWrap w:val="0"/>
                  <w:vAlign w:val="center"/>
                </w:tcPr>
                <w:p w14:paraId="4A09FF08">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w:t>
                  </w:r>
                </w:p>
              </w:tc>
              <w:tc>
                <w:tcPr>
                  <w:tcW w:w="501" w:type="pct"/>
                  <w:noWrap w:val="0"/>
                  <w:vAlign w:val="center"/>
                </w:tcPr>
                <w:p w14:paraId="2A728210">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7.3</w:t>
                  </w:r>
                </w:p>
              </w:tc>
            </w:tr>
            <w:tr w14:paraId="7B4B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continue"/>
                  <w:noWrap w:val="0"/>
                  <w:vAlign w:val="center"/>
                </w:tcPr>
                <w:p w14:paraId="3F9419AA">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p>
              </w:tc>
              <w:tc>
                <w:tcPr>
                  <w:tcW w:w="1121" w:type="pct"/>
                  <w:noWrap w:val="0"/>
                  <w:vAlign w:val="center"/>
                </w:tcPr>
                <w:p w14:paraId="7CC29258">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标准浓度（mg/L）</w:t>
                  </w:r>
                </w:p>
              </w:tc>
              <w:tc>
                <w:tcPr>
                  <w:tcW w:w="524" w:type="pct"/>
                  <w:noWrap w:val="0"/>
                  <w:vAlign w:val="center"/>
                </w:tcPr>
                <w:p w14:paraId="569F5A99">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500</w:t>
                  </w:r>
                </w:p>
              </w:tc>
              <w:tc>
                <w:tcPr>
                  <w:tcW w:w="558" w:type="pct"/>
                  <w:noWrap w:val="0"/>
                  <w:vAlign w:val="center"/>
                </w:tcPr>
                <w:p w14:paraId="1F888A4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350</w:t>
                  </w:r>
                </w:p>
              </w:tc>
              <w:tc>
                <w:tcPr>
                  <w:tcW w:w="493" w:type="pct"/>
                  <w:noWrap w:val="0"/>
                  <w:vAlign w:val="center"/>
                </w:tcPr>
                <w:p w14:paraId="6241A134">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45</w:t>
                  </w:r>
                </w:p>
              </w:tc>
              <w:tc>
                <w:tcPr>
                  <w:tcW w:w="503" w:type="pct"/>
                  <w:noWrap w:val="0"/>
                  <w:vAlign w:val="center"/>
                </w:tcPr>
                <w:p w14:paraId="352798D1">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i w:val="0"/>
                      <w:iCs w:val="0"/>
                      <w:color w:val="auto"/>
                      <w:kern w:val="0"/>
                      <w:sz w:val="18"/>
                      <w:szCs w:val="18"/>
                      <w:u w:val="none"/>
                      <w:lang w:val="en-US" w:eastAsia="zh-CN" w:bidi="ar"/>
                    </w:rPr>
                    <w:t>8</w:t>
                  </w:r>
                </w:p>
              </w:tc>
              <w:tc>
                <w:tcPr>
                  <w:tcW w:w="472" w:type="pct"/>
                  <w:noWrap w:val="0"/>
                  <w:vAlign w:val="center"/>
                </w:tcPr>
                <w:p w14:paraId="6AFF105F">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400</w:t>
                  </w:r>
                </w:p>
              </w:tc>
              <w:tc>
                <w:tcPr>
                  <w:tcW w:w="501" w:type="pct"/>
                  <w:noWrap w:val="0"/>
                  <w:vAlign w:val="center"/>
                </w:tcPr>
                <w:p w14:paraId="2D607ACC">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b w:val="0"/>
                      <w:bCs/>
                      <w:color w:val="auto"/>
                      <w:sz w:val="18"/>
                      <w:szCs w:val="18"/>
                      <w:highlight w:val="none"/>
                      <w:lang w:val="en-US" w:eastAsia="zh-CN"/>
                    </w:rPr>
                    <w:t>6.5~9.5</w:t>
                  </w:r>
                </w:p>
              </w:tc>
            </w:tr>
            <w:tr w14:paraId="72A4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23" w:type="pct"/>
                  <w:vMerge w:val="continue"/>
                  <w:noWrap w:val="0"/>
                  <w:vAlign w:val="center"/>
                </w:tcPr>
                <w:p w14:paraId="4FC21398">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p>
              </w:tc>
              <w:tc>
                <w:tcPr>
                  <w:tcW w:w="1121" w:type="pct"/>
                  <w:noWrap w:val="0"/>
                  <w:vAlign w:val="center"/>
                </w:tcPr>
                <w:p w14:paraId="47B216C7">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达标情况</w:t>
                  </w:r>
                </w:p>
              </w:tc>
              <w:tc>
                <w:tcPr>
                  <w:tcW w:w="524" w:type="pct"/>
                  <w:noWrap w:val="0"/>
                  <w:vAlign w:val="center"/>
                </w:tcPr>
                <w:p w14:paraId="70C2574E">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558" w:type="pct"/>
                  <w:noWrap w:val="0"/>
                  <w:vAlign w:val="center"/>
                </w:tcPr>
                <w:p w14:paraId="5369ABF4">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493" w:type="pct"/>
                  <w:noWrap w:val="0"/>
                  <w:vAlign w:val="center"/>
                </w:tcPr>
                <w:p w14:paraId="24E99F1E">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503" w:type="pct"/>
                  <w:noWrap w:val="0"/>
                  <w:vAlign w:val="center"/>
                </w:tcPr>
                <w:p w14:paraId="2418DAAC">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472" w:type="pct"/>
                  <w:noWrap w:val="0"/>
                  <w:vAlign w:val="center"/>
                </w:tcPr>
                <w:p w14:paraId="1A8CF973">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c>
                <w:tcPr>
                  <w:tcW w:w="501" w:type="pct"/>
                  <w:noWrap w:val="0"/>
                  <w:vAlign w:val="center"/>
                </w:tcPr>
                <w:p w14:paraId="07C0D95C">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达标</w:t>
                  </w:r>
                </w:p>
              </w:tc>
            </w:tr>
          </w:tbl>
          <w:p w14:paraId="2B9C2E01">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（5）污水进入昆明市第</w:t>
            </w:r>
            <w:r>
              <w:rPr>
                <w:rFonts w:hint="eastAsia" w:cs="Times New Roman"/>
                <w:b/>
                <w:bCs/>
                <w:color w:val="auto"/>
                <w:lang w:val="en-US" w:eastAsia="zh-CN"/>
              </w:rPr>
              <w:t>十四</w:t>
            </w:r>
            <w:r>
              <w:rPr>
                <w:rFonts w:hint="default" w:ascii="Times New Roman" w:hAnsi="Times New Roman" w:eastAsia="宋体" w:cs="Times New Roman"/>
                <w:b/>
                <w:bCs/>
                <w:color w:val="auto"/>
                <w:lang w:val="en-US" w:eastAsia="zh-CN"/>
              </w:rPr>
              <w:t>水质净化厂的可行性分析</w:t>
            </w:r>
          </w:p>
          <w:p w14:paraId="095705B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昆明市第十四水质净化厂建设工程一期位于昆明市盘龙区龙泉街道办事处，厂区选址于盘龙区政府西北侧，盘龙江东侧、宝云路南侧、沣源路北侧，直接服务区域为主城北片区沣源路以北区域，服务面积23.3km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，服务人口22万人。一期水质净化厂处理规模为深度处理10万m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/d加一级强化处理40万m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/d，污水深度处理工艺采用“预处理+改良 SBR 工艺+反硝化生物滤池+气浮池+炭砂滤池+紫外消毒深度处理工艺”对污水进行深度处理。一级强化采用“预处理+絮凝沉淀工艺”。深度处理排水执行《城镇污水处理厂主要水污染物排放限值》（DB5301/T43-2020）A级标准，一级强化排水执行《城镇污水处理厂主要水污染物排放限值》（DB5301/T43-2020）E级排放标准。</w:t>
            </w:r>
          </w:p>
          <w:p w14:paraId="1CB291C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现场踏勘，项目附近有完善的市政污水管网，本项目属于昆明市第十四水质净化厂的服务范围内，项目周边道路的市政管网与污水厂配套的污水收集管网相接。项目产生的员工办公生活污水、地面清洁废水依托</w:t>
            </w:r>
            <w:r>
              <w:rPr>
                <w:rFonts w:hint="eastAsia" w:ascii="Times New Roman" w:hAnsi="Times New Roman" w:eastAsia="宋体" w:cs="Times New Roman"/>
                <w:color w:val="auto"/>
                <w:lang w:val="en-US" w:eastAsia="zh-CN"/>
              </w:rPr>
              <w:t>云南水投牛栏江滇池补水工程有限公司现有的化粪池</w:t>
            </w:r>
            <w:r>
              <w:rPr>
                <w:rFonts w:hint="default" w:ascii="Times New Roman" w:hAnsi="Times New Roman" w:eastAsia="宋体" w:cs="Times New Roman"/>
                <w:color w:val="auto"/>
                <w:lang w:val="en-US" w:eastAsia="zh-CN"/>
              </w:rPr>
              <w:t>，经化粪池处理后排入市政管网；实验器皿后续清洗废水（含润洗）及纯水制备浓水经自建的中和沉淀池处理后排入市政污水管网，最终进入昆明市第十四水质净化厂进行集中处理。目前，昆明市第十四水质净化厂运营正常，因此，项目废水进入昆明市第十四水质净化厂是可行和可靠的。</w:t>
            </w:r>
          </w:p>
          <w:p w14:paraId="0BC7302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2.3水污染源监测计划</w:t>
            </w:r>
          </w:p>
          <w:p w14:paraId="30678C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根据《排污单位自行监测技术指南 总则》(HJ819-2017)的要求对项目各类污染治理设施的运转情况进行定期检查，监测可委托有资质的单位实施。监测方法按环境监测技术规范进行，监测统计报表根据国家和省、市生态环境部门有关规定进行。</w:t>
            </w:r>
          </w:p>
          <w:p w14:paraId="37874B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lang w:val="en-US" w:eastAsia="zh-CN"/>
              </w:rPr>
              <w:t>表4-13  项目水污染源监测计划一览表</w:t>
            </w:r>
          </w:p>
          <w:tbl>
            <w:tblPr>
              <w:tblStyle w:val="21"/>
              <w:tblW w:w="8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671"/>
              <w:gridCol w:w="2198"/>
              <w:gridCol w:w="1023"/>
              <w:gridCol w:w="2144"/>
            </w:tblGrid>
            <w:tr w14:paraId="5DEE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Align w:val="center"/>
                </w:tcPr>
                <w:p w14:paraId="0BE3A1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项目</w:t>
                  </w:r>
                </w:p>
              </w:tc>
              <w:tc>
                <w:tcPr>
                  <w:tcW w:w="1671" w:type="dxa"/>
                  <w:vAlign w:val="center"/>
                </w:tcPr>
                <w:p w14:paraId="0F82B1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监测点位</w:t>
                  </w:r>
                </w:p>
              </w:tc>
              <w:tc>
                <w:tcPr>
                  <w:tcW w:w="2198" w:type="dxa"/>
                  <w:vAlign w:val="center"/>
                </w:tcPr>
                <w:p w14:paraId="05FECA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检测指标</w:t>
                  </w:r>
                </w:p>
              </w:tc>
              <w:tc>
                <w:tcPr>
                  <w:tcW w:w="1023" w:type="dxa"/>
                  <w:vAlign w:val="center"/>
                </w:tcPr>
                <w:p w14:paraId="58122B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监测频率</w:t>
                  </w:r>
                </w:p>
              </w:tc>
              <w:tc>
                <w:tcPr>
                  <w:tcW w:w="2144" w:type="dxa"/>
                  <w:vAlign w:val="center"/>
                </w:tcPr>
                <w:p w14:paraId="0FC3993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vertAlign w:val="baseline"/>
                      <w:lang w:val="en-US" w:eastAsia="zh-CN"/>
                    </w:rPr>
                  </w:pPr>
                  <w:r>
                    <w:rPr>
                      <w:rFonts w:hint="default" w:ascii="Times New Roman" w:hAnsi="Times New Roman" w:eastAsia="宋体" w:cs="Times New Roman"/>
                      <w:b/>
                      <w:bCs/>
                      <w:color w:val="auto"/>
                      <w:sz w:val="18"/>
                      <w:szCs w:val="18"/>
                      <w:vertAlign w:val="baseline"/>
                      <w:lang w:val="en-US" w:eastAsia="zh-CN"/>
                    </w:rPr>
                    <w:t>执行标准</w:t>
                  </w:r>
                </w:p>
              </w:tc>
            </w:tr>
            <w:tr w14:paraId="1245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6" w:type="dxa"/>
                  <w:vAlign w:val="center"/>
                </w:tcPr>
                <w:p w14:paraId="66C19059">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废水</w:t>
                  </w:r>
                </w:p>
              </w:tc>
              <w:tc>
                <w:tcPr>
                  <w:tcW w:w="1671" w:type="dxa"/>
                  <w:vAlign w:val="center"/>
                </w:tcPr>
                <w:p w14:paraId="0A0B18F1">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中和沉淀池出口</w:t>
                  </w:r>
                  <w:r>
                    <w:rPr>
                      <w:rFonts w:hint="eastAsia" w:cs="Times New Roman"/>
                      <w:color w:val="auto"/>
                      <w:sz w:val="18"/>
                      <w:szCs w:val="18"/>
                      <w:lang w:val="en-US" w:eastAsia="zh-CN"/>
                    </w:rPr>
                    <w:t>（DW001）</w:t>
                  </w:r>
                </w:p>
              </w:tc>
              <w:tc>
                <w:tcPr>
                  <w:tcW w:w="2198" w:type="dxa"/>
                  <w:vAlign w:val="center"/>
                </w:tcPr>
                <w:p w14:paraId="4BB40083">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PH、CODcr、BOD</w:t>
                  </w:r>
                  <w:r>
                    <w:rPr>
                      <w:rFonts w:hint="default" w:ascii="Times New Roman" w:hAnsi="Times New Roman" w:eastAsia="宋体" w:cs="Times New Roman"/>
                      <w:color w:val="auto"/>
                      <w:sz w:val="18"/>
                      <w:szCs w:val="18"/>
                      <w:vertAlign w:val="subscript"/>
                      <w:lang w:val="en-US" w:eastAsia="zh-CN"/>
                    </w:rPr>
                    <w:t>5</w:t>
                  </w:r>
                  <w:r>
                    <w:rPr>
                      <w:rFonts w:hint="default" w:ascii="Times New Roman" w:hAnsi="Times New Roman" w:eastAsia="宋体" w:cs="Times New Roman"/>
                      <w:color w:val="auto"/>
                      <w:sz w:val="18"/>
                      <w:szCs w:val="18"/>
                      <w:lang w:val="en-US" w:eastAsia="zh-CN"/>
                    </w:rPr>
                    <w:t>、NH</w:t>
                  </w:r>
                  <w:r>
                    <w:rPr>
                      <w:rFonts w:hint="default" w:ascii="Times New Roman" w:hAnsi="Times New Roman" w:eastAsia="宋体" w:cs="Times New Roman"/>
                      <w:color w:val="auto"/>
                      <w:sz w:val="18"/>
                      <w:szCs w:val="18"/>
                      <w:vertAlign w:val="subscript"/>
                      <w:lang w:val="en-US" w:eastAsia="zh-CN"/>
                    </w:rPr>
                    <w:t>3</w:t>
                  </w:r>
                  <w:r>
                    <w:rPr>
                      <w:rFonts w:hint="default" w:ascii="Times New Roman" w:hAnsi="Times New Roman" w:eastAsia="宋体" w:cs="Times New Roman"/>
                      <w:color w:val="auto"/>
                      <w:sz w:val="18"/>
                      <w:szCs w:val="18"/>
                      <w:lang w:val="en-US" w:eastAsia="zh-CN"/>
                    </w:rPr>
                    <w:t>-N、TP、SS</w:t>
                  </w:r>
                </w:p>
              </w:tc>
              <w:tc>
                <w:tcPr>
                  <w:tcW w:w="1023" w:type="dxa"/>
                  <w:vAlign w:val="center"/>
                </w:tcPr>
                <w:p w14:paraId="69BCA661">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1次/年</w:t>
                  </w:r>
                </w:p>
              </w:tc>
              <w:tc>
                <w:tcPr>
                  <w:tcW w:w="2144" w:type="dxa"/>
                  <w:vAlign w:val="center"/>
                </w:tcPr>
                <w:p w14:paraId="730BA514">
                  <w:pPr>
                    <w:pStyle w:val="19"/>
                    <w:keepNext w:val="0"/>
                    <w:keepLines w:val="0"/>
                    <w:pageBreakBefore w:val="0"/>
                    <w:kinsoku/>
                    <w:wordWrap/>
                    <w:overflowPunct/>
                    <w:topLinePunct w:val="0"/>
                    <w:autoSpaceDE/>
                    <w:autoSpaceDN/>
                    <w:bidi w:val="0"/>
                    <w:adjustRightInd w:val="0"/>
                    <w:snapToGrid w:val="0"/>
                    <w:spacing w:after="0" w:line="360" w:lineRule="exact"/>
                    <w:ind w:left="0" w:leftChars="0" w:firstLine="0" w:firstLineChars="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《污水排入城镇下水道水质标准》（GB/T31962-2015）表1中A等级标准</w:t>
                  </w:r>
                </w:p>
              </w:tc>
            </w:tr>
          </w:tbl>
          <w:p w14:paraId="7819C591">
            <w:pPr>
              <w:pStyle w:val="19"/>
              <w:keepNext w:val="0"/>
              <w:keepLines w:val="0"/>
              <w:pageBreakBefore w:val="0"/>
              <w:kinsoku/>
              <w:wordWrap/>
              <w:overflowPunct/>
              <w:topLinePunct w:val="0"/>
              <w:autoSpaceDE/>
              <w:autoSpaceDN/>
              <w:bidi w:val="0"/>
              <w:adjustRightInd w:val="0"/>
              <w:snapToGrid w:val="0"/>
              <w:spacing w:after="0" w:line="360" w:lineRule="auto"/>
              <w:ind w:left="0" w:leftChars="0" w:firstLine="0" w:firstLineChars="0"/>
              <w:jc w:val="left"/>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2.4</w:t>
            </w:r>
            <w:r>
              <w:rPr>
                <w:rFonts w:hint="default" w:ascii="Times New Roman" w:hAnsi="Times New Roman" w:eastAsia="宋体" w:cs="Times New Roman"/>
                <w:b/>
                <w:bCs/>
                <w:color w:val="auto"/>
                <w:sz w:val="21"/>
                <w:szCs w:val="21"/>
              </w:rPr>
              <w:t>结论</w:t>
            </w:r>
          </w:p>
          <w:p w14:paraId="3158633B">
            <w:pPr>
              <w:pStyle w:val="19"/>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lang w:val="en-US" w:eastAsia="zh-CN"/>
              </w:rPr>
              <w:t>项目区严格实行雨污分流制。项目实验器皿第一、二道清洗废水和实验废液作为危废进行管理，</w:t>
            </w:r>
            <w:r>
              <w:rPr>
                <w:rFonts w:hint="eastAsia" w:cs="Times New Roman"/>
                <w:color w:val="auto"/>
                <w:lang w:val="en-US" w:eastAsia="zh-CN"/>
              </w:rPr>
              <w:t>收集于专用</w:t>
            </w:r>
            <w:r>
              <w:rPr>
                <w:rFonts w:hint="default" w:ascii="Times New Roman" w:hAnsi="Times New Roman" w:eastAsia="宋体" w:cs="Times New Roman"/>
                <w:color w:val="auto"/>
                <w:lang w:val="en-US" w:eastAsia="zh-CN"/>
              </w:rPr>
              <w:t>容器</w:t>
            </w:r>
            <w:r>
              <w:rPr>
                <w:rFonts w:hint="eastAsia" w:ascii="Times New Roman" w:hAnsi="Times New Roman" w:eastAsia="宋体" w:cs="Times New Roman"/>
                <w:color w:val="auto"/>
                <w:lang w:val="en-US" w:eastAsia="zh-CN"/>
              </w:rPr>
              <w:t>（废液桶）</w:t>
            </w:r>
            <w:r>
              <w:rPr>
                <w:rFonts w:hint="default" w:ascii="Times New Roman" w:hAnsi="Times New Roman" w:eastAsia="宋体" w:cs="Times New Roman"/>
                <w:color w:val="auto"/>
                <w:lang w:val="en-US" w:eastAsia="zh-CN"/>
              </w:rPr>
              <w:t>，</w:t>
            </w:r>
            <w:r>
              <w:rPr>
                <w:rFonts w:hint="eastAsia" w:cs="Times New Roman"/>
                <w:color w:val="auto"/>
                <w:lang w:val="en-US" w:eastAsia="zh-CN"/>
              </w:rPr>
              <w:t>暂存于危废暂存间内，</w:t>
            </w:r>
            <w:r>
              <w:rPr>
                <w:rFonts w:hint="default" w:ascii="Times New Roman" w:hAnsi="Times New Roman" w:eastAsia="宋体" w:cs="Times New Roman"/>
                <w:color w:val="auto"/>
                <w:lang w:val="en-US" w:eastAsia="zh-CN"/>
              </w:rPr>
              <w:t>定期委托有资质单位定期清运处置，不外排</w:t>
            </w:r>
            <w:r>
              <w:rPr>
                <w:rFonts w:hint="eastAsia" w:ascii="Times New Roman" w:hAnsi="Times New Roman" w:eastAsia="宋体" w:cs="Times New Roman"/>
                <w:color w:val="auto"/>
                <w:lang w:val="en-US" w:eastAsia="zh-CN"/>
              </w:rPr>
              <w:t>；员工办公生活污水、地面清洁废水依托</w:t>
            </w:r>
            <w:r>
              <w:rPr>
                <w:rFonts w:hint="eastAsia" w:cs="Times New Roman"/>
                <w:color w:val="auto"/>
                <w:lang w:val="en-US" w:eastAsia="zh-CN"/>
              </w:rPr>
              <w:t>云南水投牛栏江滇池补水工程有限公司现有的化粪池</w:t>
            </w:r>
            <w:r>
              <w:rPr>
                <w:rFonts w:hint="eastAsia" w:ascii="Times New Roman" w:hAnsi="Times New Roman" w:eastAsia="宋体" w:cs="Times New Roman"/>
                <w:color w:val="auto"/>
                <w:lang w:val="en-US" w:eastAsia="zh-CN"/>
              </w:rPr>
              <w:t>，经化粪池处理后排入市政管网；实验器皿后续清洗废水（含润洗）及纯水制备浓水经自建的中和沉淀池处理</w:t>
            </w:r>
            <w:r>
              <w:rPr>
                <w:rFonts w:hint="default" w:ascii="Times New Roman" w:hAnsi="Times New Roman" w:eastAsia="宋体" w:cs="Times New Roman"/>
                <w:color w:val="auto"/>
                <w:sz w:val="21"/>
                <w:szCs w:val="21"/>
              </w:rPr>
              <w:t>达《污水排入城镇下水道水质标准》（GB/T31962-2015）表1中A等级标准要求后排入</w:t>
            </w:r>
            <w:r>
              <w:rPr>
                <w:rFonts w:hint="eastAsia" w:cs="Times New Roman"/>
                <w:color w:val="auto"/>
                <w:sz w:val="21"/>
                <w:szCs w:val="21"/>
                <w:lang w:val="en-US" w:eastAsia="zh-CN"/>
              </w:rPr>
              <w:t>周边</w:t>
            </w:r>
            <w:r>
              <w:rPr>
                <w:rFonts w:hint="default" w:ascii="Times New Roman" w:hAnsi="Times New Roman" w:eastAsia="宋体" w:cs="Times New Roman"/>
                <w:color w:val="auto"/>
                <w:sz w:val="21"/>
                <w:szCs w:val="21"/>
              </w:rPr>
              <w:t>市政污水管网</w:t>
            </w:r>
            <w:r>
              <w:rPr>
                <w:rFonts w:hint="eastAsia" w:ascii="Times New Roman" w:hAnsi="Times New Roman" w:eastAsia="宋体" w:cs="Times New Roman"/>
                <w:color w:val="auto"/>
                <w:lang w:val="en-US" w:eastAsia="zh-CN"/>
              </w:rPr>
              <w:t>，最终进入昆明市第十四水质净化厂处理</w:t>
            </w:r>
            <w:r>
              <w:rPr>
                <w:rFonts w:hint="default" w:ascii="Times New Roman" w:hAnsi="Times New Roman" w:eastAsia="宋体" w:cs="Times New Roman"/>
                <w:color w:val="auto"/>
                <w:sz w:val="21"/>
                <w:szCs w:val="21"/>
              </w:rPr>
              <w:t>。对周围的地表水环境影响较小。</w:t>
            </w:r>
          </w:p>
          <w:p w14:paraId="0883510B">
            <w:pPr>
              <w:bidi w:val="0"/>
              <w:spacing w:line="36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3噪声</w:t>
            </w:r>
          </w:p>
          <w:p w14:paraId="3F24A9C0">
            <w:pPr>
              <w:bidi w:val="0"/>
              <w:spacing w:line="36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3.1噪声源强分析</w:t>
            </w:r>
          </w:p>
          <w:p w14:paraId="7767AA72">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本项目属于非工业类项目，声环境污染源很少，主要噪声源为通风</w:t>
            </w:r>
            <w:r>
              <w:rPr>
                <w:rFonts w:hint="eastAsia" w:ascii="Times New Roman" w:hAnsi="Times New Roman" w:eastAsia="宋体" w:cs="Times New Roman"/>
                <w:color w:val="auto"/>
                <w:sz w:val="21"/>
                <w:szCs w:val="21"/>
                <w:lang w:val="en-US" w:eastAsia="zh-CN"/>
              </w:rPr>
              <w:t>橱</w:t>
            </w:r>
            <w:r>
              <w:rPr>
                <w:rFonts w:hint="default" w:ascii="Times New Roman" w:hAnsi="Times New Roman" w:eastAsia="宋体" w:cs="Times New Roman"/>
                <w:color w:val="auto"/>
                <w:sz w:val="21"/>
                <w:szCs w:val="21"/>
              </w:rPr>
              <w:t>、风机</w:t>
            </w:r>
            <w:r>
              <w:rPr>
                <w:rFonts w:hint="eastAsia" w:cs="Times New Roman"/>
                <w:color w:val="auto"/>
                <w:sz w:val="21"/>
                <w:szCs w:val="21"/>
                <w:lang w:eastAsia="zh-CN"/>
              </w:rPr>
              <w:t>、</w:t>
            </w:r>
            <w:r>
              <w:rPr>
                <w:rFonts w:hint="eastAsia" w:cs="Times New Roman"/>
                <w:color w:val="auto"/>
                <w:sz w:val="21"/>
                <w:szCs w:val="21"/>
                <w:lang w:val="en-US" w:eastAsia="zh-CN"/>
              </w:rPr>
              <w:t>离心机、空调外机</w:t>
            </w:r>
            <w:r>
              <w:rPr>
                <w:rFonts w:hint="default" w:ascii="Times New Roman" w:hAnsi="Times New Roman" w:eastAsia="宋体" w:cs="Times New Roman"/>
                <w:color w:val="auto"/>
                <w:sz w:val="21"/>
                <w:szCs w:val="21"/>
              </w:rPr>
              <w:t>及</w:t>
            </w:r>
            <w:r>
              <w:rPr>
                <w:rFonts w:hint="eastAsia" w:ascii="Times New Roman" w:hAnsi="Times New Roman" w:eastAsia="宋体" w:cs="Times New Roman"/>
                <w:color w:val="auto"/>
                <w:sz w:val="21"/>
                <w:szCs w:val="21"/>
                <w:lang w:val="en-US" w:eastAsia="zh-CN"/>
              </w:rPr>
              <w:t>超</w:t>
            </w:r>
            <w:r>
              <w:rPr>
                <w:rFonts w:hint="default" w:ascii="Times New Roman" w:hAnsi="Times New Roman" w:eastAsia="宋体" w:cs="Times New Roman"/>
                <w:color w:val="auto"/>
                <w:sz w:val="21"/>
                <w:szCs w:val="21"/>
              </w:rPr>
              <w:t>纯水机设备噪声</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根据类比经验值得项目主要设备噪声源强如</w:t>
            </w:r>
            <w:r>
              <w:rPr>
                <w:rFonts w:hint="eastAsia" w:ascii="Times New Roman" w:hAnsi="Times New Roman" w:eastAsia="宋体" w:cs="Times New Roman"/>
                <w:color w:val="auto"/>
                <w:sz w:val="21"/>
                <w:szCs w:val="21"/>
                <w:lang w:val="en-US" w:eastAsia="zh-CN"/>
              </w:rPr>
              <w:t>下表所示</w:t>
            </w:r>
            <w:r>
              <w:rPr>
                <w:rFonts w:hint="default" w:ascii="Times New Roman" w:hAnsi="Times New Roman" w:eastAsia="宋体" w:cs="Times New Roman"/>
                <w:color w:val="auto"/>
                <w:sz w:val="21"/>
                <w:szCs w:val="21"/>
              </w:rPr>
              <w:t>。</w:t>
            </w:r>
          </w:p>
          <w:p w14:paraId="4F39C335">
            <w:pPr>
              <w:keepNext w:val="0"/>
              <w:keepLines w:val="0"/>
              <w:pageBreakBefore w:val="0"/>
              <w:widowControl w:val="0"/>
              <w:kinsoku/>
              <w:wordWrap/>
              <w:overflowPunct/>
              <w:topLinePunct w:val="0"/>
              <w:autoSpaceDE/>
              <w:autoSpaceDN/>
              <w:bidi w:val="0"/>
              <w:spacing w:line="36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表4-14  工业企业噪声源强调查清单（室内声源）</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08"/>
              <w:gridCol w:w="851"/>
              <w:gridCol w:w="710"/>
              <w:gridCol w:w="826"/>
              <w:gridCol w:w="521"/>
              <w:gridCol w:w="564"/>
              <w:gridCol w:w="571"/>
              <w:gridCol w:w="415"/>
              <w:gridCol w:w="595"/>
              <w:gridCol w:w="644"/>
              <w:gridCol w:w="401"/>
              <w:gridCol w:w="644"/>
              <w:gridCol w:w="545"/>
              <w:gridCol w:w="414"/>
            </w:tblGrid>
            <w:tr w14:paraId="3E0A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92" w:type="pct"/>
                  <w:vMerge w:val="restart"/>
                  <w:noWrap w:val="0"/>
                  <w:vAlign w:val="center"/>
                </w:tcPr>
                <w:p w14:paraId="15597761">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序号</w:t>
                  </w:r>
                </w:p>
              </w:tc>
              <w:tc>
                <w:tcPr>
                  <w:tcW w:w="531" w:type="pct"/>
                  <w:vMerge w:val="restart"/>
                  <w:noWrap w:val="0"/>
                  <w:vAlign w:val="center"/>
                </w:tcPr>
                <w:p w14:paraId="162F317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建筑物</w:t>
                  </w:r>
                </w:p>
              </w:tc>
              <w:tc>
                <w:tcPr>
                  <w:tcW w:w="443" w:type="pct"/>
                  <w:vMerge w:val="restart"/>
                  <w:noWrap w:val="0"/>
                  <w:vAlign w:val="center"/>
                </w:tcPr>
                <w:p w14:paraId="47C2EADD">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声源名称</w:t>
                  </w:r>
                </w:p>
              </w:tc>
              <w:tc>
                <w:tcPr>
                  <w:tcW w:w="515" w:type="pct"/>
                  <w:vMerge w:val="restart"/>
                  <w:noWrap w:val="0"/>
                  <w:vAlign w:val="center"/>
                </w:tcPr>
                <w:p w14:paraId="105A57A6">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eastAsia="zh-CN"/>
                    </w:rPr>
                    <w:t>声源源强声压级</w:t>
                  </w:r>
                  <w:r>
                    <w:rPr>
                      <w:rFonts w:hint="default" w:ascii="Times New Roman" w:hAnsi="Times New Roman" w:eastAsia="宋体" w:cs="Times New Roman"/>
                      <w:b/>
                      <w:bCs/>
                      <w:color w:val="auto"/>
                      <w:sz w:val="18"/>
                      <w:szCs w:val="18"/>
                      <w:highlight w:val="none"/>
                      <w:lang w:val="en-US" w:eastAsia="zh-CN"/>
                    </w:rPr>
                    <w:t>/距离声源距离（dB（A）/m）</w:t>
                  </w:r>
                </w:p>
              </w:tc>
              <w:tc>
                <w:tcPr>
                  <w:tcW w:w="325" w:type="pct"/>
                  <w:vMerge w:val="restart"/>
                  <w:noWrap w:val="0"/>
                  <w:vAlign w:val="center"/>
                </w:tcPr>
                <w:p w14:paraId="624A7BC8">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声源控制措施</w:t>
                  </w:r>
                </w:p>
              </w:tc>
              <w:tc>
                <w:tcPr>
                  <w:tcW w:w="967" w:type="pct"/>
                  <w:gridSpan w:val="3"/>
                  <w:noWrap w:val="0"/>
                  <w:vAlign w:val="center"/>
                </w:tcPr>
                <w:p w14:paraId="71EC8129">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空间相对位置</w:t>
                  </w:r>
                </w:p>
              </w:tc>
              <w:tc>
                <w:tcPr>
                  <w:tcW w:w="371" w:type="pct"/>
                  <w:vMerge w:val="restart"/>
                  <w:noWrap w:val="0"/>
                  <w:vAlign w:val="center"/>
                </w:tcPr>
                <w:p w14:paraId="49C545E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eastAsia="zh-CN"/>
                    </w:rPr>
                    <w:t>距室内边界距离</w:t>
                  </w:r>
                  <w:r>
                    <w:rPr>
                      <w:rFonts w:hint="default" w:ascii="Times New Roman" w:hAnsi="Times New Roman" w:eastAsia="宋体" w:cs="Times New Roman"/>
                      <w:b/>
                      <w:bCs/>
                      <w:color w:val="auto"/>
                      <w:sz w:val="18"/>
                      <w:szCs w:val="18"/>
                      <w:highlight w:val="none"/>
                      <w:lang w:val="en-US" w:eastAsia="zh-CN"/>
                    </w:rPr>
                    <w:t>/m</w:t>
                  </w:r>
                </w:p>
              </w:tc>
              <w:tc>
                <w:tcPr>
                  <w:tcW w:w="402" w:type="pct"/>
                  <w:vMerge w:val="restart"/>
                  <w:noWrap w:val="0"/>
                  <w:vAlign w:val="center"/>
                </w:tcPr>
                <w:p w14:paraId="200FF75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eastAsia="zh-CN"/>
                    </w:rPr>
                    <w:t>室内边界声级</w:t>
                  </w:r>
                  <w:r>
                    <w:rPr>
                      <w:rFonts w:hint="default" w:ascii="Times New Roman" w:hAnsi="Times New Roman" w:eastAsia="宋体" w:cs="Times New Roman"/>
                      <w:b/>
                      <w:bCs/>
                      <w:color w:val="auto"/>
                      <w:sz w:val="18"/>
                      <w:szCs w:val="18"/>
                      <w:highlight w:val="none"/>
                      <w:lang w:val="en-US" w:eastAsia="zh-CN"/>
                    </w:rPr>
                    <w:t>/dB（A）</w:t>
                  </w:r>
                </w:p>
              </w:tc>
              <w:tc>
                <w:tcPr>
                  <w:tcW w:w="250" w:type="pct"/>
                  <w:vMerge w:val="restart"/>
                  <w:noWrap w:val="0"/>
                  <w:vAlign w:val="center"/>
                </w:tcPr>
                <w:p w14:paraId="32AFDB11">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运行</w:t>
                  </w:r>
                </w:p>
                <w:p w14:paraId="75883092">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时段</w:t>
                  </w:r>
                </w:p>
              </w:tc>
              <w:tc>
                <w:tcPr>
                  <w:tcW w:w="402" w:type="pct"/>
                  <w:vMerge w:val="restart"/>
                  <w:noWrap w:val="0"/>
                  <w:vAlign w:val="center"/>
                </w:tcPr>
                <w:p w14:paraId="70E24162">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eastAsia="zh-CN"/>
                    </w:rPr>
                    <w:t>建筑物插入损失</w:t>
                  </w:r>
                  <w:r>
                    <w:rPr>
                      <w:rFonts w:hint="default" w:ascii="Times New Roman" w:hAnsi="Times New Roman" w:eastAsia="宋体" w:cs="Times New Roman"/>
                      <w:b/>
                      <w:bCs/>
                      <w:color w:val="auto"/>
                      <w:sz w:val="18"/>
                      <w:szCs w:val="18"/>
                      <w:highlight w:val="none"/>
                      <w:lang w:val="en-US" w:eastAsia="zh-CN"/>
                    </w:rPr>
                    <w:t>/dB（A）</w:t>
                  </w:r>
                </w:p>
              </w:tc>
              <w:tc>
                <w:tcPr>
                  <w:tcW w:w="598" w:type="pct"/>
                  <w:gridSpan w:val="2"/>
                  <w:noWrap w:val="0"/>
                  <w:vAlign w:val="center"/>
                </w:tcPr>
                <w:p w14:paraId="19D86DFE">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bCs/>
                      <w:color w:val="auto"/>
                      <w:sz w:val="18"/>
                      <w:szCs w:val="18"/>
                      <w:highlight w:val="none"/>
                      <w:lang w:eastAsia="zh-CN"/>
                    </w:rPr>
                  </w:pPr>
                  <w:r>
                    <w:rPr>
                      <w:rFonts w:hint="default" w:ascii="Times New Roman" w:hAnsi="Times New Roman" w:eastAsia="宋体" w:cs="Times New Roman"/>
                      <w:b/>
                      <w:bCs/>
                      <w:color w:val="auto"/>
                      <w:sz w:val="18"/>
                      <w:szCs w:val="18"/>
                      <w:highlight w:val="none"/>
                      <w:lang w:eastAsia="zh-CN"/>
                    </w:rPr>
                    <w:t>建筑物外噪声</w:t>
                  </w:r>
                </w:p>
              </w:tc>
            </w:tr>
            <w:tr w14:paraId="015E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92" w:type="pct"/>
                  <w:vMerge w:val="continue"/>
                  <w:noWrap w:val="0"/>
                  <w:vAlign w:val="center"/>
                </w:tcPr>
                <w:p w14:paraId="75F01D4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p>
              </w:tc>
              <w:tc>
                <w:tcPr>
                  <w:tcW w:w="531" w:type="pct"/>
                  <w:vMerge w:val="continue"/>
                  <w:noWrap w:val="0"/>
                  <w:vAlign w:val="center"/>
                </w:tcPr>
                <w:p w14:paraId="747556FD">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p>
              </w:tc>
              <w:tc>
                <w:tcPr>
                  <w:tcW w:w="443" w:type="pct"/>
                  <w:vMerge w:val="continue"/>
                  <w:noWrap w:val="0"/>
                  <w:vAlign w:val="center"/>
                </w:tcPr>
                <w:p w14:paraId="7D6849F2">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p>
              </w:tc>
              <w:tc>
                <w:tcPr>
                  <w:tcW w:w="515" w:type="pct"/>
                  <w:vMerge w:val="continue"/>
                  <w:noWrap w:val="0"/>
                  <w:vAlign w:val="center"/>
                </w:tcPr>
                <w:p w14:paraId="5E608EEE">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val="en-US" w:eastAsia="zh-CN"/>
                    </w:rPr>
                  </w:pPr>
                </w:p>
              </w:tc>
              <w:tc>
                <w:tcPr>
                  <w:tcW w:w="325" w:type="pct"/>
                  <w:vMerge w:val="continue"/>
                  <w:noWrap w:val="0"/>
                  <w:vAlign w:val="center"/>
                </w:tcPr>
                <w:p w14:paraId="3973EEB5">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p>
              </w:tc>
              <w:tc>
                <w:tcPr>
                  <w:tcW w:w="352" w:type="pct"/>
                  <w:noWrap w:val="0"/>
                  <w:vAlign w:val="center"/>
                </w:tcPr>
                <w:p w14:paraId="411BAA3D">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X</w:t>
                  </w:r>
                </w:p>
              </w:tc>
              <w:tc>
                <w:tcPr>
                  <w:tcW w:w="356" w:type="pct"/>
                  <w:noWrap w:val="0"/>
                  <w:vAlign w:val="center"/>
                </w:tcPr>
                <w:p w14:paraId="401545E1">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Y</w:t>
                  </w:r>
                </w:p>
              </w:tc>
              <w:tc>
                <w:tcPr>
                  <w:tcW w:w="259" w:type="pct"/>
                  <w:noWrap w:val="0"/>
                  <w:vAlign w:val="center"/>
                </w:tcPr>
                <w:p w14:paraId="7A4AD05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Z</w:t>
                  </w:r>
                </w:p>
              </w:tc>
              <w:tc>
                <w:tcPr>
                  <w:tcW w:w="371" w:type="pct"/>
                  <w:vMerge w:val="continue"/>
                  <w:noWrap w:val="0"/>
                  <w:vAlign w:val="center"/>
                </w:tcPr>
                <w:p w14:paraId="3E2ED54B">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p>
              </w:tc>
              <w:tc>
                <w:tcPr>
                  <w:tcW w:w="402" w:type="pct"/>
                  <w:vMerge w:val="continue"/>
                  <w:noWrap w:val="0"/>
                  <w:vAlign w:val="center"/>
                </w:tcPr>
                <w:p w14:paraId="430BF865">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p>
              </w:tc>
              <w:tc>
                <w:tcPr>
                  <w:tcW w:w="250" w:type="pct"/>
                  <w:vMerge w:val="continue"/>
                  <w:noWrap w:val="0"/>
                  <w:vAlign w:val="center"/>
                </w:tcPr>
                <w:p w14:paraId="1A3BEA19">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p>
              </w:tc>
              <w:tc>
                <w:tcPr>
                  <w:tcW w:w="402" w:type="pct"/>
                  <w:vMerge w:val="continue"/>
                  <w:noWrap w:val="0"/>
                  <w:vAlign w:val="center"/>
                </w:tcPr>
                <w:p w14:paraId="60306F9A">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p>
              </w:tc>
              <w:tc>
                <w:tcPr>
                  <w:tcW w:w="340" w:type="pct"/>
                  <w:noWrap w:val="0"/>
                  <w:vAlign w:val="center"/>
                </w:tcPr>
                <w:p w14:paraId="2BA0A07A">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eastAsia="zh-CN"/>
                    </w:rPr>
                    <w:t>声压级</w:t>
                  </w:r>
                  <w:r>
                    <w:rPr>
                      <w:rFonts w:hint="default" w:ascii="Times New Roman" w:hAnsi="Times New Roman" w:eastAsia="宋体" w:cs="Times New Roman"/>
                      <w:color w:val="auto"/>
                      <w:sz w:val="18"/>
                      <w:szCs w:val="18"/>
                      <w:highlight w:val="none"/>
                      <w:lang w:val="en-US" w:eastAsia="zh-CN"/>
                    </w:rPr>
                    <w:t>/dB（A）</w:t>
                  </w:r>
                </w:p>
              </w:tc>
              <w:tc>
                <w:tcPr>
                  <w:tcW w:w="258" w:type="pct"/>
                  <w:noWrap w:val="0"/>
                  <w:vAlign w:val="center"/>
                </w:tcPr>
                <w:p w14:paraId="4A0E7DB3">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建筑物外距离</w:t>
                  </w:r>
                </w:p>
              </w:tc>
            </w:tr>
            <w:tr w14:paraId="3036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92" w:type="pct"/>
                  <w:noWrap w:val="0"/>
                  <w:vAlign w:val="center"/>
                </w:tcPr>
                <w:p w14:paraId="7CC8B753">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531" w:type="pct"/>
                  <w:vMerge w:val="restart"/>
                  <w:noWrap w:val="0"/>
                  <w:vAlign w:val="center"/>
                </w:tcPr>
                <w:p w14:paraId="342CF590">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实验室</w:t>
                  </w:r>
                </w:p>
              </w:tc>
              <w:tc>
                <w:tcPr>
                  <w:tcW w:w="443" w:type="pct"/>
                  <w:noWrap w:val="0"/>
                  <w:vAlign w:val="center"/>
                </w:tcPr>
                <w:p w14:paraId="7CA1A580">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有机实验室通风橱</w:t>
                  </w:r>
                </w:p>
              </w:tc>
              <w:tc>
                <w:tcPr>
                  <w:tcW w:w="515" w:type="pct"/>
                  <w:noWrap w:val="0"/>
                  <w:vAlign w:val="center"/>
                </w:tcPr>
                <w:p w14:paraId="0197AB8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70/1</w:t>
                  </w:r>
                </w:p>
              </w:tc>
              <w:tc>
                <w:tcPr>
                  <w:tcW w:w="325" w:type="pct"/>
                  <w:vMerge w:val="restart"/>
                  <w:noWrap w:val="0"/>
                  <w:vAlign w:val="center"/>
                </w:tcPr>
                <w:p w14:paraId="3A2D673A">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设备选型低</w:t>
                  </w:r>
                  <w:r>
                    <w:rPr>
                      <w:rFonts w:hint="eastAsia" w:ascii="Times New Roman" w:hAnsi="Times New Roman" w:eastAsia="宋体" w:cs="Times New Roman"/>
                      <w:b w:val="0"/>
                      <w:bCs/>
                      <w:color w:val="auto"/>
                      <w:sz w:val="18"/>
                      <w:szCs w:val="18"/>
                      <w:highlight w:val="none"/>
                      <w:lang w:val="en-US" w:eastAsia="zh-CN"/>
                    </w:rPr>
                    <w:t>噪、</w:t>
                  </w:r>
                </w:p>
                <w:p w14:paraId="6A506FB1">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墙体隔声</w:t>
                  </w:r>
                </w:p>
                <w:p w14:paraId="2165BE8D">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eastAsia="zh-CN"/>
                    </w:rPr>
                  </w:pPr>
                  <w:r>
                    <w:rPr>
                      <w:rFonts w:hint="eastAsia" w:ascii="Times New Roman" w:hAnsi="Times New Roman" w:eastAsia="宋体" w:cs="Times New Roman"/>
                      <w:b w:val="0"/>
                      <w:bCs/>
                      <w:color w:val="auto"/>
                      <w:sz w:val="18"/>
                      <w:szCs w:val="18"/>
                      <w:highlight w:val="none"/>
                      <w:lang w:val="en-US" w:eastAsia="zh-CN"/>
                    </w:rPr>
                    <w:t>、</w:t>
                  </w:r>
                  <w:r>
                    <w:rPr>
                      <w:rFonts w:hint="default" w:ascii="Times New Roman" w:hAnsi="Times New Roman" w:eastAsia="宋体" w:cs="Times New Roman"/>
                      <w:b w:val="0"/>
                      <w:bCs/>
                      <w:color w:val="auto"/>
                      <w:sz w:val="18"/>
                      <w:szCs w:val="18"/>
                      <w:highlight w:val="none"/>
                      <w:lang w:val="en-US" w:eastAsia="zh-CN"/>
                    </w:rPr>
                    <w:t>距离消减、</w:t>
                  </w:r>
                  <w:r>
                    <w:rPr>
                      <w:rFonts w:hint="eastAsia" w:ascii="Times New Roman" w:hAnsi="Times New Roman" w:eastAsia="宋体" w:cs="Times New Roman"/>
                      <w:b w:val="0"/>
                      <w:bCs/>
                      <w:color w:val="auto"/>
                      <w:sz w:val="18"/>
                      <w:szCs w:val="18"/>
                      <w:highlight w:val="none"/>
                      <w:lang w:val="en-US" w:eastAsia="zh-CN"/>
                    </w:rPr>
                    <w:t>定期维护</w:t>
                  </w:r>
                </w:p>
              </w:tc>
              <w:tc>
                <w:tcPr>
                  <w:tcW w:w="352" w:type="pct"/>
                  <w:noWrap w:val="0"/>
                  <w:vAlign w:val="center"/>
                </w:tcPr>
                <w:p w14:paraId="0245FB54">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0.41</w:t>
                  </w:r>
                </w:p>
              </w:tc>
              <w:tc>
                <w:tcPr>
                  <w:tcW w:w="356" w:type="pct"/>
                  <w:noWrap w:val="0"/>
                  <w:vAlign w:val="center"/>
                </w:tcPr>
                <w:p w14:paraId="66C615DB">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6.36</w:t>
                  </w:r>
                </w:p>
              </w:tc>
              <w:tc>
                <w:tcPr>
                  <w:tcW w:w="259" w:type="pct"/>
                  <w:noWrap w:val="0"/>
                  <w:vAlign w:val="center"/>
                </w:tcPr>
                <w:p w14:paraId="4838274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371" w:type="pct"/>
                  <w:noWrap w:val="0"/>
                  <w:vAlign w:val="center"/>
                </w:tcPr>
                <w:p w14:paraId="100CD76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644" w:type="dxa"/>
                  <w:noWrap w:val="0"/>
                  <w:vAlign w:val="center"/>
                </w:tcPr>
                <w:p w14:paraId="0B50C45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70</w:t>
                  </w:r>
                </w:p>
              </w:tc>
              <w:tc>
                <w:tcPr>
                  <w:tcW w:w="250" w:type="pct"/>
                  <w:vMerge w:val="restart"/>
                  <w:noWrap w:val="0"/>
                  <w:vAlign w:val="center"/>
                </w:tcPr>
                <w:p w14:paraId="07BDB146">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eastAsia="zh-CN"/>
                    </w:rPr>
                  </w:pPr>
                  <w:r>
                    <w:rPr>
                      <w:rFonts w:hint="default" w:ascii="Times New Roman" w:hAnsi="Times New Roman" w:eastAsia="宋体" w:cs="Times New Roman"/>
                      <w:b w:val="0"/>
                      <w:bCs/>
                      <w:color w:val="auto"/>
                      <w:sz w:val="18"/>
                      <w:szCs w:val="18"/>
                      <w:highlight w:val="none"/>
                      <w:lang w:eastAsia="zh-CN"/>
                    </w:rPr>
                    <w:t>昼间</w:t>
                  </w:r>
                </w:p>
                <w:p w14:paraId="3BC23049">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w:t>
                  </w:r>
                  <w:r>
                    <w:rPr>
                      <w:rFonts w:hint="default" w:ascii="Times New Roman" w:hAnsi="Times New Roman" w:eastAsia="宋体" w:cs="Times New Roman"/>
                      <w:b w:val="0"/>
                      <w:bCs/>
                      <w:color w:val="auto"/>
                      <w:sz w:val="18"/>
                      <w:szCs w:val="18"/>
                      <w:highlight w:val="none"/>
                      <w:lang w:val="en-US" w:eastAsia="zh-CN"/>
                    </w:rPr>
                    <w:t>h</w:t>
                  </w:r>
                </w:p>
              </w:tc>
              <w:tc>
                <w:tcPr>
                  <w:tcW w:w="402" w:type="pct"/>
                  <w:noWrap w:val="0"/>
                  <w:vAlign w:val="center"/>
                </w:tcPr>
                <w:p w14:paraId="752F2993">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15</w:t>
                  </w:r>
                </w:p>
              </w:tc>
              <w:tc>
                <w:tcPr>
                  <w:tcW w:w="340" w:type="pct"/>
                  <w:noWrap w:val="0"/>
                  <w:vAlign w:val="center"/>
                </w:tcPr>
                <w:p w14:paraId="7AAD1E60">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55</w:t>
                  </w:r>
                </w:p>
              </w:tc>
              <w:tc>
                <w:tcPr>
                  <w:tcW w:w="258" w:type="pct"/>
                  <w:noWrap w:val="0"/>
                  <w:vAlign w:val="center"/>
                </w:tcPr>
                <w:p w14:paraId="4152E163">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r>
            <w:tr w14:paraId="066C3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92" w:type="pct"/>
                  <w:noWrap w:val="0"/>
                  <w:vAlign w:val="center"/>
                </w:tcPr>
                <w:p w14:paraId="7569A2F8">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2</w:t>
                  </w:r>
                </w:p>
              </w:tc>
              <w:tc>
                <w:tcPr>
                  <w:tcW w:w="531" w:type="pct"/>
                  <w:vMerge w:val="continue"/>
                  <w:noWrap w:val="0"/>
                  <w:vAlign w:val="center"/>
                </w:tcPr>
                <w:p w14:paraId="0B3C6112">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43" w:type="pct"/>
                  <w:noWrap w:val="0"/>
                  <w:vAlign w:val="center"/>
                </w:tcPr>
                <w:p w14:paraId="7A77819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无机实验室通风橱</w:t>
                  </w:r>
                </w:p>
              </w:tc>
              <w:tc>
                <w:tcPr>
                  <w:tcW w:w="515" w:type="pct"/>
                  <w:noWrap w:val="0"/>
                  <w:vAlign w:val="center"/>
                </w:tcPr>
                <w:p w14:paraId="7D3D904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70/1</w:t>
                  </w:r>
                </w:p>
              </w:tc>
              <w:tc>
                <w:tcPr>
                  <w:tcW w:w="325" w:type="pct"/>
                  <w:vMerge w:val="continue"/>
                  <w:noWrap w:val="0"/>
                  <w:vAlign w:val="center"/>
                </w:tcPr>
                <w:p w14:paraId="615955D3">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352" w:type="pct"/>
                  <w:noWrap w:val="0"/>
                  <w:vAlign w:val="center"/>
                </w:tcPr>
                <w:p w14:paraId="5DC33396">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11.14</w:t>
                  </w:r>
                </w:p>
              </w:tc>
              <w:tc>
                <w:tcPr>
                  <w:tcW w:w="356" w:type="pct"/>
                  <w:noWrap w:val="0"/>
                  <w:vAlign w:val="center"/>
                </w:tcPr>
                <w:p w14:paraId="1FD36C5E">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2.78</w:t>
                  </w:r>
                </w:p>
              </w:tc>
              <w:tc>
                <w:tcPr>
                  <w:tcW w:w="259" w:type="pct"/>
                  <w:noWrap w:val="0"/>
                  <w:vAlign w:val="center"/>
                </w:tcPr>
                <w:p w14:paraId="4A6E6955">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371" w:type="pct"/>
                  <w:noWrap w:val="0"/>
                  <w:vAlign w:val="center"/>
                </w:tcPr>
                <w:p w14:paraId="259D8E18">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644" w:type="dxa"/>
                  <w:noWrap w:val="0"/>
                  <w:vAlign w:val="center"/>
                </w:tcPr>
                <w:p w14:paraId="353CA7A6">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70</w:t>
                  </w:r>
                </w:p>
              </w:tc>
              <w:tc>
                <w:tcPr>
                  <w:tcW w:w="250" w:type="pct"/>
                  <w:vMerge w:val="continue"/>
                  <w:noWrap w:val="0"/>
                  <w:vAlign w:val="center"/>
                </w:tcPr>
                <w:p w14:paraId="273B5AB8">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02" w:type="pct"/>
                  <w:noWrap w:val="0"/>
                  <w:vAlign w:val="center"/>
                </w:tcPr>
                <w:p w14:paraId="276E33F1">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15</w:t>
                  </w:r>
                </w:p>
              </w:tc>
              <w:tc>
                <w:tcPr>
                  <w:tcW w:w="340" w:type="pct"/>
                  <w:noWrap w:val="0"/>
                  <w:vAlign w:val="center"/>
                </w:tcPr>
                <w:p w14:paraId="5000E3D4">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55</w:t>
                  </w:r>
                </w:p>
              </w:tc>
              <w:tc>
                <w:tcPr>
                  <w:tcW w:w="258" w:type="pct"/>
                  <w:noWrap w:val="0"/>
                  <w:vAlign w:val="center"/>
                </w:tcPr>
                <w:p w14:paraId="0FEB3061">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r>
            <w:tr w14:paraId="75F00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92" w:type="pct"/>
                  <w:noWrap w:val="0"/>
                  <w:vAlign w:val="center"/>
                </w:tcPr>
                <w:p w14:paraId="558AE087">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w:t>
                  </w:r>
                </w:p>
              </w:tc>
              <w:tc>
                <w:tcPr>
                  <w:tcW w:w="531" w:type="pct"/>
                  <w:vMerge w:val="continue"/>
                  <w:noWrap w:val="0"/>
                  <w:vAlign w:val="center"/>
                </w:tcPr>
                <w:p w14:paraId="77EF7952">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43" w:type="pct"/>
                  <w:noWrap w:val="0"/>
                  <w:vAlign w:val="center"/>
                </w:tcPr>
                <w:p w14:paraId="04AD25C3">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风机1</w:t>
                  </w:r>
                </w:p>
              </w:tc>
              <w:tc>
                <w:tcPr>
                  <w:tcW w:w="515" w:type="pct"/>
                  <w:noWrap w:val="0"/>
                  <w:vAlign w:val="center"/>
                </w:tcPr>
                <w:p w14:paraId="5AC93854">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85/1</w:t>
                  </w:r>
                </w:p>
              </w:tc>
              <w:tc>
                <w:tcPr>
                  <w:tcW w:w="325" w:type="pct"/>
                  <w:vMerge w:val="continue"/>
                  <w:noWrap w:val="0"/>
                  <w:vAlign w:val="center"/>
                </w:tcPr>
                <w:p w14:paraId="432AEA5A">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352" w:type="pct"/>
                  <w:noWrap w:val="0"/>
                  <w:vAlign w:val="center"/>
                </w:tcPr>
                <w:p w14:paraId="499C9996">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-8.17</w:t>
                  </w:r>
                </w:p>
              </w:tc>
              <w:tc>
                <w:tcPr>
                  <w:tcW w:w="356" w:type="pct"/>
                  <w:noWrap w:val="0"/>
                  <w:vAlign w:val="center"/>
                </w:tcPr>
                <w:p w14:paraId="0B9CECA9">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-2.48</w:t>
                  </w:r>
                </w:p>
              </w:tc>
              <w:tc>
                <w:tcPr>
                  <w:tcW w:w="259" w:type="pct"/>
                  <w:noWrap w:val="0"/>
                  <w:vAlign w:val="center"/>
                </w:tcPr>
                <w:p w14:paraId="33FBB8EB">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371" w:type="pct"/>
                  <w:noWrap w:val="0"/>
                  <w:vAlign w:val="center"/>
                </w:tcPr>
                <w:p w14:paraId="2C02A467">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644" w:type="dxa"/>
                  <w:noWrap w:val="0"/>
                  <w:vAlign w:val="center"/>
                </w:tcPr>
                <w:p w14:paraId="483A5C2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85</w:t>
                  </w:r>
                </w:p>
              </w:tc>
              <w:tc>
                <w:tcPr>
                  <w:tcW w:w="250" w:type="pct"/>
                  <w:vMerge w:val="continue"/>
                  <w:noWrap w:val="0"/>
                  <w:vAlign w:val="center"/>
                </w:tcPr>
                <w:p w14:paraId="38F392F2">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02" w:type="pct"/>
                  <w:noWrap w:val="0"/>
                  <w:vAlign w:val="center"/>
                </w:tcPr>
                <w:p w14:paraId="28994DAC">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15</w:t>
                  </w:r>
                </w:p>
              </w:tc>
              <w:tc>
                <w:tcPr>
                  <w:tcW w:w="340" w:type="pct"/>
                  <w:noWrap w:val="0"/>
                  <w:vAlign w:val="center"/>
                </w:tcPr>
                <w:p w14:paraId="7AA40A3D">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70</w:t>
                  </w:r>
                </w:p>
              </w:tc>
              <w:tc>
                <w:tcPr>
                  <w:tcW w:w="258" w:type="pct"/>
                  <w:noWrap w:val="0"/>
                  <w:vAlign w:val="center"/>
                </w:tcPr>
                <w:p w14:paraId="5E72B9D4">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r>
            <w:tr w14:paraId="4DB7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92" w:type="pct"/>
                  <w:noWrap w:val="0"/>
                  <w:vAlign w:val="center"/>
                </w:tcPr>
                <w:p w14:paraId="61F0DE7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4</w:t>
                  </w:r>
                </w:p>
              </w:tc>
              <w:tc>
                <w:tcPr>
                  <w:tcW w:w="531" w:type="pct"/>
                  <w:vMerge w:val="continue"/>
                  <w:noWrap w:val="0"/>
                  <w:vAlign w:val="center"/>
                </w:tcPr>
                <w:p w14:paraId="1D6EAFFE">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43" w:type="pct"/>
                  <w:noWrap w:val="0"/>
                  <w:vAlign w:val="center"/>
                </w:tcPr>
                <w:p w14:paraId="05900D66">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风机2</w:t>
                  </w:r>
                </w:p>
              </w:tc>
              <w:tc>
                <w:tcPr>
                  <w:tcW w:w="515" w:type="pct"/>
                  <w:noWrap w:val="0"/>
                  <w:vAlign w:val="center"/>
                </w:tcPr>
                <w:p w14:paraId="1AC6BB1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85</w:t>
                  </w:r>
                  <w:r>
                    <w:rPr>
                      <w:rFonts w:hint="default" w:ascii="Times New Roman" w:hAnsi="Times New Roman" w:eastAsia="宋体" w:cs="Times New Roman"/>
                      <w:b w:val="0"/>
                      <w:bCs/>
                      <w:color w:val="auto"/>
                      <w:sz w:val="18"/>
                      <w:szCs w:val="18"/>
                      <w:highlight w:val="none"/>
                      <w:lang w:val="en-US" w:eastAsia="zh-CN"/>
                    </w:rPr>
                    <w:t>/1</w:t>
                  </w:r>
                </w:p>
              </w:tc>
              <w:tc>
                <w:tcPr>
                  <w:tcW w:w="325" w:type="pct"/>
                  <w:vMerge w:val="continue"/>
                  <w:noWrap w:val="0"/>
                  <w:vAlign w:val="center"/>
                </w:tcPr>
                <w:p w14:paraId="6504BF26">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352" w:type="pct"/>
                  <w:noWrap w:val="0"/>
                  <w:vAlign w:val="center"/>
                </w:tcPr>
                <w:p w14:paraId="2609AB64">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9.02</w:t>
                  </w:r>
                </w:p>
              </w:tc>
              <w:tc>
                <w:tcPr>
                  <w:tcW w:w="356" w:type="pct"/>
                  <w:noWrap w:val="0"/>
                  <w:vAlign w:val="center"/>
                </w:tcPr>
                <w:p w14:paraId="2BE15C4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-10.82</w:t>
                  </w:r>
                </w:p>
              </w:tc>
              <w:tc>
                <w:tcPr>
                  <w:tcW w:w="259" w:type="pct"/>
                  <w:noWrap w:val="0"/>
                  <w:vAlign w:val="center"/>
                </w:tcPr>
                <w:p w14:paraId="1C6D5145">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371" w:type="pct"/>
                  <w:noWrap w:val="0"/>
                  <w:vAlign w:val="center"/>
                </w:tcPr>
                <w:p w14:paraId="1EE178EA">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644" w:type="dxa"/>
                  <w:noWrap w:val="0"/>
                  <w:vAlign w:val="center"/>
                </w:tcPr>
                <w:p w14:paraId="3252DB17">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85</w:t>
                  </w:r>
                </w:p>
              </w:tc>
              <w:tc>
                <w:tcPr>
                  <w:tcW w:w="250" w:type="pct"/>
                  <w:vMerge w:val="continue"/>
                  <w:noWrap w:val="0"/>
                  <w:vAlign w:val="center"/>
                </w:tcPr>
                <w:p w14:paraId="3EB836F2">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02" w:type="pct"/>
                  <w:noWrap w:val="0"/>
                  <w:vAlign w:val="center"/>
                </w:tcPr>
                <w:p w14:paraId="3C400A68">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15</w:t>
                  </w:r>
                </w:p>
              </w:tc>
              <w:tc>
                <w:tcPr>
                  <w:tcW w:w="340" w:type="pct"/>
                  <w:noWrap w:val="0"/>
                  <w:vAlign w:val="center"/>
                </w:tcPr>
                <w:p w14:paraId="4F27EAEE">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70</w:t>
                  </w:r>
                </w:p>
              </w:tc>
              <w:tc>
                <w:tcPr>
                  <w:tcW w:w="258" w:type="pct"/>
                  <w:noWrap w:val="0"/>
                  <w:vAlign w:val="center"/>
                </w:tcPr>
                <w:p w14:paraId="7DC19752">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r>
            <w:tr w14:paraId="00D9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92" w:type="pct"/>
                  <w:noWrap w:val="0"/>
                  <w:vAlign w:val="center"/>
                </w:tcPr>
                <w:p w14:paraId="3D0103D7">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w:t>
                  </w:r>
                </w:p>
              </w:tc>
              <w:tc>
                <w:tcPr>
                  <w:tcW w:w="531" w:type="pct"/>
                  <w:vMerge w:val="continue"/>
                  <w:noWrap w:val="0"/>
                  <w:vAlign w:val="center"/>
                </w:tcPr>
                <w:p w14:paraId="47F80745">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43" w:type="pct"/>
                  <w:noWrap w:val="0"/>
                  <w:vAlign w:val="center"/>
                </w:tcPr>
                <w:p w14:paraId="21668C15">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离心机</w:t>
                  </w:r>
                </w:p>
              </w:tc>
              <w:tc>
                <w:tcPr>
                  <w:tcW w:w="515" w:type="pct"/>
                  <w:noWrap w:val="0"/>
                  <w:vAlign w:val="center"/>
                </w:tcPr>
                <w:p w14:paraId="5A8B7CA6">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75/1</w:t>
                  </w:r>
                </w:p>
              </w:tc>
              <w:tc>
                <w:tcPr>
                  <w:tcW w:w="325" w:type="pct"/>
                  <w:vMerge w:val="continue"/>
                  <w:noWrap w:val="0"/>
                  <w:vAlign w:val="center"/>
                </w:tcPr>
                <w:p w14:paraId="6B42AF4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352" w:type="pct"/>
                  <w:noWrap w:val="0"/>
                  <w:vAlign w:val="center"/>
                </w:tcPr>
                <w:p w14:paraId="06F60FE7">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-10.61</w:t>
                  </w:r>
                </w:p>
              </w:tc>
              <w:tc>
                <w:tcPr>
                  <w:tcW w:w="356" w:type="pct"/>
                  <w:noWrap w:val="0"/>
                  <w:vAlign w:val="center"/>
                </w:tcPr>
                <w:p w14:paraId="00BE6D89">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5.76</w:t>
                  </w:r>
                </w:p>
              </w:tc>
              <w:tc>
                <w:tcPr>
                  <w:tcW w:w="259" w:type="pct"/>
                  <w:noWrap w:val="0"/>
                  <w:vAlign w:val="center"/>
                </w:tcPr>
                <w:p w14:paraId="72B2BF26">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371" w:type="pct"/>
                  <w:noWrap w:val="0"/>
                  <w:vAlign w:val="center"/>
                </w:tcPr>
                <w:p w14:paraId="356BF68C">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644" w:type="dxa"/>
                  <w:noWrap w:val="0"/>
                  <w:vAlign w:val="center"/>
                </w:tcPr>
                <w:p w14:paraId="19DACA4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75</w:t>
                  </w:r>
                </w:p>
              </w:tc>
              <w:tc>
                <w:tcPr>
                  <w:tcW w:w="250" w:type="pct"/>
                  <w:vMerge w:val="continue"/>
                  <w:noWrap w:val="0"/>
                  <w:vAlign w:val="center"/>
                </w:tcPr>
                <w:p w14:paraId="0763BAF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02" w:type="pct"/>
                  <w:noWrap w:val="0"/>
                  <w:vAlign w:val="center"/>
                </w:tcPr>
                <w:p w14:paraId="488D36F3">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15</w:t>
                  </w:r>
                </w:p>
              </w:tc>
              <w:tc>
                <w:tcPr>
                  <w:tcW w:w="340" w:type="pct"/>
                  <w:noWrap w:val="0"/>
                  <w:vAlign w:val="center"/>
                </w:tcPr>
                <w:p w14:paraId="10783A9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60</w:t>
                  </w:r>
                </w:p>
              </w:tc>
              <w:tc>
                <w:tcPr>
                  <w:tcW w:w="258" w:type="pct"/>
                  <w:noWrap w:val="0"/>
                  <w:vAlign w:val="center"/>
                </w:tcPr>
                <w:p w14:paraId="4723381A">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r>
            <w:tr w14:paraId="5E3D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92" w:type="pct"/>
                  <w:noWrap w:val="0"/>
                  <w:vAlign w:val="center"/>
                </w:tcPr>
                <w:p w14:paraId="4EC5B255">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w:t>
                  </w:r>
                </w:p>
              </w:tc>
              <w:tc>
                <w:tcPr>
                  <w:tcW w:w="531" w:type="pct"/>
                  <w:vMerge w:val="continue"/>
                  <w:noWrap w:val="0"/>
                  <w:vAlign w:val="center"/>
                </w:tcPr>
                <w:p w14:paraId="69B0A95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43" w:type="pct"/>
                  <w:noWrap w:val="0"/>
                  <w:vAlign w:val="center"/>
                </w:tcPr>
                <w:p w14:paraId="0997DD70">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空调外机</w:t>
                  </w:r>
                </w:p>
              </w:tc>
              <w:tc>
                <w:tcPr>
                  <w:tcW w:w="515" w:type="pct"/>
                  <w:noWrap w:val="0"/>
                  <w:vAlign w:val="center"/>
                </w:tcPr>
                <w:p w14:paraId="3D41267B">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75/1</w:t>
                  </w:r>
                </w:p>
              </w:tc>
              <w:tc>
                <w:tcPr>
                  <w:tcW w:w="325" w:type="pct"/>
                  <w:vMerge w:val="continue"/>
                  <w:noWrap w:val="0"/>
                  <w:vAlign w:val="center"/>
                </w:tcPr>
                <w:p w14:paraId="04F3FB21">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352" w:type="pct"/>
                  <w:noWrap w:val="0"/>
                  <w:vAlign w:val="center"/>
                </w:tcPr>
                <w:p w14:paraId="319C0DC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-10.11</w:t>
                  </w:r>
                </w:p>
              </w:tc>
              <w:tc>
                <w:tcPr>
                  <w:tcW w:w="356" w:type="pct"/>
                  <w:noWrap w:val="0"/>
                  <w:vAlign w:val="center"/>
                </w:tcPr>
                <w:p w14:paraId="7C350C42">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12.27</w:t>
                  </w:r>
                </w:p>
              </w:tc>
              <w:tc>
                <w:tcPr>
                  <w:tcW w:w="259" w:type="pct"/>
                  <w:noWrap w:val="0"/>
                  <w:vAlign w:val="center"/>
                </w:tcPr>
                <w:p w14:paraId="7012C942">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1</w:t>
                  </w:r>
                </w:p>
              </w:tc>
              <w:tc>
                <w:tcPr>
                  <w:tcW w:w="371" w:type="pct"/>
                  <w:noWrap w:val="0"/>
                  <w:vAlign w:val="center"/>
                </w:tcPr>
                <w:p w14:paraId="2FD6B449">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644" w:type="dxa"/>
                  <w:noWrap w:val="0"/>
                  <w:vAlign w:val="center"/>
                </w:tcPr>
                <w:p w14:paraId="715000E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75</w:t>
                  </w:r>
                </w:p>
              </w:tc>
              <w:tc>
                <w:tcPr>
                  <w:tcW w:w="250" w:type="pct"/>
                  <w:vMerge w:val="continue"/>
                  <w:noWrap w:val="0"/>
                  <w:vAlign w:val="center"/>
                </w:tcPr>
                <w:p w14:paraId="62C5816E">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02" w:type="pct"/>
                  <w:noWrap w:val="0"/>
                  <w:vAlign w:val="center"/>
                </w:tcPr>
                <w:p w14:paraId="30E722EA">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15</w:t>
                  </w:r>
                </w:p>
              </w:tc>
              <w:tc>
                <w:tcPr>
                  <w:tcW w:w="340" w:type="pct"/>
                  <w:noWrap w:val="0"/>
                  <w:vAlign w:val="center"/>
                </w:tcPr>
                <w:p w14:paraId="00D12F66">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60</w:t>
                  </w:r>
                </w:p>
              </w:tc>
              <w:tc>
                <w:tcPr>
                  <w:tcW w:w="258" w:type="pct"/>
                  <w:noWrap w:val="0"/>
                  <w:vAlign w:val="center"/>
                </w:tcPr>
                <w:p w14:paraId="14A689B0">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r>
            <w:tr w14:paraId="667C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192" w:type="pct"/>
                  <w:noWrap w:val="0"/>
                  <w:vAlign w:val="center"/>
                </w:tcPr>
                <w:p w14:paraId="686F48EA">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7</w:t>
                  </w:r>
                </w:p>
              </w:tc>
              <w:tc>
                <w:tcPr>
                  <w:tcW w:w="531" w:type="pct"/>
                  <w:vMerge w:val="continue"/>
                  <w:noWrap w:val="0"/>
                  <w:vAlign w:val="center"/>
                </w:tcPr>
                <w:p w14:paraId="48FC050D">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43" w:type="pct"/>
                  <w:noWrap w:val="0"/>
                  <w:vAlign w:val="center"/>
                </w:tcPr>
                <w:p w14:paraId="6100C52A">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超纯水机</w:t>
                  </w:r>
                </w:p>
              </w:tc>
              <w:tc>
                <w:tcPr>
                  <w:tcW w:w="515" w:type="pct"/>
                  <w:noWrap w:val="0"/>
                  <w:vAlign w:val="center"/>
                </w:tcPr>
                <w:p w14:paraId="41585C9F">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70/1</w:t>
                  </w:r>
                </w:p>
              </w:tc>
              <w:tc>
                <w:tcPr>
                  <w:tcW w:w="325" w:type="pct"/>
                  <w:vMerge w:val="continue"/>
                  <w:noWrap w:val="0"/>
                  <w:vAlign w:val="center"/>
                </w:tcPr>
                <w:p w14:paraId="1E718D64">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352" w:type="pct"/>
                  <w:noWrap w:val="0"/>
                  <w:vAlign w:val="center"/>
                </w:tcPr>
                <w:p w14:paraId="51D32807">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3.4</w:t>
                  </w:r>
                </w:p>
              </w:tc>
              <w:tc>
                <w:tcPr>
                  <w:tcW w:w="356" w:type="pct"/>
                  <w:noWrap w:val="0"/>
                  <w:vAlign w:val="center"/>
                </w:tcPr>
                <w:p w14:paraId="572D6C8C">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0.7</w:t>
                  </w:r>
                </w:p>
              </w:tc>
              <w:tc>
                <w:tcPr>
                  <w:tcW w:w="259" w:type="pct"/>
                  <w:noWrap w:val="0"/>
                  <w:vAlign w:val="center"/>
                </w:tcPr>
                <w:p w14:paraId="2944E5A9">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0</w:t>
                  </w:r>
                </w:p>
              </w:tc>
              <w:tc>
                <w:tcPr>
                  <w:tcW w:w="371" w:type="pct"/>
                  <w:noWrap w:val="0"/>
                  <w:vAlign w:val="center"/>
                </w:tcPr>
                <w:p w14:paraId="2742DCA8">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c>
                <w:tcPr>
                  <w:tcW w:w="644" w:type="dxa"/>
                  <w:noWrap w:val="0"/>
                  <w:vAlign w:val="center"/>
                </w:tcPr>
                <w:p w14:paraId="40174B3A">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ind w:firstLine="0" w:firstLineChars="0"/>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70</w:t>
                  </w:r>
                </w:p>
              </w:tc>
              <w:tc>
                <w:tcPr>
                  <w:tcW w:w="250" w:type="pct"/>
                  <w:vMerge w:val="continue"/>
                  <w:noWrap w:val="0"/>
                  <w:vAlign w:val="center"/>
                </w:tcPr>
                <w:p w14:paraId="6581DA34">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p>
              </w:tc>
              <w:tc>
                <w:tcPr>
                  <w:tcW w:w="402" w:type="pct"/>
                  <w:noWrap w:val="0"/>
                  <w:vAlign w:val="center"/>
                </w:tcPr>
                <w:p w14:paraId="0F387613">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15</w:t>
                  </w:r>
                </w:p>
              </w:tc>
              <w:tc>
                <w:tcPr>
                  <w:tcW w:w="340" w:type="pct"/>
                  <w:noWrap w:val="0"/>
                  <w:vAlign w:val="center"/>
                </w:tcPr>
                <w:p w14:paraId="6FE49605">
                  <w:pPr>
                    <w:pStyle w:val="32"/>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eastAsia" w:ascii="Times New Roman" w:hAnsi="Times New Roman" w:eastAsia="宋体" w:cs="Times New Roman"/>
                      <w:b w:val="0"/>
                      <w:bCs/>
                      <w:color w:val="auto"/>
                      <w:sz w:val="18"/>
                      <w:szCs w:val="18"/>
                      <w:highlight w:val="none"/>
                      <w:lang w:val="en-US" w:eastAsia="zh-CN"/>
                    </w:rPr>
                    <w:t xml:space="preserve">55                               </w:t>
                  </w:r>
                </w:p>
              </w:tc>
              <w:tc>
                <w:tcPr>
                  <w:tcW w:w="258" w:type="pct"/>
                  <w:noWrap w:val="0"/>
                  <w:vAlign w:val="center"/>
                </w:tcPr>
                <w:p w14:paraId="7AE1A8A8">
                  <w:pPr>
                    <w:keepNext w:val="0"/>
                    <w:keepLines w:val="0"/>
                    <w:pageBreakBefore w:val="0"/>
                    <w:widowControl w:val="0"/>
                    <w:kinsoku/>
                    <w:wordWrap/>
                    <w:overflowPunct/>
                    <w:topLinePunct w:val="0"/>
                    <w:autoSpaceDE/>
                    <w:autoSpaceDN/>
                    <w:bidi w:val="0"/>
                    <w:adjustRightInd w:val="0"/>
                    <w:snapToGrid w:val="0"/>
                    <w:spacing w:before="0" w:beforeLines="0" w:afterLines="0" w:line="360" w:lineRule="exact"/>
                    <w:jc w:val="center"/>
                    <w:textAlignment w:val="baseline"/>
                    <w:rPr>
                      <w:rFonts w:hint="default" w:ascii="Times New Roman" w:hAnsi="Times New Roman" w:eastAsia="宋体" w:cs="Times New Roman"/>
                      <w:b w:val="0"/>
                      <w:bCs/>
                      <w:color w:val="auto"/>
                      <w:sz w:val="18"/>
                      <w:szCs w:val="18"/>
                      <w:highlight w:val="none"/>
                      <w:lang w:val="en-US" w:eastAsia="zh-CN"/>
                    </w:rPr>
                  </w:pPr>
                  <w:r>
                    <w:rPr>
                      <w:rFonts w:hint="default" w:ascii="Times New Roman" w:hAnsi="Times New Roman" w:eastAsia="宋体" w:cs="Times New Roman"/>
                      <w:b w:val="0"/>
                      <w:bCs/>
                      <w:color w:val="auto"/>
                      <w:sz w:val="18"/>
                      <w:szCs w:val="18"/>
                      <w:highlight w:val="none"/>
                      <w:lang w:val="en-US" w:eastAsia="zh-CN"/>
                    </w:rPr>
                    <w:t>1</w:t>
                  </w:r>
                </w:p>
              </w:tc>
            </w:tr>
          </w:tbl>
          <w:p w14:paraId="368EF5B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sz w:val="18"/>
                <w:szCs w:val="18"/>
                <w:lang w:val="en-US" w:eastAsia="zh-CN"/>
              </w:rPr>
            </w:pPr>
            <w:r>
              <w:rPr>
                <w:rFonts w:hint="default"/>
                <w:b/>
                <w:bCs/>
                <w:color w:val="auto"/>
                <w:sz w:val="18"/>
                <w:szCs w:val="18"/>
                <w:lang w:val="en-US" w:eastAsia="zh-CN"/>
              </w:rPr>
              <w:t>注：以厂区中心为相对坐标原点</w:t>
            </w:r>
          </w:p>
          <w:p w14:paraId="5D499D9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b/>
                <w:bCs/>
                <w:color w:val="auto"/>
                <w:lang w:val="en-US" w:eastAsia="zh-CN"/>
              </w:rPr>
              <w:t>3</w:t>
            </w:r>
            <w:r>
              <w:rPr>
                <w:rFonts w:hint="default" w:ascii="Times New Roman" w:hAnsi="Times New Roman" w:eastAsia="宋体" w:cs="Times New Roman"/>
                <w:b/>
                <w:bCs/>
                <w:color w:val="auto"/>
                <w:sz w:val="21"/>
                <w:szCs w:val="21"/>
                <w:lang w:val="en-US" w:eastAsia="zh-CN"/>
              </w:rPr>
              <w:t>.2噪声环境影响预测分析</w:t>
            </w:r>
          </w:p>
          <w:p w14:paraId="2B3AC0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（1）预测因子</w:t>
            </w:r>
          </w:p>
          <w:p w14:paraId="1DA56A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根据工程特征和项目地区规划，预测因子为厂界噪声LAeq。</w:t>
            </w:r>
          </w:p>
          <w:p w14:paraId="4DE6F3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（2）预测方法与预测模式</w:t>
            </w:r>
          </w:p>
          <w:p w14:paraId="0079B4D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根据建设项目的噪声排放特点以及周边地形地貌，并结合《环境影响评价技术导则 声环境》（HJ24-2021）的要求，选择点声源预测模式模拟预测声源排放噪声，来模拟预测本项目主要声源排放噪声随距离的衰减变化规律。</w:t>
            </w:r>
          </w:p>
          <w:p w14:paraId="5B18AC3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主要考虑噪声的几何发散衰减及环境因素衰减：</w:t>
            </w:r>
          </w:p>
          <w:p w14:paraId="0A27455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L2=L1-20lg（r2/r1）-ΔL</w:t>
            </w:r>
          </w:p>
          <w:p w14:paraId="49F9CE8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式中：L2——点声源在预测点产生的声压级，dB（A）；</w:t>
            </w:r>
          </w:p>
          <w:p w14:paraId="115C9DB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L1——点声源在参考点产生的声压级，dB（A）；</w:t>
            </w:r>
          </w:p>
          <w:p w14:paraId="37DBEA8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r2——预测点距声源的距离，m；</w:t>
            </w:r>
          </w:p>
          <w:p w14:paraId="43EE6E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r1——参考点距声源的距离，m；</w:t>
            </w:r>
          </w:p>
          <w:p w14:paraId="3DC5AA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ΔL——各种因素引起的衰减量（包括声屏障空气吸收等引起的衰减量），dB（A）。</w:t>
            </w:r>
          </w:p>
          <w:p w14:paraId="4483834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噪声叠加公式为：</w:t>
            </w:r>
          </w:p>
          <w:p w14:paraId="6EE4EC6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Leq=10Lg[10L1/10+10L2/10…… 10LN/10]</w:t>
            </w:r>
          </w:p>
          <w:p w14:paraId="7E3B05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式中：Leq-----噪声源噪声叠加值；</w:t>
            </w:r>
          </w:p>
          <w:p w14:paraId="61F91D7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LN-----第N个噪声源强。</w:t>
            </w:r>
          </w:p>
          <w:p w14:paraId="30D564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（3）评价标准</w:t>
            </w:r>
          </w:p>
          <w:p w14:paraId="6FAD834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厂区南侧紧邻昆澜路，因此厂区南厂界为4类声环境功能区，执行《工业企业厂界环境噪声排放标准》（GB12348-2008）4类标准；营运期厂区北厂界、西厂界、东厂界噪声执行《工业企业厂界环境噪声排放标准》（GB12348-2008）2类标准。</w:t>
            </w:r>
          </w:p>
          <w:p w14:paraId="1723DD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（4）噪声预测结果及分析</w:t>
            </w:r>
          </w:p>
          <w:p w14:paraId="5B5B132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本次预测采用EIAN20噪声预测软件进行预测，</w:t>
            </w:r>
            <w:r>
              <w:rPr>
                <w:rFonts w:hint="eastAsia" w:ascii="Times New Roman" w:hAnsi="Times New Roman" w:eastAsia="宋体" w:cs="Times New Roman"/>
                <w:color w:val="auto"/>
                <w:sz w:val="21"/>
                <w:szCs w:val="21"/>
                <w:lang w:val="en-US" w:eastAsia="zh-CN"/>
              </w:rPr>
              <w:t>本项目夜间</w:t>
            </w:r>
            <w:r>
              <w:rPr>
                <w:rFonts w:hint="default" w:ascii="Times New Roman" w:hAnsi="Times New Roman" w:eastAsia="宋体" w:cs="Times New Roman"/>
                <w:color w:val="auto"/>
                <w:sz w:val="21"/>
                <w:szCs w:val="21"/>
                <w:lang w:val="en-US" w:eastAsia="zh-CN"/>
              </w:rPr>
              <w:t>不运</w:t>
            </w:r>
            <w:r>
              <w:rPr>
                <w:rFonts w:hint="eastAsia" w:ascii="Times New Roman" w:hAnsi="Times New Roman" w:eastAsia="宋体" w:cs="Times New Roman"/>
                <w:color w:val="auto"/>
                <w:sz w:val="21"/>
                <w:szCs w:val="21"/>
                <w:lang w:val="en-US" w:eastAsia="zh-CN"/>
              </w:rPr>
              <w:t>行</w:t>
            </w:r>
            <w:r>
              <w:rPr>
                <w:rFonts w:hint="default" w:ascii="Times New Roman" w:hAnsi="Times New Roman" w:eastAsia="宋体" w:cs="Times New Roman"/>
                <w:color w:val="auto"/>
                <w:sz w:val="21"/>
                <w:szCs w:val="21"/>
                <w:lang w:val="en-US" w:eastAsia="zh-CN"/>
              </w:rPr>
              <w:t>，根据该项目噪声源有关参数及减噪措施，考虑各项减噪措施、厂房阻隔和距离衰减后得到各噪声到达厂界的衰减值，经预测，项目昼间最大值出现在厂界</w:t>
            </w:r>
            <w:r>
              <w:rPr>
                <w:rFonts w:hint="eastAsia"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lang w:val="en-US" w:eastAsia="zh-CN"/>
              </w:rPr>
              <w:t>侧</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项目噪声最大贡献值详见</w:t>
            </w:r>
            <w:r>
              <w:rPr>
                <w:rFonts w:hint="eastAsia" w:ascii="Times New Roman" w:hAnsi="Times New Roman" w:eastAsia="宋体" w:cs="Times New Roman"/>
                <w:color w:val="auto"/>
                <w:sz w:val="21"/>
                <w:szCs w:val="21"/>
                <w:lang w:val="en-US" w:eastAsia="zh-CN"/>
              </w:rPr>
              <w:t>下表。</w:t>
            </w:r>
          </w:p>
          <w:p w14:paraId="4F4CA0E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表4-15  噪声贡献值预测结果  单位：dB（A）</w:t>
            </w:r>
          </w:p>
          <w:tbl>
            <w:tblPr>
              <w:tblStyle w:val="21"/>
              <w:tblW w:w="46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1268"/>
              <w:gridCol w:w="1177"/>
              <w:gridCol w:w="1193"/>
              <w:gridCol w:w="1145"/>
              <w:gridCol w:w="1364"/>
            </w:tblGrid>
            <w:tr w14:paraId="0E9A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pct"/>
                  <w:noWrap w:val="0"/>
                  <w:vAlign w:val="center"/>
                </w:tcPr>
                <w:p w14:paraId="6F63D6A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位置</w:t>
                  </w:r>
                </w:p>
              </w:tc>
              <w:tc>
                <w:tcPr>
                  <w:tcW w:w="844" w:type="pct"/>
                  <w:noWrap w:val="0"/>
                  <w:vAlign w:val="center"/>
                </w:tcPr>
                <w:p w14:paraId="7AFCE2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X坐标（m）</w:t>
                  </w:r>
                </w:p>
              </w:tc>
              <w:tc>
                <w:tcPr>
                  <w:tcW w:w="783" w:type="pct"/>
                  <w:noWrap w:val="0"/>
                  <w:vAlign w:val="center"/>
                </w:tcPr>
                <w:p w14:paraId="3CE9A3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Y坐标（m）</w:t>
                  </w:r>
                </w:p>
              </w:tc>
              <w:tc>
                <w:tcPr>
                  <w:tcW w:w="794" w:type="pct"/>
                  <w:noWrap w:val="0"/>
                  <w:vAlign w:val="center"/>
                </w:tcPr>
                <w:p w14:paraId="7B5B8F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昼间贡献值</w:t>
                  </w:r>
                </w:p>
              </w:tc>
              <w:tc>
                <w:tcPr>
                  <w:tcW w:w="762" w:type="pct"/>
                  <w:noWrap w:val="0"/>
                  <w:vAlign w:val="center"/>
                </w:tcPr>
                <w:p w14:paraId="7F6E59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昼间标准值</w:t>
                  </w:r>
                </w:p>
              </w:tc>
              <w:tc>
                <w:tcPr>
                  <w:tcW w:w="908" w:type="pct"/>
                  <w:noWrap w:val="0"/>
                  <w:vAlign w:val="center"/>
                </w:tcPr>
                <w:p w14:paraId="3D0803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达标情况</w:t>
                  </w:r>
                </w:p>
              </w:tc>
            </w:tr>
            <w:tr w14:paraId="432F5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pct"/>
                  <w:noWrap w:val="0"/>
                  <w:vAlign w:val="center"/>
                </w:tcPr>
                <w:p w14:paraId="79DD34A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东厂界</w:t>
                  </w:r>
                </w:p>
              </w:tc>
              <w:tc>
                <w:tcPr>
                  <w:tcW w:w="844" w:type="pct"/>
                  <w:noWrap w:val="0"/>
                  <w:vAlign w:val="center"/>
                </w:tcPr>
                <w:p w14:paraId="41D43E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20.36</w:t>
                  </w:r>
                </w:p>
              </w:tc>
              <w:tc>
                <w:tcPr>
                  <w:tcW w:w="783" w:type="pct"/>
                  <w:noWrap w:val="0"/>
                  <w:vAlign w:val="center"/>
                </w:tcPr>
                <w:p w14:paraId="18120D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-8.10</w:t>
                  </w:r>
                </w:p>
              </w:tc>
              <w:tc>
                <w:tcPr>
                  <w:tcW w:w="794" w:type="pct"/>
                  <w:noWrap w:val="0"/>
                  <w:vAlign w:val="center"/>
                </w:tcPr>
                <w:p w14:paraId="4162306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40.61</w:t>
                  </w:r>
                </w:p>
              </w:tc>
              <w:tc>
                <w:tcPr>
                  <w:tcW w:w="762" w:type="pct"/>
                  <w:noWrap w:val="0"/>
                  <w:vAlign w:val="center"/>
                </w:tcPr>
                <w:p w14:paraId="5F318B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w:t>
                  </w:r>
                </w:p>
              </w:tc>
              <w:tc>
                <w:tcPr>
                  <w:tcW w:w="908" w:type="pct"/>
                  <w:noWrap w:val="0"/>
                  <w:vAlign w:val="center"/>
                </w:tcPr>
                <w:p w14:paraId="2024DC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260C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pct"/>
                  <w:noWrap w:val="0"/>
                  <w:vAlign w:val="center"/>
                </w:tcPr>
                <w:p w14:paraId="119056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南厂界</w:t>
                  </w:r>
                </w:p>
              </w:tc>
              <w:tc>
                <w:tcPr>
                  <w:tcW w:w="844" w:type="pct"/>
                  <w:noWrap w:val="0"/>
                  <w:vAlign w:val="center"/>
                </w:tcPr>
                <w:p w14:paraId="6A10F9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-2.40</w:t>
                  </w:r>
                </w:p>
              </w:tc>
              <w:tc>
                <w:tcPr>
                  <w:tcW w:w="783" w:type="pct"/>
                  <w:noWrap w:val="0"/>
                  <w:vAlign w:val="center"/>
                </w:tcPr>
                <w:p w14:paraId="0FC979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-9.50</w:t>
                  </w:r>
                </w:p>
              </w:tc>
              <w:tc>
                <w:tcPr>
                  <w:tcW w:w="794" w:type="pct"/>
                  <w:noWrap w:val="0"/>
                  <w:vAlign w:val="center"/>
                </w:tcPr>
                <w:p w14:paraId="2C9FD7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44.87</w:t>
                  </w:r>
                </w:p>
              </w:tc>
              <w:tc>
                <w:tcPr>
                  <w:tcW w:w="762" w:type="pct"/>
                  <w:noWrap w:val="0"/>
                  <w:vAlign w:val="center"/>
                </w:tcPr>
                <w:p w14:paraId="508C8F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70</w:t>
                  </w:r>
                </w:p>
              </w:tc>
              <w:tc>
                <w:tcPr>
                  <w:tcW w:w="908" w:type="pct"/>
                  <w:noWrap w:val="0"/>
                  <w:vAlign w:val="center"/>
                </w:tcPr>
                <w:p w14:paraId="35DAB4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6075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pct"/>
                  <w:noWrap w:val="0"/>
                  <w:vAlign w:val="center"/>
                </w:tcPr>
                <w:p w14:paraId="0A26B8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西厂界</w:t>
                  </w:r>
                </w:p>
              </w:tc>
              <w:tc>
                <w:tcPr>
                  <w:tcW w:w="844" w:type="pct"/>
                  <w:noWrap w:val="0"/>
                  <w:vAlign w:val="center"/>
                </w:tcPr>
                <w:p w14:paraId="62E7F2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-18.04</w:t>
                  </w:r>
                </w:p>
              </w:tc>
              <w:tc>
                <w:tcPr>
                  <w:tcW w:w="783" w:type="pct"/>
                  <w:noWrap w:val="0"/>
                  <w:vAlign w:val="center"/>
                </w:tcPr>
                <w:p w14:paraId="4CECEF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7.92</w:t>
                  </w:r>
                </w:p>
              </w:tc>
              <w:tc>
                <w:tcPr>
                  <w:tcW w:w="794" w:type="pct"/>
                  <w:noWrap w:val="0"/>
                  <w:vAlign w:val="center"/>
                </w:tcPr>
                <w:p w14:paraId="2B39C8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40.17</w:t>
                  </w:r>
                </w:p>
              </w:tc>
              <w:tc>
                <w:tcPr>
                  <w:tcW w:w="762" w:type="pct"/>
                  <w:noWrap w:val="0"/>
                  <w:vAlign w:val="center"/>
                </w:tcPr>
                <w:p w14:paraId="5F62A6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w:t>
                  </w:r>
                </w:p>
              </w:tc>
              <w:tc>
                <w:tcPr>
                  <w:tcW w:w="908" w:type="pct"/>
                  <w:noWrap w:val="0"/>
                  <w:vAlign w:val="center"/>
                </w:tcPr>
                <w:p w14:paraId="60A6BF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达标</w:t>
                  </w:r>
                </w:p>
              </w:tc>
            </w:tr>
            <w:tr w14:paraId="544D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8" w:type="pct"/>
                  <w:noWrap w:val="0"/>
                  <w:vAlign w:val="center"/>
                </w:tcPr>
                <w:p w14:paraId="47C11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北厂界</w:t>
                  </w:r>
                </w:p>
              </w:tc>
              <w:tc>
                <w:tcPr>
                  <w:tcW w:w="844" w:type="pct"/>
                  <w:noWrap w:val="0"/>
                  <w:vAlign w:val="center"/>
                </w:tcPr>
                <w:p w14:paraId="733D2F8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4.34</w:t>
                  </w:r>
                </w:p>
              </w:tc>
              <w:tc>
                <w:tcPr>
                  <w:tcW w:w="783" w:type="pct"/>
                  <w:noWrap w:val="0"/>
                  <w:vAlign w:val="center"/>
                </w:tcPr>
                <w:p w14:paraId="08F4B2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9.76</w:t>
                  </w:r>
                </w:p>
              </w:tc>
              <w:tc>
                <w:tcPr>
                  <w:tcW w:w="794" w:type="pct"/>
                  <w:noWrap w:val="0"/>
                  <w:vAlign w:val="center"/>
                </w:tcPr>
                <w:p w14:paraId="7E568C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39.37</w:t>
                  </w:r>
                </w:p>
              </w:tc>
              <w:tc>
                <w:tcPr>
                  <w:tcW w:w="762" w:type="pct"/>
                  <w:noWrap w:val="0"/>
                  <w:vAlign w:val="center"/>
                </w:tcPr>
                <w:p w14:paraId="46D6D8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60</w:t>
                  </w:r>
                </w:p>
              </w:tc>
              <w:tc>
                <w:tcPr>
                  <w:tcW w:w="908" w:type="pct"/>
                  <w:noWrap w:val="0"/>
                  <w:vAlign w:val="center"/>
                </w:tcPr>
                <w:p w14:paraId="119AC0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达标</w:t>
                  </w:r>
                </w:p>
              </w:tc>
            </w:tr>
          </w:tbl>
          <w:p w14:paraId="512C0A0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注：空间相对位置指噪声所在项目区中心为原点（0，0，0）</w:t>
            </w:r>
          </w:p>
          <w:p w14:paraId="180F495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根据预测结果，项目运营期间，北厂界、西厂界、东厂界噪声均能够达到《工业企业厂界环境噪声排放标准》（GB12348-2008）2类标准，南厂界噪声能达到《工业企业厂界环境噪声排放标准》（GB12348-2008）4类标准。项目运行噪声经过衰减后对周边影响较小。项目预测噪声等声级线图见图4-1。</w:t>
            </w:r>
          </w:p>
          <w:p w14:paraId="73FDDD0A">
            <w:pPr>
              <w:bidi w:val="0"/>
              <w:spacing w:line="360" w:lineRule="auto"/>
              <w:jc w:val="center"/>
              <w:rPr>
                <w:rFonts w:hint="default"/>
                <w:color w:val="auto"/>
                <w:lang w:val="en-US" w:eastAsia="zh-CN"/>
              </w:rPr>
            </w:pPr>
            <w:r>
              <w:rPr>
                <w:rFonts w:hint="default" w:ascii="Times New Roman" w:hAnsi="Times New Roman" w:eastAsia="宋体" w:cs="Times New Roman"/>
                <w:b/>
                <w:bCs/>
                <w:color w:val="auto"/>
                <w:sz w:val="18"/>
                <w:szCs w:val="18"/>
                <w:lang w:val="en-US" w:eastAsia="zh-CN"/>
              </w:rPr>
              <w:t>图4-1  项目噪声等声级线图</w:t>
            </w:r>
            <w:r>
              <w:rPr>
                <w:rFonts w:hint="default"/>
                <w:color w:val="auto"/>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62865</wp:posOffset>
                  </wp:positionV>
                  <wp:extent cx="5092065" cy="3623310"/>
                  <wp:effectExtent l="0" t="0" r="13335" b="15240"/>
                  <wp:wrapSquare wrapText="bothSides"/>
                  <wp:docPr id="3" name="图片 3" descr="b9650bd78f965a27e1aee47787fc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9650bd78f965a27e1aee47787fc87a"/>
                          <pic:cNvPicPr>
                            <a:picLocks noChangeAspect="1"/>
                          </pic:cNvPicPr>
                        </pic:nvPicPr>
                        <pic:blipFill>
                          <a:blip r:embed="rId22"/>
                          <a:stretch>
                            <a:fillRect/>
                          </a:stretch>
                        </pic:blipFill>
                        <pic:spPr>
                          <a:xfrm>
                            <a:off x="0" y="0"/>
                            <a:ext cx="5092065" cy="3623310"/>
                          </a:xfrm>
                          <a:prstGeom prst="rect">
                            <a:avLst/>
                          </a:prstGeom>
                        </pic:spPr>
                      </pic:pic>
                    </a:graphicData>
                  </a:graphic>
                </wp:anchor>
              </w:drawing>
            </w:r>
          </w:p>
          <w:p w14:paraId="74A2EFCD">
            <w:pPr>
              <w:spacing w:line="360" w:lineRule="auto"/>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3.3</w:t>
            </w:r>
            <w:r>
              <w:rPr>
                <w:rFonts w:hint="default" w:ascii="Times New Roman" w:hAnsi="Times New Roman" w:eastAsia="宋体" w:cs="Times New Roman"/>
                <w:b/>
                <w:color w:val="auto"/>
                <w:sz w:val="21"/>
                <w:szCs w:val="21"/>
              </w:rPr>
              <w:t>运营期噪声污染防治措施</w:t>
            </w:r>
          </w:p>
          <w:p w14:paraId="4D7584A6">
            <w:pPr>
              <w:pageBreakBefore w:val="0"/>
              <w:bidi w:val="0"/>
              <w:adjustRightInd w:val="0"/>
              <w:snapToGrid w:val="0"/>
              <w:spacing w:beforeAutospacing="0" w:afterAutospacing="0" w:line="360" w:lineRule="auto"/>
              <w:ind w:left="0" w:leftChars="0" w:right="0" w:rightChars="0" w:firstLine="411" w:firstLineChars="196"/>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为减轻项目噪声对周围环境的影响，本项目采取的噪声治理措施如下：</w:t>
            </w:r>
          </w:p>
          <w:p w14:paraId="4C416AC4">
            <w:pPr>
              <w:pageBreakBefore w:val="0"/>
              <w:bidi w:val="0"/>
              <w:adjustRightInd w:val="0"/>
              <w:snapToGrid w:val="0"/>
              <w:spacing w:beforeAutospacing="0" w:afterAutospacing="0" w:line="360" w:lineRule="auto"/>
              <w:ind w:left="0" w:leftChars="0" w:right="0" w:rightChars="0" w:firstLine="411" w:firstLineChars="196"/>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1</w:t>
            </w:r>
            <w:r>
              <w:rPr>
                <w:rFonts w:hint="eastAsia"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风机设减震垫，风管设软连接，对设备进行有效地减震、隔声处理；</w:t>
            </w:r>
          </w:p>
          <w:p w14:paraId="232D30DA">
            <w:pPr>
              <w:pageBreakBefore w:val="0"/>
              <w:bidi w:val="0"/>
              <w:adjustRightInd w:val="0"/>
              <w:snapToGrid w:val="0"/>
              <w:spacing w:beforeAutospacing="0" w:afterAutospacing="0" w:line="360" w:lineRule="auto"/>
              <w:ind w:left="0" w:leftChars="0" w:right="0" w:rightChars="0" w:firstLine="411" w:firstLineChars="196"/>
              <w:textAlignment w:val="auto"/>
              <w:rPr>
                <w:rFonts w:hint="default" w:ascii="Times New Roman" w:hAnsi="Times New Roman" w:eastAsia="宋体" w:cs="Times New Roman"/>
                <w:b/>
                <w:bCs/>
                <w:color w:val="auto"/>
                <w:sz w:val="21"/>
                <w:szCs w:val="21"/>
                <w:lang w:val="en-US" w:eastAsia="zh-CN"/>
              </w:rPr>
            </w:pP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尽量选用低噪音设备，</w:t>
            </w:r>
            <w:r>
              <w:rPr>
                <w:rFonts w:hint="default" w:ascii="Times New Roman" w:hAnsi="Times New Roman" w:eastAsia="宋体" w:cs="Times New Roman"/>
                <w:color w:val="auto"/>
                <w:sz w:val="21"/>
                <w:szCs w:val="21"/>
                <w:highlight w:val="none"/>
              </w:rPr>
              <w:t>营运过程中应加强对设备的保养、检修，保证设备处于良好的运转状态，减少机械振动和摩擦产生的噪声，防止共振</w:t>
            </w:r>
            <w:r>
              <w:rPr>
                <w:rFonts w:hint="default" w:ascii="Times New Roman" w:hAnsi="Times New Roman" w:eastAsia="宋体" w:cs="Times New Roman"/>
                <w:color w:val="auto"/>
                <w:kern w:val="0"/>
                <w:sz w:val="21"/>
                <w:szCs w:val="21"/>
              </w:rPr>
              <w:t>。</w:t>
            </w:r>
          </w:p>
          <w:p w14:paraId="29C23C2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3.4</w:t>
            </w:r>
            <w:r>
              <w:rPr>
                <w:rFonts w:hint="default" w:ascii="Times New Roman" w:hAnsi="Times New Roman" w:eastAsia="宋体" w:cs="Times New Roman"/>
                <w:b/>
                <w:bCs/>
                <w:color w:val="auto"/>
                <w:sz w:val="21"/>
                <w:szCs w:val="21"/>
                <w:lang w:val="en-US" w:eastAsia="zh-CN"/>
              </w:rPr>
              <w:t>监测计划</w:t>
            </w:r>
          </w:p>
          <w:p w14:paraId="103B4F14">
            <w:pPr>
              <w:adjustRightInd w:val="0"/>
              <w:snapToGrid w:val="0"/>
              <w:spacing w:line="360" w:lineRule="auto"/>
              <w:ind w:firstLine="525" w:firstLineChars="25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根据《排污单位自行监测技术指南 总则》（HJ819-2017）</w:t>
            </w:r>
            <w:r>
              <w:rPr>
                <w:rFonts w:hint="default" w:ascii="Times New Roman" w:hAnsi="Times New Roman" w:eastAsia="宋体" w:cs="Times New Roman"/>
                <w:color w:val="auto"/>
                <w:sz w:val="21"/>
                <w:szCs w:val="21"/>
                <w:lang w:val="en-US" w:eastAsia="zh-CN"/>
              </w:rPr>
              <w:t>，本项目噪声自行监测计划如下表所示：</w:t>
            </w:r>
          </w:p>
          <w:p w14:paraId="57D38AD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bCs/>
                <w:color w:val="auto"/>
                <w:sz w:val="18"/>
                <w:szCs w:val="18"/>
                <w:lang w:val="en-US" w:eastAsia="zh-CN"/>
              </w:rPr>
            </w:pPr>
            <w:r>
              <w:rPr>
                <w:rFonts w:hint="default" w:ascii="Times New Roman" w:hAnsi="Times New Roman" w:eastAsia="宋体" w:cs="Times New Roman"/>
                <w:b/>
                <w:bCs/>
                <w:color w:val="auto"/>
                <w:sz w:val="18"/>
                <w:szCs w:val="18"/>
                <w:lang w:val="en-US" w:eastAsia="zh-CN"/>
              </w:rPr>
              <w:t>表</w:t>
            </w:r>
            <w:r>
              <w:rPr>
                <w:rFonts w:hint="eastAsia" w:ascii="Times New Roman" w:hAnsi="Times New Roman" w:eastAsia="宋体" w:cs="Times New Roman"/>
                <w:b/>
                <w:bCs/>
                <w:color w:val="auto"/>
                <w:sz w:val="18"/>
                <w:szCs w:val="18"/>
                <w:lang w:val="en-US" w:eastAsia="zh-CN"/>
              </w:rPr>
              <w:t>4-1</w:t>
            </w:r>
            <w:r>
              <w:rPr>
                <w:rFonts w:hint="eastAsia" w:cs="Times New Roman"/>
                <w:b/>
                <w:bCs/>
                <w:color w:val="auto"/>
                <w:sz w:val="18"/>
                <w:szCs w:val="18"/>
                <w:lang w:val="en-US" w:eastAsia="zh-CN"/>
              </w:rPr>
              <w:t>6</w:t>
            </w:r>
            <w:r>
              <w:rPr>
                <w:rFonts w:hint="eastAsia" w:ascii="Times New Roman" w:hAnsi="Times New Roman" w:eastAsia="宋体" w:cs="Times New Roman"/>
                <w:b/>
                <w:bCs/>
                <w:color w:val="auto"/>
                <w:sz w:val="18"/>
                <w:szCs w:val="18"/>
                <w:lang w:val="en-US" w:eastAsia="zh-CN"/>
              </w:rPr>
              <w:t xml:space="preserve">  </w:t>
            </w:r>
            <w:r>
              <w:rPr>
                <w:rFonts w:hint="default" w:ascii="Times New Roman" w:hAnsi="Times New Roman" w:eastAsia="宋体" w:cs="Times New Roman"/>
                <w:b/>
                <w:bCs/>
                <w:color w:val="auto"/>
                <w:sz w:val="18"/>
                <w:szCs w:val="18"/>
                <w:lang w:val="en-US" w:eastAsia="zh-CN"/>
              </w:rPr>
              <w:t>本项目噪声监测点位、监测指标及最低监测频次一览表</w:t>
            </w:r>
          </w:p>
          <w:tbl>
            <w:tblPr>
              <w:tblStyle w:val="20"/>
              <w:tblW w:w="48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1"/>
              <w:gridCol w:w="1875"/>
              <w:gridCol w:w="1236"/>
              <w:gridCol w:w="978"/>
              <w:gridCol w:w="2801"/>
            </w:tblGrid>
            <w:tr w14:paraId="67E3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1" w:type="pct"/>
                  <w:noWrap w:val="0"/>
                  <w:vAlign w:val="center"/>
                </w:tcPr>
                <w:p w14:paraId="4970641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kern w:val="0"/>
                      <w:sz w:val="18"/>
                      <w:szCs w:val="18"/>
                      <w:u w:val="none"/>
                      <w:lang w:val="en-US" w:eastAsia="zh-CN" w:bidi="ar"/>
                    </w:rPr>
                  </w:pPr>
                  <w:r>
                    <w:rPr>
                      <w:rFonts w:hint="default" w:ascii="Times New Roman" w:hAnsi="Times New Roman" w:eastAsia="宋体" w:cs="Times New Roman"/>
                      <w:b/>
                      <w:bCs/>
                      <w:i w:val="0"/>
                      <w:color w:val="auto"/>
                      <w:kern w:val="0"/>
                      <w:sz w:val="18"/>
                      <w:szCs w:val="18"/>
                      <w:u w:val="none"/>
                      <w:lang w:val="en-US" w:eastAsia="zh-CN" w:bidi="ar"/>
                    </w:rPr>
                    <w:t>监测项目</w:t>
                  </w:r>
                </w:p>
              </w:tc>
              <w:tc>
                <w:tcPr>
                  <w:tcW w:w="1207" w:type="pct"/>
                  <w:noWrap w:val="0"/>
                  <w:vAlign w:val="center"/>
                </w:tcPr>
                <w:p w14:paraId="0D5D470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kern w:val="0"/>
                      <w:sz w:val="18"/>
                      <w:szCs w:val="18"/>
                      <w:u w:val="none"/>
                      <w:lang w:val="en-US" w:eastAsia="zh-CN" w:bidi="ar"/>
                    </w:rPr>
                  </w:pPr>
                  <w:r>
                    <w:rPr>
                      <w:rFonts w:hint="default" w:ascii="Times New Roman" w:hAnsi="Times New Roman" w:eastAsia="宋体" w:cs="Times New Roman"/>
                      <w:b/>
                      <w:bCs/>
                      <w:i w:val="0"/>
                      <w:color w:val="auto"/>
                      <w:kern w:val="0"/>
                      <w:sz w:val="18"/>
                      <w:szCs w:val="18"/>
                      <w:u w:val="none"/>
                      <w:lang w:val="en-US" w:eastAsia="zh-CN" w:bidi="ar"/>
                    </w:rPr>
                    <w:t>监测点位</w:t>
                  </w:r>
                </w:p>
              </w:tc>
              <w:tc>
                <w:tcPr>
                  <w:tcW w:w="796" w:type="pct"/>
                  <w:noWrap w:val="0"/>
                  <w:vAlign w:val="center"/>
                </w:tcPr>
                <w:p w14:paraId="743AAD6B">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kern w:val="0"/>
                      <w:sz w:val="18"/>
                      <w:szCs w:val="18"/>
                      <w:u w:val="none"/>
                      <w:lang w:val="en-US" w:eastAsia="zh-CN" w:bidi="ar"/>
                    </w:rPr>
                  </w:pPr>
                  <w:r>
                    <w:rPr>
                      <w:rFonts w:hint="default" w:ascii="Times New Roman" w:hAnsi="Times New Roman" w:eastAsia="宋体" w:cs="Times New Roman"/>
                      <w:b/>
                      <w:bCs/>
                      <w:i w:val="0"/>
                      <w:color w:val="auto"/>
                      <w:kern w:val="0"/>
                      <w:sz w:val="18"/>
                      <w:szCs w:val="18"/>
                      <w:u w:val="none"/>
                      <w:lang w:val="en-US" w:eastAsia="zh-CN" w:bidi="ar"/>
                    </w:rPr>
                    <w:t>监测指标</w:t>
                  </w:r>
                </w:p>
              </w:tc>
              <w:tc>
                <w:tcPr>
                  <w:tcW w:w="630" w:type="pct"/>
                  <w:noWrap w:val="0"/>
                  <w:vAlign w:val="center"/>
                </w:tcPr>
                <w:p w14:paraId="71B899F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kern w:val="0"/>
                      <w:sz w:val="18"/>
                      <w:szCs w:val="18"/>
                      <w:u w:val="none"/>
                      <w:lang w:val="en-US" w:eastAsia="zh-CN" w:bidi="ar"/>
                    </w:rPr>
                  </w:pPr>
                  <w:r>
                    <w:rPr>
                      <w:rFonts w:hint="default" w:ascii="Times New Roman" w:hAnsi="Times New Roman" w:eastAsia="宋体" w:cs="Times New Roman"/>
                      <w:b/>
                      <w:bCs/>
                      <w:i w:val="0"/>
                      <w:color w:val="auto"/>
                      <w:kern w:val="0"/>
                      <w:sz w:val="18"/>
                      <w:szCs w:val="18"/>
                      <w:u w:val="none"/>
                      <w:lang w:val="en-US" w:eastAsia="zh-CN" w:bidi="ar"/>
                    </w:rPr>
                    <w:t>监测频次</w:t>
                  </w:r>
                </w:p>
              </w:tc>
              <w:tc>
                <w:tcPr>
                  <w:tcW w:w="1804" w:type="pct"/>
                  <w:noWrap w:val="0"/>
                  <w:vAlign w:val="center"/>
                </w:tcPr>
                <w:p w14:paraId="537AE7E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b/>
                      <w:bCs/>
                      <w:i w:val="0"/>
                      <w:color w:val="auto"/>
                      <w:kern w:val="0"/>
                      <w:sz w:val="18"/>
                      <w:szCs w:val="18"/>
                      <w:u w:val="none"/>
                      <w:lang w:val="en-US" w:eastAsia="zh-CN" w:bidi="ar"/>
                    </w:rPr>
                  </w:pPr>
                  <w:r>
                    <w:rPr>
                      <w:rFonts w:hint="default" w:ascii="Times New Roman" w:hAnsi="Times New Roman" w:eastAsia="宋体" w:cs="Times New Roman"/>
                      <w:b/>
                      <w:bCs/>
                      <w:i w:val="0"/>
                      <w:color w:val="auto"/>
                      <w:kern w:val="0"/>
                      <w:sz w:val="18"/>
                      <w:szCs w:val="18"/>
                      <w:u w:val="none"/>
                      <w:lang w:val="en-US" w:eastAsia="zh-CN" w:bidi="ar"/>
                    </w:rPr>
                    <w:t>执行排放标准</w:t>
                  </w:r>
                </w:p>
              </w:tc>
            </w:tr>
            <w:tr w14:paraId="6E03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1" w:type="pct"/>
                  <w:vMerge w:val="restart"/>
                  <w:noWrap w:val="0"/>
                  <w:vAlign w:val="center"/>
                </w:tcPr>
                <w:p w14:paraId="087A4EE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噪声</w:t>
                  </w:r>
                </w:p>
              </w:tc>
              <w:tc>
                <w:tcPr>
                  <w:tcW w:w="1207" w:type="pct"/>
                  <w:noWrap w:val="0"/>
                  <w:vAlign w:val="center"/>
                </w:tcPr>
                <w:p w14:paraId="599FE0B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东、西、北厂界外1m处</w:t>
                  </w:r>
                </w:p>
              </w:tc>
              <w:tc>
                <w:tcPr>
                  <w:tcW w:w="796" w:type="pct"/>
                  <w:vMerge w:val="restart"/>
                  <w:noWrap w:val="0"/>
                  <w:vAlign w:val="center"/>
                </w:tcPr>
                <w:p w14:paraId="27C402F3">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等效连续声级</w:t>
                  </w:r>
                  <w:r>
                    <w:rPr>
                      <w:rFonts w:hint="default" w:ascii="Times New Roman" w:hAnsi="Times New Roman" w:eastAsia="宋体" w:cs="Times New Roman"/>
                      <w:color w:val="auto"/>
                      <w:spacing w:val="4"/>
                      <w:sz w:val="18"/>
                      <w:szCs w:val="18"/>
                    </w:rPr>
                    <w:t>Leq（A）</w:t>
                  </w:r>
                </w:p>
              </w:tc>
              <w:tc>
                <w:tcPr>
                  <w:tcW w:w="630" w:type="pct"/>
                  <w:vMerge w:val="restart"/>
                  <w:noWrap w:val="0"/>
                  <w:vAlign w:val="center"/>
                </w:tcPr>
                <w:p w14:paraId="3400DA5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1次/季度</w:t>
                  </w:r>
                </w:p>
              </w:tc>
              <w:tc>
                <w:tcPr>
                  <w:tcW w:w="1804" w:type="pct"/>
                  <w:noWrap w:val="0"/>
                  <w:vAlign w:val="center"/>
                </w:tcPr>
                <w:p w14:paraId="771E117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color w:val="auto"/>
                      <w:sz w:val="18"/>
                      <w:szCs w:val="18"/>
                    </w:rPr>
                    <w:t>《工业企业厂界环境噪声排放标准》（GB12348-2008）</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类标准限值</w:t>
                  </w:r>
                </w:p>
              </w:tc>
            </w:tr>
            <w:tr w14:paraId="264D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61" w:type="pct"/>
                  <w:vMerge w:val="continue"/>
                  <w:noWrap w:val="0"/>
                  <w:vAlign w:val="center"/>
                </w:tcPr>
                <w:p w14:paraId="7348A5A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1207" w:type="pct"/>
                  <w:noWrap w:val="0"/>
                  <w:vAlign w:val="center"/>
                </w:tcPr>
                <w:p w14:paraId="6E1953C5">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i w:val="0"/>
                      <w:color w:val="auto"/>
                      <w:kern w:val="0"/>
                      <w:sz w:val="18"/>
                      <w:szCs w:val="18"/>
                      <w:u w:val="none"/>
                      <w:lang w:val="en-US" w:eastAsia="zh-CN" w:bidi="ar"/>
                    </w:rPr>
                    <w:t>南厂界外1m处</w:t>
                  </w:r>
                </w:p>
              </w:tc>
              <w:tc>
                <w:tcPr>
                  <w:tcW w:w="796" w:type="pct"/>
                  <w:vMerge w:val="continue"/>
                  <w:noWrap w:val="0"/>
                  <w:vAlign w:val="center"/>
                </w:tcPr>
                <w:p w14:paraId="103C093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630" w:type="pct"/>
                  <w:vMerge w:val="continue"/>
                  <w:noWrap w:val="0"/>
                  <w:vAlign w:val="center"/>
                </w:tcPr>
                <w:p w14:paraId="0AC879B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kern w:val="0"/>
                      <w:sz w:val="18"/>
                      <w:szCs w:val="18"/>
                      <w:u w:val="none"/>
                      <w:lang w:val="en-US" w:eastAsia="zh-CN" w:bidi="ar"/>
                    </w:rPr>
                  </w:pPr>
                </w:p>
              </w:tc>
              <w:tc>
                <w:tcPr>
                  <w:tcW w:w="1804" w:type="pct"/>
                  <w:noWrap w:val="0"/>
                  <w:vAlign w:val="center"/>
                </w:tcPr>
                <w:p w14:paraId="4DDFFC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default" w:ascii="Times New Roman" w:hAnsi="Times New Roman" w:eastAsia="宋体" w:cs="Times New Roman"/>
                      <w:i w:val="0"/>
                      <w:color w:val="auto"/>
                      <w:kern w:val="0"/>
                      <w:sz w:val="18"/>
                      <w:szCs w:val="18"/>
                      <w:u w:val="none"/>
                      <w:lang w:val="en-US" w:eastAsia="zh-CN" w:bidi="ar"/>
                    </w:rPr>
                  </w:pPr>
                  <w:r>
                    <w:rPr>
                      <w:rFonts w:hint="default" w:ascii="Times New Roman" w:hAnsi="Times New Roman" w:eastAsia="宋体" w:cs="Times New Roman"/>
                      <w:color w:val="auto"/>
                      <w:sz w:val="18"/>
                      <w:szCs w:val="18"/>
                    </w:rPr>
                    <w:t>《工业企业厂界环境噪声排放标准》（GB12348-2008）</w:t>
                  </w:r>
                  <w:r>
                    <w:rPr>
                      <w:rFonts w:hint="default" w:ascii="Times New Roman" w:hAnsi="Times New Roman" w:eastAsia="宋体" w:cs="Times New Roman"/>
                      <w:color w:val="auto"/>
                      <w:sz w:val="18"/>
                      <w:szCs w:val="18"/>
                      <w:lang w:val="en-US" w:eastAsia="zh-CN"/>
                    </w:rPr>
                    <w:t>4</w:t>
                  </w:r>
                  <w:r>
                    <w:rPr>
                      <w:rFonts w:hint="default" w:ascii="Times New Roman" w:hAnsi="Times New Roman" w:eastAsia="宋体" w:cs="Times New Roman"/>
                      <w:color w:val="auto"/>
                      <w:sz w:val="18"/>
                      <w:szCs w:val="18"/>
                    </w:rPr>
                    <w:t>类标准限值</w:t>
                  </w:r>
                </w:p>
              </w:tc>
            </w:tr>
          </w:tbl>
          <w:p w14:paraId="3BF433C6">
            <w:pPr>
              <w:pStyle w:val="19"/>
              <w:keepNext w:val="0"/>
              <w:keepLines w:val="0"/>
              <w:pageBreakBefore w:val="0"/>
              <w:kinsoku/>
              <w:wordWrap/>
              <w:overflowPunct/>
              <w:topLinePunct w:val="0"/>
              <w:autoSpaceDE/>
              <w:autoSpaceDN/>
              <w:bidi w:val="0"/>
              <w:adjustRightInd w:val="0"/>
              <w:snapToGrid w:val="0"/>
              <w:spacing w:after="0" w:line="360" w:lineRule="auto"/>
              <w:ind w:left="0" w:leftChars="0" w:firstLine="0" w:firstLineChars="0"/>
              <w:jc w:val="both"/>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4固体废物</w:t>
            </w:r>
          </w:p>
          <w:p w14:paraId="369E3971">
            <w:pPr>
              <w:adjustRightInd w:val="0"/>
              <w:snapToGrid w:val="0"/>
              <w:spacing w:line="360" w:lineRule="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4.1固废产生处置情况</w:t>
            </w:r>
          </w:p>
          <w:p w14:paraId="2B9B426B">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项目固体废弃物主要为办公生活垃圾、实验室一般固废和实验室产生的危险废物。</w:t>
            </w:r>
          </w:p>
          <w:p w14:paraId="51A490E4">
            <w:pPr>
              <w:adjustRightInd w:val="0"/>
              <w:snapToGrid w:val="0"/>
              <w:spacing w:line="360" w:lineRule="auto"/>
              <w:ind w:firstLine="420" w:firstLineChars="200"/>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（1）生活垃圾</w:t>
            </w:r>
          </w:p>
          <w:p w14:paraId="39BC6EA6">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劳动</w:t>
            </w:r>
            <w:r>
              <w:rPr>
                <w:rFonts w:hint="default" w:ascii="Times New Roman" w:hAnsi="Times New Roman" w:eastAsia="宋体" w:cs="Times New Roman"/>
                <w:color w:val="auto"/>
                <w:sz w:val="21"/>
                <w:szCs w:val="21"/>
              </w:rPr>
              <w:t>定员</w:t>
            </w:r>
            <w:r>
              <w:rPr>
                <w:rFonts w:hint="eastAsia" w:ascii="Times New Roman" w:hAnsi="Times New Roman" w:eastAsia="宋体" w:cs="Times New Roman"/>
                <w:color w:val="auto"/>
                <w:sz w:val="21"/>
                <w:szCs w:val="21"/>
                <w:lang w:val="en-US" w:eastAsia="zh-CN"/>
              </w:rPr>
              <w:t>11</w:t>
            </w:r>
            <w:r>
              <w:rPr>
                <w:rFonts w:hint="default" w:ascii="Times New Roman" w:hAnsi="Times New Roman" w:eastAsia="宋体" w:cs="Times New Roman"/>
                <w:color w:val="auto"/>
                <w:sz w:val="21"/>
                <w:szCs w:val="21"/>
              </w:rPr>
              <w:t>人，</w:t>
            </w:r>
            <w:r>
              <w:rPr>
                <w:rFonts w:hint="eastAsia" w:ascii="Times New Roman" w:hAnsi="Times New Roman" w:eastAsia="宋体" w:cs="Times New Roman"/>
                <w:color w:val="auto"/>
                <w:sz w:val="21"/>
                <w:szCs w:val="21"/>
                <w:lang w:val="en-US" w:eastAsia="zh-CN"/>
              </w:rPr>
              <w:t>均不在厂区食宿，</w:t>
            </w:r>
            <w:r>
              <w:rPr>
                <w:rFonts w:hint="default" w:ascii="Times New Roman" w:hAnsi="Times New Roman" w:eastAsia="宋体" w:cs="Times New Roman"/>
                <w:color w:val="auto"/>
                <w:sz w:val="21"/>
                <w:szCs w:val="21"/>
              </w:rPr>
              <w:t>生活垃圾产生量</w:t>
            </w:r>
            <w:r>
              <w:rPr>
                <w:rFonts w:hint="eastAsia" w:ascii="Times New Roman" w:hAnsi="Times New Roman" w:eastAsia="宋体" w:cs="Times New Roman"/>
                <w:color w:val="auto"/>
                <w:sz w:val="21"/>
                <w:szCs w:val="21"/>
                <w:lang w:val="en-US" w:eastAsia="zh-CN"/>
              </w:rPr>
              <w:t>按</w:t>
            </w: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kg/人·d，则项目</w:t>
            </w:r>
            <w:r>
              <w:rPr>
                <w:rFonts w:hint="eastAsia" w:ascii="Times New Roman" w:hAnsi="Times New Roman" w:eastAsia="宋体" w:cs="Times New Roman"/>
                <w:color w:val="auto"/>
                <w:sz w:val="21"/>
                <w:szCs w:val="21"/>
                <w:lang w:val="en-US" w:eastAsia="zh-CN"/>
              </w:rPr>
              <w:t>区生活垃圾产生</w:t>
            </w:r>
            <w:r>
              <w:rPr>
                <w:rFonts w:hint="default" w:ascii="Times New Roman" w:hAnsi="Times New Roman" w:eastAsia="宋体" w:cs="Times New Roman"/>
                <w:color w:val="auto"/>
                <w:sz w:val="21"/>
                <w:szCs w:val="21"/>
              </w:rPr>
              <w:t>量为</w:t>
            </w:r>
            <w:r>
              <w:rPr>
                <w:rFonts w:hint="eastAsia" w:ascii="Times New Roman" w:hAnsi="Times New Roman" w:eastAsia="宋体" w:cs="Times New Roman"/>
                <w:color w:val="auto"/>
                <w:sz w:val="21"/>
                <w:szCs w:val="21"/>
                <w:lang w:val="en-US" w:eastAsia="zh-CN"/>
              </w:rPr>
              <w:t>5.5</w:t>
            </w:r>
            <w:r>
              <w:rPr>
                <w:rFonts w:hint="default" w:ascii="Times New Roman" w:hAnsi="Times New Roman" w:eastAsia="宋体" w:cs="Times New Roman"/>
                <w:color w:val="auto"/>
                <w:sz w:val="21"/>
                <w:szCs w:val="21"/>
              </w:rPr>
              <w:t>kg</w:t>
            </w:r>
            <w:r>
              <w:rPr>
                <w:rFonts w:hint="eastAsia" w:ascii="Times New Roman" w:hAnsi="Times New Roman" w:eastAsia="宋体" w:cs="Times New Roman"/>
                <w:color w:val="auto"/>
                <w:sz w:val="21"/>
                <w:szCs w:val="21"/>
                <w:lang w:val="en-US" w:eastAsia="zh-CN"/>
              </w:rPr>
              <w:t>/d</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1.375</w:t>
            </w:r>
            <w:r>
              <w:rPr>
                <w:rFonts w:hint="default" w:ascii="Times New Roman" w:hAnsi="Times New Roman" w:eastAsia="宋体" w:cs="Times New Roman"/>
                <w:color w:val="auto"/>
                <w:sz w:val="21"/>
                <w:szCs w:val="21"/>
              </w:rPr>
              <w:t>t</w:t>
            </w:r>
            <w:r>
              <w:rPr>
                <w:rFonts w:hint="eastAsia" w:ascii="Times New Roman" w:hAnsi="Times New Roman" w:eastAsia="宋体" w:cs="Times New Roman"/>
                <w:color w:val="auto"/>
                <w:sz w:val="21"/>
                <w:szCs w:val="21"/>
                <w:lang w:val="en-US" w:eastAsia="zh-CN"/>
              </w:rPr>
              <w:t>/a</w:t>
            </w:r>
            <w:r>
              <w:rPr>
                <w:rFonts w:hint="default" w:ascii="Times New Roman" w:hAnsi="Times New Roman" w:eastAsia="宋体" w:cs="Times New Roman"/>
                <w:color w:val="auto"/>
                <w:sz w:val="21"/>
                <w:szCs w:val="21"/>
              </w:rPr>
              <w:t>，项目区内设置垃圾桶，并由专职人员每天定时清扫和收集至项目所处区域垃圾集中收集点，后由环卫部门清运处理，日产日清。</w:t>
            </w:r>
          </w:p>
          <w:p w14:paraId="348CE3C7">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（2）实验室一般固废</w:t>
            </w:r>
          </w:p>
          <w:p w14:paraId="462C037C">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①破碎玻璃、废包装品</w:t>
            </w:r>
          </w:p>
          <w:p w14:paraId="5F34AC56">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根据项目实际运行情况，检测过程中产生的不含危险化学品的破碎玻璃、一般废包装品共计约0.</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t/a，进行分类收集、分类处理，可回收部分卖给废品收购站进行回收利用，不可回收部分同生活垃圾一起处理。</w:t>
            </w:r>
          </w:p>
          <w:p w14:paraId="3D9E923C">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②废培养基</w:t>
            </w:r>
          </w:p>
          <w:p w14:paraId="1AF9BF6B">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项目在进行样品的微生物指标检验时，会产生少量的废培养基，约为0</w:t>
            </w:r>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kg/d，即0.1</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t/a，经统一收集并用立式高温蒸汽灭菌锅进行灭菌灭活处理后，同生活垃圾一起处理。</w:t>
            </w:r>
          </w:p>
          <w:p w14:paraId="148CB7E0">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w:t>
            </w:r>
            <w:r>
              <w:rPr>
                <w:rFonts w:hint="eastAsia" w:ascii="Times New Roman" w:hAnsi="Times New Roman" w:eastAsia="宋体" w:cs="Times New Roman"/>
                <w:color w:val="auto"/>
                <w:sz w:val="21"/>
                <w:szCs w:val="21"/>
                <w:lang w:val="en-US" w:eastAsia="zh-CN"/>
              </w:rPr>
              <w:t>超</w:t>
            </w:r>
            <w:r>
              <w:rPr>
                <w:rFonts w:hint="default" w:ascii="Times New Roman" w:hAnsi="Times New Roman" w:eastAsia="宋体" w:cs="Times New Roman"/>
                <w:color w:val="auto"/>
                <w:sz w:val="21"/>
                <w:szCs w:val="21"/>
              </w:rPr>
              <w:t>纯水机设备更换的废过滤膜、废活性炭</w:t>
            </w:r>
          </w:p>
          <w:p w14:paraId="619B0E1D">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w:t>
            </w:r>
            <w:r>
              <w:rPr>
                <w:rFonts w:hint="eastAsia" w:ascii="Times New Roman" w:hAnsi="Times New Roman" w:eastAsia="宋体" w:cs="Times New Roman"/>
                <w:color w:val="auto"/>
                <w:sz w:val="21"/>
                <w:szCs w:val="21"/>
                <w:lang w:val="en-US" w:eastAsia="zh-CN"/>
              </w:rPr>
              <w:t>建设单位介绍</w:t>
            </w:r>
            <w:r>
              <w:rPr>
                <w:rFonts w:hint="default" w:ascii="Times New Roman" w:hAnsi="Times New Roman" w:eastAsia="宋体" w:cs="Times New Roman"/>
                <w:color w:val="auto"/>
                <w:sz w:val="21"/>
                <w:szCs w:val="21"/>
              </w:rPr>
              <w:t>，用于制定纯水的设备，根据其工艺，利用RO膜、活性炭进行净化，</w:t>
            </w:r>
            <w:r>
              <w:rPr>
                <w:rFonts w:hint="eastAsia" w:ascii="Times New Roman" w:hAnsi="Times New Roman" w:eastAsia="宋体" w:cs="Times New Roman"/>
                <w:color w:val="auto"/>
                <w:sz w:val="21"/>
                <w:szCs w:val="21"/>
                <w:lang w:val="en-US" w:eastAsia="zh-CN"/>
              </w:rPr>
              <w:t>RO膜</w:t>
            </w:r>
            <w:r>
              <w:rPr>
                <w:rFonts w:hint="default" w:ascii="Times New Roman" w:hAnsi="Times New Roman" w:eastAsia="宋体" w:cs="Times New Roman"/>
                <w:color w:val="auto"/>
                <w:sz w:val="21"/>
                <w:szCs w:val="21"/>
              </w:rPr>
              <w:t>每半年更换一次，经查阅《国家危险废物名录》(2025年版)可知，项目制备纯化水产生的废过滤膜、废活性炭不属于危险废物，本环评判定为一般固体废物，产生量约为0.0</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t</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a，更换下来的废过滤膜、废活性炭</w:t>
            </w:r>
            <w:r>
              <w:rPr>
                <w:rFonts w:hint="eastAsia" w:ascii="Times New Roman" w:hAnsi="Times New Roman" w:eastAsia="宋体" w:cs="Times New Roman"/>
                <w:color w:val="auto"/>
                <w:sz w:val="21"/>
                <w:szCs w:val="21"/>
                <w:lang w:val="en-US" w:eastAsia="zh-CN"/>
              </w:rPr>
              <w:t>交由</w:t>
            </w:r>
            <w:r>
              <w:rPr>
                <w:rFonts w:hint="default" w:ascii="Times New Roman" w:hAnsi="Times New Roman" w:eastAsia="宋体" w:cs="Times New Roman"/>
                <w:color w:val="auto"/>
                <w:sz w:val="21"/>
                <w:szCs w:val="21"/>
              </w:rPr>
              <w:t>更换</w:t>
            </w:r>
            <w:r>
              <w:rPr>
                <w:rFonts w:hint="eastAsia" w:ascii="Times New Roman" w:hAnsi="Times New Roman" w:eastAsia="宋体" w:cs="Times New Roman"/>
                <w:color w:val="auto"/>
                <w:sz w:val="21"/>
                <w:szCs w:val="21"/>
                <w:lang w:val="en-US" w:eastAsia="zh-CN"/>
              </w:rPr>
              <w:t>厂家直接回收</w:t>
            </w:r>
            <w:r>
              <w:rPr>
                <w:rFonts w:hint="default" w:ascii="Times New Roman" w:hAnsi="Times New Roman" w:eastAsia="宋体" w:cs="Times New Roman"/>
                <w:color w:val="auto"/>
                <w:sz w:val="21"/>
                <w:szCs w:val="21"/>
              </w:rPr>
              <w:t>。</w:t>
            </w:r>
          </w:p>
          <w:p w14:paraId="5DDE57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④</w:t>
            </w:r>
            <w:r>
              <w:rPr>
                <w:rFonts w:hint="eastAsia" w:ascii="Times New Roman" w:hAnsi="Times New Roman" w:eastAsia="宋体" w:cs="Times New Roman"/>
                <w:color w:val="auto"/>
                <w:lang w:val="en-US" w:eastAsia="zh-CN"/>
              </w:rPr>
              <w:t>废弃</w:t>
            </w:r>
            <w:r>
              <w:rPr>
                <w:rFonts w:hint="default" w:ascii="Times New Roman" w:hAnsi="Times New Roman" w:eastAsia="宋体" w:cs="Times New Roman"/>
                <w:color w:val="auto"/>
              </w:rPr>
              <w:t>一次性手套</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口罩</w:t>
            </w:r>
            <w:r>
              <w:rPr>
                <w:rFonts w:hint="default" w:ascii="Times New Roman" w:hAnsi="Times New Roman" w:eastAsia="宋体" w:cs="Times New Roman"/>
                <w:color w:val="auto"/>
              </w:rPr>
              <w:t>等一次性用品</w:t>
            </w:r>
          </w:p>
          <w:p w14:paraId="5034429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项目在检测过程中会使用到一次性手套</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口罩</w:t>
            </w:r>
            <w:r>
              <w:rPr>
                <w:rFonts w:hint="default" w:ascii="Times New Roman" w:hAnsi="Times New Roman" w:eastAsia="宋体" w:cs="Times New Roman"/>
                <w:color w:val="auto"/>
              </w:rPr>
              <w:t>等一次性用品</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根据建设单位</w:t>
            </w:r>
            <w:r>
              <w:rPr>
                <w:rFonts w:hint="eastAsia" w:ascii="Times New Roman" w:hAnsi="Times New Roman" w:eastAsia="宋体" w:cs="Times New Roman"/>
                <w:color w:val="auto"/>
                <w:lang w:val="en-US" w:eastAsia="zh-CN"/>
              </w:rPr>
              <w:t>介绍</w:t>
            </w:r>
            <w:r>
              <w:rPr>
                <w:rFonts w:hint="default" w:ascii="Times New Roman" w:hAnsi="Times New Roman" w:eastAsia="宋体" w:cs="Times New Roman"/>
                <w:color w:val="auto"/>
              </w:rPr>
              <w:t>，项目一次性用品产生的量为0.1t</w:t>
            </w:r>
            <w:r>
              <w:rPr>
                <w:rFonts w:hint="eastAsia" w:cs="Times New Roman"/>
                <w:color w:val="auto"/>
                <w:lang w:val="en-US" w:eastAsia="zh-CN"/>
              </w:rPr>
              <w:t>/a</w:t>
            </w:r>
            <w:r>
              <w:rPr>
                <w:rFonts w:hint="default" w:ascii="Times New Roman" w:hAnsi="Times New Roman" w:eastAsia="宋体" w:cs="Times New Roman"/>
                <w:color w:val="auto"/>
              </w:rPr>
              <w:t>，其中微生物室使用的一次性用品统一收集后进行灭活处理，灭活后同其他一次性用品收集后交由当地环卫部门统一处置。</w:t>
            </w:r>
          </w:p>
          <w:p w14:paraId="787DAC06">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（3）危险废物</w:t>
            </w:r>
          </w:p>
          <w:p w14:paraId="6AB69FDD">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项目实验室危险废弃物主要有报废</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失效、过期</w:t>
            </w:r>
            <w:r>
              <w:rPr>
                <w:rFonts w:hint="default" w:ascii="Times New Roman" w:hAnsi="Times New Roman" w:eastAsia="宋体" w:cs="Times New Roman"/>
                <w:color w:val="auto"/>
                <w:sz w:val="21"/>
                <w:szCs w:val="21"/>
              </w:rPr>
              <w:t>化学试剂、</w:t>
            </w:r>
            <w:r>
              <w:rPr>
                <w:rFonts w:hint="eastAsia" w:ascii="Times New Roman" w:hAnsi="Times New Roman" w:eastAsia="宋体" w:cs="Times New Roman"/>
                <w:color w:val="auto"/>
                <w:sz w:val="21"/>
                <w:szCs w:val="21"/>
                <w:lang w:val="en-US" w:eastAsia="zh-CN"/>
              </w:rPr>
              <w:t>化学品，</w:t>
            </w:r>
            <w:r>
              <w:rPr>
                <w:rFonts w:hint="default" w:ascii="Times New Roman" w:hAnsi="Times New Roman" w:eastAsia="宋体" w:cs="Times New Roman"/>
                <w:color w:val="auto"/>
                <w:sz w:val="21"/>
                <w:szCs w:val="21"/>
              </w:rPr>
              <w:t>实验废液（废酸碱、重金属或剧毒污染物废液及其全部清洗废水、有机废液、第一道、第二道器皿清洗废水）</w:t>
            </w:r>
            <w:r>
              <w:rPr>
                <w:rFonts w:hint="eastAsia" w:cs="Times New Roman"/>
                <w:color w:val="auto"/>
                <w:sz w:val="21"/>
                <w:szCs w:val="21"/>
                <w:lang w:eastAsia="zh-CN"/>
              </w:rPr>
              <w:t>，</w:t>
            </w:r>
            <w:r>
              <w:rPr>
                <w:rFonts w:hint="eastAsia" w:cs="Times New Roman"/>
                <w:color w:val="auto"/>
                <w:sz w:val="21"/>
                <w:szCs w:val="21"/>
                <w:lang w:val="en-US" w:eastAsia="zh-CN"/>
              </w:rPr>
              <w:t>废活性炭、</w:t>
            </w:r>
            <w:r>
              <w:rPr>
                <w:rFonts w:hint="eastAsia" w:ascii="Times New Roman" w:hAnsi="Times New Roman" w:eastAsia="宋体" w:cs="Times New Roman"/>
                <w:color w:val="auto"/>
                <w:sz w:val="21"/>
                <w:szCs w:val="21"/>
                <w:lang w:val="en-US" w:eastAsia="zh-CN"/>
              </w:rPr>
              <w:t>实验</w:t>
            </w:r>
            <w:r>
              <w:rPr>
                <w:rFonts w:hint="default" w:ascii="Times New Roman" w:hAnsi="Times New Roman" w:eastAsia="宋体" w:cs="Times New Roman"/>
                <w:color w:val="auto"/>
                <w:sz w:val="21"/>
                <w:szCs w:val="21"/>
              </w:rPr>
              <w:t>试剂</w:t>
            </w:r>
            <w:r>
              <w:rPr>
                <w:rFonts w:hint="eastAsia" w:ascii="Times New Roman" w:hAnsi="Times New Roman" w:eastAsia="宋体" w:cs="Times New Roman"/>
                <w:color w:val="auto"/>
                <w:sz w:val="21"/>
                <w:szCs w:val="21"/>
                <w:lang w:val="en-US" w:eastAsia="zh-CN"/>
              </w:rPr>
              <w:t>废</w:t>
            </w:r>
            <w:r>
              <w:rPr>
                <w:rFonts w:hint="default" w:ascii="Times New Roman" w:hAnsi="Times New Roman" w:eastAsia="宋体" w:cs="Times New Roman"/>
                <w:color w:val="auto"/>
                <w:sz w:val="21"/>
                <w:szCs w:val="21"/>
              </w:rPr>
              <w:t>包装品，中和沉淀池残渣</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废紫外灯管、喷淋塔沉渣</w:t>
            </w:r>
            <w:r>
              <w:rPr>
                <w:rFonts w:hint="default" w:ascii="Times New Roman" w:hAnsi="Times New Roman" w:eastAsia="宋体" w:cs="Times New Roman"/>
                <w:color w:val="auto"/>
                <w:sz w:val="21"/>
                <w:szCs w:val="21"/>
              </w:rPr>
              <w:t>等。项目危险废物产生情况如下：</w:t>
            </w:r>
          </w:p>
          <w:p w14:paraId="46F03825">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①报废</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失效、</w:t>
            </w:r>
            <w:r>
              <w:rPr>
                <w:rFonts w:hint="default" w:ascii="Times New Roman" w:hAnsi="Times New Roman" w:eastAsia="宋体" w:cs="Times New Roman"/>
                <w:color w:val="auto"/>
                <w:sz w:val="21"/>
                <w:szCs w:val="21"/>
              </w:rPr>
              <w:t>过期化学试剂</w:t>
            </w:r>
          </w:p>
          <w:p w14:paraId="216BD81E">
            <w:pPr>
              <w:adjustRightInd w:val="0"/>
              <w:snapToGrid w:val="0"/>
              <w:spacing w:line="360" w:lineRule="auto"/>
              <w:ind w:firstLine="420" w:firstLineChars="20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根据建设单位介绍，</w:t>
            </w:r>
            <w:r>
              <w:rPr>
                <w:rFonts w:hint="eastAsia" w:ascii="Times New Roman" w:hAnsi="Times New Roman" w:eastAsia="宋体" w:cs="Times New Roman"/>
                <w:color w:val="auto"/>
                <w:sz w:val="21"/>
                <w:szCs w:val="21"/>
                <w:lang w:val="en-US" w:eastAsia="zh-CN"/>
              </w:rPr>
              <w:t>此部分</w:t>
            </w:r>
            <w:r>
              <w:rPr>
                <w:rFonts w:hint="default" w:ascii="Times New Roman" w:hAnsi="Times New Roman" w:eastAsia="宋体" w:cs="Times New Roman"/>
                <w:color w:val="auto"/>
                <w:sz w:val="21"/>
                <w:szCs w:val="21"/>
              </w:rPr>
              <w:t>化学试剂产生量很小，产生量约为0.01t/a。根据《国家危险废物名录》</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2025年版</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，此类废品</w:t>
            </w:r>
            <w:r>
              <w:rPr>
                <w:rFonts w:hint="eastAsia" w:ascii="Times New Roman" w:hAnsi="Times New Roman" w:eastAsia="宋体" w:cs="Times New Roman"/>
                <w:color w:val="auto"/>
                <w:sz w:val="21"/>
                <w:szCs w:val="21"/>
                <w:lang w:val="en-US" w:eastAsia="zh-CN"/>
              </w:rPr>
              <w:t>为</w:t>
            </w:r>
            <w:r>
              <w:rPr>
                <w:rFonts w:hint="default" w:ascii="Times New Roman" w:hAnsi="Times New Roman" w:eastAsia="宋体" w:cs="Times New Roman"/>
                <w:color w:val="auto"/>
                <w:sz w:val="21"/>
                <w:szCs w:val="21"/>
              </w:rPr>
              <w:t>危险废物，编号为HW49</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900-999-49</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被所有者申报废弃的，或者未申报废弃但被非法排放、倾倒、利用、处置的，以及有关部门依法收缴或者接收且需要销毁的列入《危险化学品目录》的危险化学品，分类暂存于危废暂存间内，由资质单位定期清运</w:t>
            </w:r>
            <w:r>
              <w:rPr>
                <w:rFonts w:hint="eastAsia" w:ascii="Times New Roman" w:hAnsi="Times New Roman" w:eastAsia="宋体" w:cs="Times New Roman"/>
                <w:color w:val="auto"/>
                <w:sz w:val="21"/>
                <w:szCs w:val="21"/>
                <w:lang w:val="en-US" w:eastAsia="zh-CN"/>
              </w:rPr>
              <w:t>处置。</w:t>
            </w:r>
          </w:p>
          <w:p w14:paraId="0D69AAF5">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②实验废液</w:t>
            </w:r>
          </w:p>
          <w:p w14:paraId="54553B16">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样品在检测过程中产生的各种废液（包括废酸碱、重金属废液、</w:t>
            </w:r>
            <w:r>
              <w:rPr>
                <w:rFonts w:hint="default" w:ascii="Times New Roman" w:hAnsi="Times New Roman" w:eastAsia="宋体" w:cs="Times New Roman"/>
                <w:bCs/>
                <w:color w:val="auto"/>
                <w:kern w:val="0"/>
                <w:sz w:val="21"/>
                <w:szCs w:val="21"/>
              </w:rPr>
              <w:t>剧毒废液、有机废液、第一、二道器皿清洗废水、含重金属或剧毒污染物的器皿全部清洗废水</w:t>
            </w:r>
            <w:r>
              <w:rPr>
                <w:rFonts w:hint="default" w:ascii="Times New Roman" w:hAnsi="Times New Roman" w:eastAsia="宋体" w:cs="Times New Roman"/>
                <w:color w:val="auto"/>
                <w:sz w:val="21"/>
                <w:szCs w:val="21"/>
              </w:rPr>
              <w:t>），</w:t>
            </w:r>
            <w:r>
              <w:rPr>
                <w:rFonts w:hint="default" w:ascii="Times New Roman" w:hAnsi="Times New Roman" w:eastAsia="宋体" w:cs="Times New Roman"/>
                <w:bCs/>
                <w:color w:val="auto"/>
                <w:kern w:val="0"/>
                <w:sz w:val="21"/>
                <w:szCs w:val="21"/>
              </w:rPr>
              <w:t>此类废物属于《国家危险废物名录》（202</w:t>
            </w:r>
            <w:r>
              <w:rPr>
                <w:rFonts w:hint="eastAsia" w:ascii="Times New Roman" w:hAnsi="Times New Roman" w:eastAsia="宋体" w:cs="Times New Roman"/>
                <w:bCs/>
                <w:color w:val="auto"/>
                <w:kern w:val="0"/>
                <w:sz w:val="21"/>
                <w:szCs w:val="21"/>
                <w:lang w:val="en-US" w:eastAsia="zh-CN"/>
              </w:rPr>
              <w:t>5</w:t>
            </w:r>
            <w:r>
              <w:rPr>
                <w:rFonts w:hint="default" w:ascii="Times New Roman" w:hAnsi="Times New Roman" w:eastAsia="宋体" w:cs="Times New Roman"/>
                <w:bCs/>
                <w:color w:val="auto"/>
                <w:kern w:val="0"/>
                <w:sz w:val="21"/>
                <w:szCs w:val="21"/>
              </w:rPr>
              <w:t>年版）中HW49其他废物中代码为900-047-49类废物</w:t>
            </w:r>
            <w:r>
              <w:rPr>
                <w:rFonts w:hint="eastAsia"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根据前文分析</w:t>
            </w:r>
            <w:r>
              <w:rPr>
                <w:rFonts w:hint="default" w:ascii="Times New Roman" w:hAnsi="Times New Roman" w:eastAsia="宋体" w:cs="Times New Roman"/>
                <w:bCs/>
                <w:color w:val="auto"/>
                <w:kern w:val="0"/>
                <w:sz w:val="21"/>
                <w:szCs w:val="21"/>
                <w:lang w:eastAsia="zh-CN"/>
              </w:rPr>
              <w:t>、</w:t>
            </w:r>
            <w:r>
              <w:rPr>
                <w:rFonts w:hint="default" w:ascii="Times New Roman" w:hAnsi="Times New Roman" w:eastAsia="宋体" w:cs="Times New Roman"/>
                <w:bCs/>
                <w:color w:val="auto"/>
                <w:kern w:val="0"/>
                <w:sz w:val="21"/>
                <w:szCs w:val="21"/>
              </w:rPr>
              <w:t>建设单位</w:t>
            </w:r>
            <w:r>
              <w:rPr>
                <w:rFonts w:hint="eastAsia" w:ascii="Times New Roman" w:hAnsi="Times New Roman" w:eastAsia="宋体" w:cs="Times New Roman"/>
                <w:bCs/>
                <w:color w:val="auto"/>
                <w:kern w:val="0"/>
                <w:sz w:val="21"/>
                <w:szCs w:val="21"/>
                <w:lang w:val="en-US" w:eastAsia="zh-CN"/>
              </w:rPr>
              <w:t>介绍</w:t>
            </w:r>
            <w:r>
              <w:rPr>
                <w:rFonts w:hint="default" w:ascii="Times New Roman" w:hAnsi="Times New Roman" w:eastAsia="宋体" w:cs="Times New Roman"/>
                <w:bCs/>
                <w:color w:val="auto"/>
                <w:kern w:val="0"/>
                <w:sz w:val="21"/>
                <w:szCs w:val="21"/>
              </w:rPr>
              <w:t>及类比同类项目，项目</w:t>
            </w:r>
            <w:r>
              <w:rPr>
                <w:rFonts w:hint="eastAsia" w:ascii="Times New Roman" w:hAnsi="Times New Roman" w:eastAsia="宋体" w:cs="Times New Roman"/>
                <w:bCs/>
                <w:color w:val="auto"/>
                <w:kern w:val="0"/>
                <w:sz w:val="21"/>
                <w:szCs w:val="21"/>
                <w:lang w:val="en-US" w:eastAsia="zh-CN"/>
              </w:rPr>
              <w:t>实验废液</w:t>
            </w:r>
            <w:r>
              <w:rPr>
                <w:rFonts w:hint="default" w:ascii="Times New Roman" w:hAnsi="Times New Roman" w:eastAsia="宋体" w:cs="Times New Roman"/>
                <w:bCs/>
                <w:color w:val="auto"/>
                <w:kern w:val="0"/>
                <w:sz w:val="21"/>
                <w:szCs w:val="21"/>
              </w:rPr>
              <w:t>产生量约</w:t>
            </w:r>
            <w:r>
              <w:rPr>
                <w:rFonts w:hint="eastAsia" w:ascii="Times New Roman" w:hAnsi="Times New Roman" w:eastAsia="宋体" w:cs="Times New Roman"/>
                <w:bCs/>
                <w:color w:val="auto"/>
                <w:kern w:val="0"/>
                <w:sz w:val="21"/>
                <w:szCs w:val="21"/>
                <w:lang w:val="en-US" w:eastAsia="zh-CN"/>
              </w:rPr>
              <w:t>24kg/d，6</w:t>
            </w:r>
            <w:r>
              <w:rPr>
                <w:rFonts w:hint="default" w:ascii="Times New Roman" w:hAnsi="Times New Roman" w:eastAsia="宋体" w:cs="Times New Roman"/>
                <w:bCs/>
                <w:color w:val="auto"/>
                <w:kern w:val="0"/>
                <w:sz w:val="21"/>
                <w:szCs w:val="21"/>
              </w:rPr>
              <w:t>t/a。</w:t>
            </w:r>
            <w:r>
              <w:rPr>
                <w:rFonts w:hint="eastAsia" w:ascii="Times New Roman" w:hAnsi="Times New Roman" w:eastAsia="宋体" w:cs="Times New Roman"/>
                <w:bCs/>
                <w:color w:val="auto"/>
                <w:kern w:val="0"/>
                <w:sz w:val="21"/>
                <w:szCs w:val="21"/>
                <w:lang w:val="en-US" w:eastAsia="zh-CN"/>
              </w:rPr>
              <w:t>专用废液桶</w:t>
            </w:r>
            <w:r>
              <w:rPr>
                <w:rFonts w:hint="default" w:ascii="Times New Roman" w:hAnsi="Times New Roman" w:eastAsia="宋体" w:cs="Times New Roman"/>
                <w:bCs/>
                <w:color w:val="auto"/>
                <w:kern w:val="0"/>
                <w:sz w:val="21"/>
                <w:szCs w:val="21"/>
              </w:rPr>
              <w:t>收集后暂存于危废暂存间，由有资质单位定期清运处置。</w:t>
            </w:r>
          </w:p>
          <w:p w14:paraId="56A58EA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③废活性炭</w:t>
            </w:r>
          </w:p>
          <w:p w14:paraId="6272DE2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lang w:val="en-US" w:eastAsia="zh-CN"/>
              </w:rPr>
              <w:t>项目有机实验废气处理装置中安装的活性炭需定期更换，根据建设单位介绍，活性炭吸附装置容积约为</w:t>
            </w:r>
            <w:r>
              <w:rPr>
                <w:rFonts w:hint="eastAsia" w:cs="Times New Roman"/>
                <w:color w:val="auto"/>
                <w:lang w:val="en-US" w:eastAsia="zh-CN"/>
              </w:rPr>
              <w:t>1</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，多孔活性炭密度取0.4t/m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，活性炭装载量为0.</w:t>
            </w:r>
            <w:r>
              <w:rPr>
                <w:rFonts w:hint="eastAsia" w:cs="Times New Roman"/>
                <w:color w:val="auto"/>
                <w:lang w:val="en-US" w:eastAsia="zh-CN"/>
              </w:rPr>
              <w:t>4</w:t>
            </w:r>
            <w:r>
              <w:rPr>
                <w:rFonts w:hint="default" w:ascii="Times New Roman" w:hAnsi="Times New Roman" w:eastAsia="宋体" w:cs="Times New Roman"/>
                <w:color w:val="auto"/>
                <w:lang w:val="en-US" w:eastAsia="zh-CN"/>
              </w:rPr>
              <w:t>t。被吸附</w:t>
            </w:r>
            <w:r>
              <w:rPr>
                <w:rFonts w:hint="eastAsia" w:cs="Times New Roman"/>
                <w:color w:val="auto"/>
                <w:lang w:val="en-US" w:eastAsia="zh-CN"/>
              </w:rPr>
              <w:t>的</w:t>
            </w:r>
            <w:r>
              <w:rPr>
                <w:rFonts w:hint="default" w:ascii="Times New Roman" w:hAnsi="Times New Roman" w:eastAsia="宋体" w:cs="Times New Roman"/>
                <w:color w:val="auto"/>
                <w:lang w:val="en-US" w:eastAsia="zh-CN"/>
              </w:rPr>
              <w:t>非甲烷总烃量为</w:t>
            </w:r>
            <w:r>
              <w:rPr>
                <w:rFonts w:hint="eastAsia" w:cs="Times New Roman"/>
                <w:color w:val="auto"/>
                <w:lang w:val="en-US" w:eastAsia="zh-CN"/>
              </w:rPr>
              <w:t>0.0051t/a</w:t>
            </w:r>
            <w:r>
              <w:rPr>
                <w:rFonts w:hint="default" w:ascii="Times New Roman" w:hAnsi="Times New Roman" w:eastAsia="宋体" w:cs="Times New Roman"/>
                <w:color w:val="auto"/>
                <w:lang w:val="en-US" w:eastAsia="zh-CN"/>
              </w:rPr>
              <w:t>，要求企业每年更换一次，则废活性炭年产生量</w:t>
            </w:r>
            <w:r>
              <w:rPr>
                <w:rFonts w:hint="eastAsia" w:ascii="Times New Roman" w:hAnsi="Times New Roman" w:eastAsia="宋体" w:cs="Times New Roman"/>
                <w:color w:val="auto"/>
                <w:lang w:val="en-US" w:eastAsia="zh-CN"/>
              </w:rPr>
              <w:t>约</w:t>
            </w:r>
            <w:r>
              <w:rPr>
                <w:rFonts w:hint="default" w:ascii="Times New Roman" w:hAnsi="Times New Roman" w:eastAsia="宋体" w:cs="Times New Roman"/>
                <w:color w:val="auto"/>
                <w:lang w:val="en-US" w:eastAsia="zh-CN"/>
              </w:rPr>
              <w:t>为</w:t>
            </w:r>
            <w:r>
              <w:rPr>
                <w:rFonts w:hint="eastAsia" w:cs="Times New Roman"/>
                <w:color w:val="auto"/>
                <w:lang w:val="en-US" w:eastAsia="zh-CN"/>
              </w:rPr>
              <w:t>0.4051t/a</w:t>
            </w:r>
            <w:r>
              <w:rPr>
                <w:rFonts w:hint="default" w:ascii="Times New Roman" w:hAnsi="Times New Roman" w:eastAsia="宋体" w:cs="Times New Roman"/>
                <w:color w:val="auto"/>
                <w:lang w:val="en-US" w:eastAsia="zh-CN"/>
              </w:rPr>
              <w:t>。经查询《国家危险废物名录》（2025年版），此类废物属于编号为HW49 900-039-49中规定的危险废物：烟气、VOCs治理过程（不包括餐饮行业油烟治理过程产生的废活性炭）</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收集后</w:t>
            </w:r>
            <w:r>
              <w:rPr>
                <w:rFonts w:hint="default" w:ascii="Times New Roman" w:hAnsi="Times New Roman" w:eastAsia="宋体" w:cs="Times New Roman"/>
                <w:color w:val="auto"/>
                <w:sz w:val="21"/>
                <w:szCs w:val="21"/>
              </w:rPr>
              <w:t>经危废暂存间暂存，定期交由有资质单位定期清运处置。</w:t>
            </w:r>
          </w:p>
          <w:p w14:paraId="2C382681">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④实验室废试剂包装</w:t>
            </w:r>
          </w:p>
          <w:p w14:paraId="6EDED5B9">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主要是指沾染危险化学品的废弃包装物等，根据业主提供的资料，每年产生的量约为 0.05ta。</w:t>
            </w:r>
            <w:r>
              <w:rPr>
                <w:rFonts w:hint="default" w:ascii="Times New Roman" w:hAnsi="Times New Roman" w:eastAsia="宋体" w:cs="Times New Roman"/>
                <w:color w:val="auto"/>
                <w:sz w:val="21"/>
                <w:szCs w:val="21"/>
                <w:lang w:val="en-US" w:eastAsia="zh-CN"/>
              </w:rPr>
              <w:t>查询</w:t>
            </w:r>
            <w:r>
              <w:rPr>
                <w:rFonts w:hint="default" w:ascii="Times New Roman" w:hAnsi="Times New Roman" w:eastAsia="宋体" w:cs="Times New Roman"/>
                <w:color w:val="auto"/>
                <w:sz w:val="21"/>
                <w:szCs w:val="21"/>
              </w:rPr>
              <w:t>《国家危险废物名录》（202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年版），此类废物属于编号为HW49 900-041-49</w:t>
            </w:r>
            <w:r>
              <w:rPr>
                <w:rFonts w:hint="default" w:ascii="Times New Roman" w:hAnsi="Times New Roman" w:eastAsia="宋体" w:cs="Times New Roman"/>
                <w:color w:val="auto"/>
                <w:sz w:val="21"/>
                <w:szCs w:val="21"/>
                <w:lang w:val="en-US" w:eastAsia="zh-CN"/>
              </w:rPr>
              <w:t>类</w:t>
            </w:r>
            <w:r>
              <w:rPr>
                <w:rFonts w:hint="default" w:ascii="Times New Roman" w:hAnsi="Times New Roman" w:eastAsia="宋体" w:cs="Times New Roman"/>
                <w:color w:val="auto"/>
                <w:sz w:val="21"/>
                <w:szCs w:val="21"/>
              </w:rPr>
              <w:t>危险废物</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含有或者沾染毒性、感染性危险废物的废弃的包装物、容器、过滤吸附介质</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收集后暂存于</w:t>
            </w:r>
            <w:r>
              <w:rPr>
                <w:rFonts w:hint="default" w:ascii="Times New Roman" w:hAnsi="Times New Roman" w:eastAsia="宋体" w:cs="Times New Roman"/>
                <w:color w:val="auto"/>
                <w:sz w:val="21"/>
                <w:szCs w:val="21"/>
              </w:rPr>
              <w:t>危废暂存间</w:t>
            </w:r>
            <w:r>
              <w:rPr>
                <w:rFonts w:hint="default" w:ascii="Times New Roman" w:hAnsi="Times New Roman" w:eastAsia="宋体" w:cs="Times New Roman"/>
                <w:color w:val="auto"/>
                <w:sz w:val="21"/>
                <w:szCs w:val="21"/>
                <w:lang w:val="en-US" w:eastAsia="zh-CN"/>
              </w:rPr>
              <w:t>内</w:t>
            </w:r>
            <w:r>
              <w:rPr>
                <w:rFonts w:hint="default" w:ascii="Times New Roman" w:hAnsi="Times New Roman" w:eastAsia="宋体" w:cs="Times New Roman"/>
                <w:color w:val="auto"/>
                <w:sz w:val="21"/>
                <w:szCs w:val="21"/>
              </w:rPr>
              <w:t>，定期由有资质单位定期清运处置。</w:t>
            </w:r>
          </w:p>
          <w:p w14:paraId="7DADC25B">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⑤中和沉淀池残渣</w:t>
            </w:r>
          </w:p>
          <w:p w14:paraId="60B5053D">
            <w:pPr>
              <w:adjustRightInd w:val="0"/>
              <w:snapToGrid w:val="0"/>
              <w:spacing w:line="360" w:lineRule="auto"/>
              <w:ind w:firstLine="420" w:firstLineChars="200"/>
              <w:rPr>
                <w:color w:val="auto"/>
                <w:sz w:val="24"/>
              </w:rPr>
            </w:pPr>
            <w:r>
              <w:rPr>
                <w:rFonts w:hint="default" w:ascii="Times New Roman" w:hAnsi="Times New Roman" w:eastAsia="宋体" w:cs="Times New Roman"/>
                <w:color w:val="auto"/>
                <w:sz w:val="21"/>
                <w:szCs w:val="21"/>
              </w:rPr>
              <w:t>项目设中和沉淀池对第三道及之后的清洗废水进行中和沉淀，在处理过程会有一定的残渣产生，产生量较小，约0.01t/a，属于</w:t>
            </w:r>
            <w:r>
              <w:rPr>
                <w:rFonts w:hint="default" w:ascii="Times New Roman" w:hAnsi="Times New Roman" w:eastAsia="宋体" w:cs="Times New Roman"/>
                <w:bCs/>
                <w:color w:val="auto"/>
                <w:kern w:val="0"/>
                <w:sz w:val="21"/>
                <w:szCs w:val="21"/>
              </w:rPr>
              <w:t>《国家危险废物名录》（202</w:t>
            </w:r>
            <w:r>
              <w:rPr>
                <w:rFonts w:hint="default" w:ascii="Times New Roman" w:hAnsi="Times New Roman" w:eastAsia="宋体" w:cs="Times New Roman"/>
                <w:bCs/>
                <w:color w:val="auto"/>
                <w:kern w:val="0"/>
                <w:sz w:val="21"/>
                <w:szCs w:val="21"/>
                <w:lang w:val="en-US" w:eastAsia="zh-CN"/>
              </w:rPr>
              <w:t>5</w:t>
            </w:r>
            <w:r>
              <w:rPr>
                <w:rFonts w:hint="default" w:ascii="Times New Roman" w:hAnsi="Times New Roman" w:eastAsia="宋体" w:cs="Times New Roman"/>
                <w:bCs/>
                <w:color w:val="auto"/>
                <w:kern w:val="0"/>
                <w:sz w:val="21"/>
                <w:szCs w:val="21"/>
              </w:rPr>
              <w:t>年版）</w:t>
            </w:r>
            <w:r>
              <w:rPr>
                <w:rFonts w:hint="default" w:ascii="Times New Roman" w:hAnsi="Times New Roman" w:eastAsia="宋体" w:cs="Times New Roman"/>
                <w:color w:val="auto"/>
                <w:sz w:val="21"/>
                <w:szCs w:val="21"/>
              </w:rPr>
              <w:t>编号为HW49 900-047-49</w:t>
            </w:r>
            <w:r>
              <w:rPr>
                <w:rFonts w:hint="eastAsia" w:ascii="Times New Roman" w:hAnsi="Times New Roman" w:eastAsia="宋体" w:cs="Times New Roman"/>
                <w:color w:val="auto"/>
                <w:sz w:val="21"/>
                <w:szCs w:val="21"/>
                <w:lang w:val="en-US" w:eastAsia="zh-CN"/>
              </w:rPr>
              <w:t>类危险废物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生产、研究、开发、教学、环境检测（监测）活动中，化学和生物实验室（不包含感染性医学实验室及医疗机构化验室）产生的含氰、氟、重金属无机废液及无机废液处理产生的残渣、残液</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经收集后暂存</w:t>
            </w:r>
            <w:r>
              <w:rPr>
                <w:rFonts w:hint="eastAsia" w:cs="Times New Roman"/>
                <w:color w:val="auto"/>
                <w:sz w:val="21"/>
                <w:szCs w:val="21"/>
                <w:lang w:val="en-US" w:eastAsia="zh-CN"/>
              </w:rPr>
              <w:t>于</w:t>
            </w:r>
            <w:r>
              <w:rPr>
                <w:rFonts w:hint="default" w:ascii="Times New Roman" w:hAnsi="Times New Roman" w:eastAsia="宋体" w:cs="Times New Roman"/>
                <w:color w:val="auto"/>
                <w:sz w:val="21"/>
                <w:szCs w:val="21"/>
              </w:rPr>
              <w:t>危废暂存间</w:t>
            </w:r>
            <w:r>
              <w:rPr>
                <w:rFonts w:hint="eastAsia" w:ascii="Times New Roman" w:hAnsi="Times New Roman" w:eastAsia="宋体" w:cs="Times New Roman"/>
                <w:color w:val="auto"/>
                <w:sz w:val="21"/>
                <w:szCs w:val="21"/>
                <w:lang w:val="en-US" w:eastAsia="zh-CN"/>
              </w:rPr>
              <w:t>内</w:t>
            </w:r>
            <w:r>
              <w:rPr>
                <w:rFonts w:hint="default" w:ascii="Times New Roman" w:hAnsi="Times New Roman" w:eastAsia="宋体" w:cs="Times New Roman"/>
                <w:color w:val="auto"/>
                <w:sz w:val="21"/>
                <w:szCs w:val="21"/>
              </w:rPr>
              <w:t>，定期交由有资质单位清运处置。</w:t>
            </w:r>
          </w:p>
          <w:p w14:paraId="0ECDA3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⑥废紫外灯管</w:t>
            </w:r>
          </w:p>
          <w:p w14:paraId="26D36AF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lang w:val="en-US" w:eastAsia="zh-CN"/>
              </w:rPr>
              <w:t>项目</w:t>
            </w:r>
            <w:r>
              <w:rPr>
                <w:rFonts w:hint="default" w:ascii="Times New Roman" w:hAnsi="Times New Roman" w:eastAsia="宋体" w:cs="Times New Roman"/>
                <w:color w:val="auto"/>
                <w:sz w:val="21"/>
                <w:szCs w:val="21"/>
              </w:rPr>
              <w:t>中和沉淀池</w:t>
            </w:r>
            <w:r>
              <w:rPr>
                <w:rFonts w:hint="default" w:ascii="Times New Roman" w:hAnsi="Times New Roman" w:eastAsia="宋体" w:cs="Times New Roman"/>
                <w:color w:val="auto"/>
                <w:lang w:val="en-US" w:eastAsia="zh-CN"/>
              </w:rPr>
              <w:t>以及微生物</w:t>
            </w:r>
            <w:r>
              <w:rPr>
                <w:rFonts w:hint="eastAsia" w:ascii="Times New Roman" w:hAnsi="Times New Roman" w:eastAsia="宋体" w:cs="Times New Roman"/>
                <w:color w:val="auto"/>
                <w:lang w:val="en-US" w:eastAsia="zh-CN"/>
              </w:rPr>
              <w:t>实验</w:t>
            </w:r>
            <w:r>
              <w:rPr>
                <w:rFonts w:hint="default" w:ascii="Times New Roman" w:hAnsi="Times New Roman" w:eastAsia="宋体" w:cs="Times New Roman"/>
                <w:color w:val="auto"/>
                <w:lang w:val="en-US" w:eastAsia="zh-CN"/>
              </w:rPr>
              <w:t>均使用紫外灯杀菌，紫外灯管内含汞，属于危险废物。</w:t>
            </w:r>
            <w:r>
              <w:rPr>
                <w:rFonts w:hint="default" w:ascii="Times New Roman" w:hAnsi="Times New Roman" w:eastAsia="宋体" w:cs="Times New Roman"/>
                <w:b w:val="0"/>
                <w:bCs w:val="0"/>
                <w:color w:val="auto"/>
                <w:kern w:val="2"/>
                <w:sz w:val="21"/>
                <w:szCs w:val="21"/>
                <w:lang w:val="en-US" w:eastAsia="zh-CN" w:bidi="ar-SA"/>
              </w:rPr>
              <w:t>对照《国家危险废物名录》（2025年版），废紫外灯管废类别为HW29含汞废物，废物代码为900-023-29。</w:t>
            </w:r>
            <w:r>
              <w:rPr>
                <w:rFonts w:hint="default" w:ascii="Times New Roman" w:hAnsi="Times New Roman" w:eastAsia="宋体" w:cs="Times New Roman"/>
                <w:color w:val="auto"/>
                <w:lang w:val="en-US" w:eastAsia="zh-CN"/>
              </w:rPr>
              <w:t>根据建设单位介绍，每年约产生2个废紫外灯管</w:t>
            </w:r>
            <w:r>
              <w:rPr>
                <w:rFonts w:hint="default" w:ascii="Times New Roman" w:hAnsi="Times New Roman" w:eastAsia="宋体" w:cs="Times New Roman"/>
                <w:b w:val="0"/>
                <w:bCs w:val="0"/>
                <w:color w:val="auto"/>
                <w:kern w:val="2"/>
                <w:sz w:val="21"/>
                <w:szCs w:val="21"/>
                <w:lang w:val="en-US" w:eastAsia="zh-CN" w:bidi="ar-SA"/>
              </w:rPr>
              <w:t>，约0.01t/a。废紫外灯管收集后放置于危险废物暂存间，委托有资质单位</w:t>
            </w:r>
            <w:r>
              <w:rPr>
                <w:rFonts w:hint="default" w:ascii="Times New Roman" w:hAnsi="Times New Roman" w:eastAsia="宋体" w:cs="Times New Roman"/>
                <w:color w:val="auto"/>
                <w:sz w:val="21"/>
                <w:szCs w:val="21"/>
              </w:rPr>
              <w:t>清运处置</w:t>
            </w:r>
            <w:r>
              <w:rPr>
                <w:rFonts w:hint="default" w:ascii="Times New Roman" w:hAnsi="Times New Roman" w:eastAsia="宋体" w:cs="Times New Roman"/>
                <w:b w:val="0"/>
                <w:bCs w:val="0"/>
                <w:color w:val="auto"/>
                <w:kern w:val="2"/>
                <w:sz w:val="21"/>
                <w:szCs w:val="21"/>
                <w:lang w:val="en-US" w:eastAsia="zh-CN" w:bidi="ar-SA"/>
              </w:rPr>
              <w:t>。</w:t>
            </w:r>
          </w:p>
          <w:p w14:paraId="7D93775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⑦喷淋塔沉渣</w:t>
            </w:r>
          </w:p>
          <w:p w14:paraId="5B3F371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项目通过喷淋塔处理</w:t>
            </w:r>
            <w:r>
              <w:rPr>
                <w:rFonts w:hint="eastAsia" w:ascii="Times New Roman" w:hAnsi="Times New Roman" w:eastAsia="宋体" w:cs="Times New Roman"/>
                <w:color w:val="auto"/>
                <w:lang w:val="en-US" w:eastAsia="zh-CN"/>
              </w:rPr>
              <w:t>实验室</w:t>
            </w:r>
            <w:r>
              <w:rPr>
                <w:rFonts w:hint="default" w:ascii="Times New Roman" w:hAnsi="Times New Roman" w:eastAsia="宋体" w:cs="Times New Roman"/>
                <w:color w:val="auto"/>
                <w:lang w:val="en-US" w:eastAsia="zh-CN"/>
              </w:rPr>
              <w:t>产生的</w:t>
            </w:r>
            <w:r>
              <w:rPr>
                <w:rFonts w:hint="eastAsia" w:ascii="Times New Roman" w:hAnsi="Times New Roman" w:eastAsia="宋体" w:cs="Times New Roman"/>
                <w:color w:val="auto"/>
                <w:lang w:val="en-US" w:eastAsia="zh-CN"/>
              </w:rPr>
              <w:t>无机</w:t>
            </w:r>
            <w:r>
              <w:rPr>
                <w:rFonts w:hint="default" w:ascii="Times New Roman" w:hAnsi="Times New Roman" w:eastAsia="宋体" w:cs="Times New Roman"/>
                <w:color w:val="auto"/>
                <w:lang w:val="en-US" w:eastAsia="zh-CN"/>
              </w:rPr>
              <w:t>酸性废气，喷淋塔中的水与酸气融合后呈酸性，需添加碱中和后回用，该过程产生的盐达到饱和后，会产生沉淀。喷淋塔沉渣属于</w:t>
            </w:r>
            <w:r>
              <w:rPr>
                <w:rFonts w:hint="default" w:ascii="Times New Roman" w:hAnsi="Times New Roman" w:eastAsia="宋体" w:cs="Times New Roman"/>
                <w:bCs/>
                <w:color w:val="auto"/>
                <w:kern w:val="0"/>
                <w:sz w:val="21"/>
                <w:szCs w:val="21"/>
              </w:rPr>
              <w:t>《国家危险废物名录》（202</w:t>
            </w:r>
            <w:r>
              <w:rPr>
                <w:rFonts w:hint="default" w:ascii="Times New Roman" w:hAnsi="Times New Roman" w:eastAsia="宋体" w:cs="Times New Roman"/>
                <w:bCs/>
                <w:color w:val="auto"/>
                <w:kern w:val="0"/>
                <w:sz w:val="21"/>
                <w:szCs w:val="21"/>
                <w:lang w:val="en-US" w:eastAsia="zh-CN"/>
              </w:rPr>
              <w:t>5</w:t>
            </w:r>
            <w:r>
              <w:rPr>
                <w:rFonts w:hint="default" w:ascii="Times New Roman" w:hAnsi="Times New Roman" w:eastAsia="宋体" w:cs="Times New Roman"/>
                <w:bCs/>
                <w:color w:val="auto"/>
                <w:kern w:val="0"/>
                <w:sz w:val="21"/>
                <w:szCs w:val="21"/>
              </w:rPr>
              <w:t>年版）中</w:t>
            </w:r>
            <w:r>
              <w:rPr>
                <w:rFonts w:hint="default" w:ascii="Times New Roman" w:hAnsi="Times New Roman" w:eastAsia="宋体" w:cs="Times New Roman"/>
                <w:color w:val="auto"/>
                <w:lang w:val="en-US" w:eastAsia="zh-CN"/>
              </w:rPr>
              <w:t>HW35废物代码</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900-399-35，产生量约0.008</w:t>
            </w:r>
            <w:r>
              <w:rPr>
                <w:rFonts w:hint="eastAsia" w:ascii="Times New Roman" w:hAnsi="Times New Roman" w:eastAsia="宋体" w:cs="Times New Roman"/>
                <w:color w:val="auto"/>
                <w:lang w:val="en-US" w:eastAsia="zh-CN"/>
              </w:rPr>
              <w:t>t/a</w:t>
            </w:r>
            <w:r>
              <w:rPr>
                <w:rFonts w:hint="default" w:ascii="Times New Roman" w:hAnsi="Times New Roman" w:eastAsia="宋体" w:cs="Times New Roman"/>
                <w:color w:val="auto"/>
                <w:lang w:val="en-US" w:eastAsia="zh-CN"/>
              </w:rPr>
              <w:t>，统一收集后暂存于危废暂存间内，定期交由有资质单位进行处置。</w:t>
            </w:r>
          </w:p>
          <w:p w14:paraId="23D1FB16">
            <w:pPr>
              <w:adjustRightInd w:val="0"/>
              <w:snapToGrid w:val="0"/>
              <w:spacing w:line="360" w:lineRule="auto"/>
              <w:ind w:firstLine="420"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综合上述分析，</w:t>
            </w:r>
            <w:r>
              <w:rPr>
                <w:rFonts w:hint="default" w:ascii="Times New Roman" w:hAnsi="Times New Roman" w:eastAsia="宋体" w:cs="Times New Roman"/>
                <w:color w:val="auto"/>
                <w:sz w:val="21"/>
                <w:szCs w:val="21"/>
                <w:lang w:val="en-US" w:eastAsia="zh-CN"/>
              </w:rPr>
              <w:t>运营期</w:t>
            </w:r>
            <w:r>
              <w:rPr>
                <w:rFonts w:hint="default" w:ascii="Times New Roman" w:hAnsi="Times New Roman" w:eastAsia="宋体" w:cs="Times New Roman"/>
                <w:color w:val="auto"/>
                <w:sz w:val="21"/>
                <w:szCs w:val="21"/>
              </w:rPr>
              <w:t>本项目固体废物产生及处置措施</w:t>
            </w:r>
            <w:r>
              <w:rPr>
                <w:rFonts w:hint="default" w:ascii="Times New Roman" w:hAnsi="Times New Roman" w:eastAsia="宋体" w:cs="Times New Roman"/>
                <w:color w:val="auto"/>
                <w:sz w:val="21"/>
                <w:szCs w:val="21"/>
                <w:lang w:val="en-US" w:eastAsia="zh-CN"/>
              </w:rPr>
              <w:t>详见下表</w:t>
            </w:r>
            <w:r>
              <w:rPr>
                <w:rFonts w:hint="default" w:ascii="Times New Roman" w:hAnsi="Times New Roman" w:eastAsia="宋体" w:cs="Times New Roman"/>
                <w:color w:val="auto"/>
                <w:sz w:val="21"/>
                <w:szCs w:val="21"/>
              </w:rPr>
              <w:t>。</w:t>
            </w:r>
          </w:p>
          <w:p w14:paraId="764A122F">
            <w:pPr>
              <w:keepNext/>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表4-</w:t>
            </w:r>
            <w:r>
              <w:rPr>
                <w:rFonts w:hint="eastAsia" w:cs="Times New Roman"/>
                <w:b/>
                <w:bCs/>
                <w:color w:val="auto"/>
                <w:sz w:val="18"/>
                <w:szCs w:val="18"/>
                <w:lang w:val="en-US" w:eastAsia="zh-CN"/>
              </w:rPr>
              <w:t xml:space="preserve">17  </w:t>
            </w:r>
            <w:r>
              <w:rPr>
                <w:rFonts w:hint="default" w:ascii="Times New Roman" w:hAnsi="Times New Roman" w:eastAsia="宋体" w:cs="Times New Roman"/>
                <w:b/>
                <w:bCs/>
                <w:color w:val="auto"/>
                <w:sz w:val="18"/>
                <w:szCs w:val="18"/>
              </w:rPr>
              <w:t>项目固废产生及处置措施一览表</w:t>
            </w:r>
          </w:p>
          <w:tbl>
            <w:tblPr>
              <w:tblStyle w:val="20"/>
              <w:tblW w:w="493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7"/>
              <w:gridCol w:w="1257"/>
              <w:gridCol w:w="773"/>
              <w:gridCol w:w="1292"/>
              <w:gridCol w:w="1197"/>
              <w:gridCol w:w="2907"/>
            </w:tblGrid>
            <w:tr w14:paraId="0FEA6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tblHeader/>
                <w:jc w:val="center"/>
              </w:trPr>
              <w:tc>
                <w:tcPr>
                  <w:tcW w:w="307" w:type="pct"/>
                  <w:noWrap w:val="0"/>
                  <w:vAlign w:val="center"/>
                </w:tcPr>
                <w:p w14:paraId="44E7E30F">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编号</w:t>
                  </w:r>
                </w:p>
              </w:tc>
              <w:tc>
                <w:tcPr>
                  <w:tcW w:w="794" w:type="pct"/>
                  <w:noWrap w:val="0"/>
                  <w:vAlign w:val="center"/>
                </w:tcPr>
                <w:p w14:paraId="63A9C3CB">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名称</w:t>
                  </w:r>
                </w:p>
              </w:tc>
              <w:tc>
                <w:tcPr>
                  <w:tcW w:w="488" w:type="pct"/>
                  <w:noWrap w:val="0"/>
                  <w:vAlign w:val="center"/>
                </w:tcPr>
                <w:p w14:paraId="4C1B785C">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属性</w:t>
                  </w:r>
                </w:p>
              </w:tc>
              <w:tc>
                <w:tcPr>
                  <w:tcW w:w="816" w:type="pct"/>
                  <w:noWrap w:val="0"/>
                  <w:vAlign w:val="center"/>
                </w:tcPr>
                <w:p w14:paraId="48D6ECC0">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废物代码</w:t>
                  </w:r>
                </w:p>
              </w:tc>
              <w:tc>
                <w:tcPr>
                  <w:tcW w:w="756" w:type="pct"/>
                  <w:noWrap w:val="0"/>
                  <w:vAlign w:val="center"/>
                </w:tcPr>
                <w:p w14:paraId="7BE2C20F">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年产生量</w:t>
                  </w:r>
                </w:p>
              </w:tc>
              <w:tc>
                <w:tcPr>
                  <w:tcW w:w="1836" w:type="pct"/>
                  <w:noWrap w:val="0"/>
                  <w:vAlign w:val="center"/>
                </w:tcPr>
                <w:p w14:paraId="23B0A520">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拟采取的处理处置方式</w:t>
                  </w:r>
                </w:p>
              </w:tc>
            </w:tr>
            <w:tr w14:paraId="23982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0FF2E8FF">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w:t>
                  </w:r>
                </w:p>
              </w:tc>
              <w:tc>
                <w:tcPr>
                  <w:tcW w:w="794" w:type="pct"/>
                  <w:noWrap w:val="0"/>
                  <w:vAlign w:val="center"/>
                </w:tcPr>
                <w:p w14:paraId="60131592">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488" w:type="pct"/>
                  <w:noWrap w:val="0"/>
                  <w:vAlign w:val="center"/>
                </w:tcPr>
                <w:p w14:paraId="51307CD9">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生活垃圾</w:t>
                  </w:r>
                </w:p>
              </w:tc>
              <w:tc>
                <w:tcPr>
                  <w:tcW w:w="816" w:type="pct"/>
                  <w:noWrap w:val="0"/>
                  <w:vAlign w:val="center"/>
                </w:tcPr>
                <w:p w14:paraId="26FA9AE8">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56" w:type="pct"/>
                  <w:noWrap w:val="0"/>
                  <w:vAlign w:val="center"/>
                </w:tcPr>
                <w:p w14:paraId="504EC5C8">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1.375</w:t>
                  </w:r>
                  <w:r>
                    <w:rPr>
                      <w:rFonts w:hint="default" w:ascii="Times New Roman" w:hAnsi="Times New Roman" w:eastAsia="宋体" w:cs="Times New Roman"/>
                      <w:color w:val="auto"/>
                      <w:sz w:val="18"/>
                      <w:szCs w:val="18"/>
                    </w:rPr>
                    <w:t>t</w:t>
                  </w:r>
                  <w:r>
                    <w:rPr>
                      <w:rFonts w:hint="default" w:ascii="Times New Roman" w:hAnsi="Times New Roman" w:eastAsia="宋体" w:cs="Times New Roman"/>
                      <w:color w:val="auto"/>
                      <w:sz w:val="18"/>
                      <w:szCs w:val="18"/>
                      <w:lang w:val="en-US" w:eastAsia="zh-CN"/>
                    </w:rPr>
                    <w:t>/a</w:t>
                  </w:r>
                </w:p>
              </w:tc>
              <w:tc>
                <w:tcPr>
                  <w:tcW w:w="1836" w:type="pct"/>
                  <w:tcBorders>
                    <w:top w:val="single" w:color="auto" w:sz="4" w:space="0"/>
                    <w:bottom w:val="single" w:color="auto" w:sz="4" w:space="0"/>
                  </w:tcBorders>
                  <w:noWrap w:val="0"/>
                  <w:vAlign w:val="center"/>
                </w:tcPr>
                <w:p w14:paraId="59A1EA61">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委托环卫部门清运处置</w:t>
                  </w:r>
                </w:p>
              </w:tc>
            </w:tr>
            <w:tr w14:paraId="10F362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06680FA6">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w:t>
                  </w:r>
                </w:p>
              </w:tc>
              <w:tc>
                <w:tcPr>
                  <w:tcW w:w="794" w:type="pct"/>
                  <w:noWrap w:val="0"/>
                  <w:vAlign w:val="center"/>
                </w:tcPr>
                <w:p w14:paraId="7CC58A16">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破碎玻璃、一般废包装品</w:t>
                  </w:r>
                </w:p>
              </w:tc>
              <w:tc>
                <w:tcPr>
                  <w:tcW w:w="488" w:type="pct"/>
                  <w:vMerge w:val="restart"/>
                  <w:noWrap w:val="0"/>
                  <w:vAlign w:val="center"/>
                </w:tcPr>
                <w:p w14:paraId="4B75D108">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一般固体</w:t>
                  </w:r>
                </w:p>
                <w:p w14:paraId="1F171FEF">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废物</w:t>
                  </w:r>
                </w:p>
              </w:tc>
              <w:tc>
                <w:tcPr>
                  <w:tcW w:w="816" w:type="pct"/>
                  <w:noWrap w:val="0"/>
                  <w:vAlign w:val="center"/>
                </w:tcPr>
                <w:p w14:paraId="14670623">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56" w:type="pct"/>
                  <w:noWrap w:val="0"/>
                  <w:vAlign w:val="center"/>
                </w:tcPr>
                <w:p w14:paraId="16A35FEA">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6</w:t>
                  </w:r>
                  <w:r>
                    <w:rPr>
                      <w:rFonts w:hint="default" w:ascii="Times New Roman" w:hAnsi="Times New Roman" w:eastAsia="宋体" w:cs="Times New Roman"/>
                      <w:color w:val="auto"/>
                      <w:sz w:val="18"/>
                      <w:szCs w:val="18"/>
                    </w:rPr>
                    <w:t>t/a</w:t>
                  </w:r>
                </w:p>
              </w:tc>
              <w:tc>
                <w:tcPr>
                  <w:tcW w:w="1836" w:type="pct"/>
                  <w:tcBorders>
                    <w:top w:val="single" w:color="auto" w:sz="4" w:space="0"/>
                    <w:bottom w:val="single" w:color="auto" w:sz="4" w:space="0"/>
                  </w:tcBorders>
                  <w:noWrap w:val="0"/>
                  <w:vAlign w:val="center"/>
                </w:tcPr>
                <w:p w14:paraId="7D031D0C">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分类处理，可回收部分卖给废品收购站进行回收利用，不可回收部分同生活垃圾一起处理。</w:t>
                  </w:r>
                </w:p>
              </w:tc>
            </w:tr>
            <w:tr w14:paraId="081BE9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664FFF3E">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w:t>
                  </w:r>
                </w:p>
              </w:tc>
              <w:tc>
                <w:tcPr>
                  <w:tcW w:w="794" w:type="pct"/>
                  <w:noWrap w:val="0"/>
                  <w:vAlign w:val="center"/>
                </w:tcPr>
                <w:p w14:paraId="78863173">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废培养基</w:t>
                  </w:r>
                </w:p>
              </w:tc>
              <w:tc>
                <w:tcPr>
                  <w:tcW w:w="488" w:type="pct"/>
                  <w:vMerge w:val="continue"/>
                  <w:noWrap w:val="0"/>
                  <w:vAlign w:val="center"/>
                </w:tcPr>
                <w:p w14:paraId="63B245C8">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c>
                <w:tcPr>
                  <w:tcW w:w="816" w:type="pct"/>
                  <w:noWrap w:val="0"/>
                  <w:vAlign w:val="center"/>
                </w:tcPr>
                <w:p w14:paraId="724C6F19">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56" w:type="pct"/>
                  <w:noWrap w:val="0"/>
                  <w:vAlign w:val="center"/>
                </w:tcPr>
                <w:p w14:paraId="7147FD72">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0.1</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t/a</w:t>
                  </w:r>
                </w:p>
              </w:tc>
              <w:tc>
                <w:tcPr>
                  <w:tcW w:w="1836" w:type="pct"/>
                  <w:tcBorders>
                    <w:top w:val="single" w:color="auto" w:sz="4" w:space="0"/>
                    <w:bottom w:val="single" w:color="auto" w:sz="4" w:space="0"/>
                  </w:tcBorders>
                  <w:noWrap w:val="0"/>
                  <w:vAlign w:val="center"/>
                </w:tcPr>
                <w:p w14:paraId="5B80F31D">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收集并用压力锅进行灭菌灭活处理后，同生活垃圾一起处理。</w:t>
                  </w:r>
                </w:p>
              </w:tc>
            </w:tr>
            <w:tr w14:paraId="0A122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4BE25790">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4</w:t>
                  </w:r>
                </w:p>
              </w:tc>
              <w:tc>
                <w:tcPr>
                  <w:tcW w:w="794" w:type="pct"/>
                  <w:noWrap w:val="0"/>
                  <w:vAlign w:val="center"/>
                </w:tcPr>
                <w:p w14:paraId="4F26A296">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超</w:t>
                  </w:r>
                  <w:r>
                    <w:rPr>
                      <w:rFonts w:hint="default" w:ascii="Times New Roman" w:hAnsi="Times New Roman" w:eastAsia="宋体" w:cs="Times New Roman"/>
                      <w:color w:val="auto"/>
                      <w:sz w:val="18"/>
                      <w:szCs w:val="18"/>
                    </w:rPr>
                    <w:t>纯水机设备更换的废过滤膜、废活性炭</w:t>
                  </w:r>
                </w:p>
              </w:tc>
              <w:tc>
                <w:tcPr>
                  <w:tcW w:w="488" w:type="pct"/>
                  <w:vMerge w:val="continue"/>
                  <w:noWrap w:val="0"/>
                  <w:vAlign w:val="center"/>
                </w:tcPr>
                <w:p w14:paraId="15AEAB3B">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c>
                <w:tcPr>
                  <w:tcW w:w="816" w:type="pct"/>
                  <w:noWrap w:val="0"/>
                  <w:vAlign w:val="center"/>
                </w:tcPr>
                <w:p w14:paraId="0CDAC72F">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w:t>
                  </w:r>
                </w:p>
              </w:tc>
              <w:tc>
                <w:tcPr>
                  <w:tcW w:w="756" w:type="pct"/>
                  <w:noWrap w:val="0"/>
                  <w:vAlign w:val="center"/>
                </w:tcPr>
                <w:p w14:paraId="3BE0D561">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t/a</w:t>
                  </w:r>
                </w:p>
              </w:tc>
              <w:tc>
                <w:tcPr>
                  <w:tcW w:w="1836" w:type="pct"/>
                  <w:tcBorders>
                    <w:top w:val="single" w:color="auto" w:sz="4" w:space="0"/>
                    <w:bottom w:val="single" w:color="auto" w:sz="4" w:space="0"/>
                  </w:tcBorders>
                  <w:noWrap w:val="0"/>
                  <w:vAlign w:val="center"/>
                </w:tcPr>
                <w:p w14:paraId="5653C458">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由更换厂家回收。</w:t>
                  </w:r>
                </w:p>
              </w:tc>
            </w:tr>
            <w:tr w14:paraId="27D98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42D1E090">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794" w:type="pct"/>
                  <w:noWrap w:val="0"/>
                  <w:vAlign w:val="center"/>
                </w:tcPr>
                <w:p w14:paraId="4AEB8716">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废弃</w:t>
                  </w:r>
                  <w:r>
                    <w:rPr>
                      <w:rFonts w:hint="default" w:ascii="Times New Roman" w:hAnsi="Times New Roman" w:eastAsia="宋体" w:cs="Times New Roman"/>
                      <w:color w:val="auto"/>
                      <w:sz w:val="18"/>
                      <w:szCs w:val="18"/>
                    </w:rPr>
                    <w:t>一次性手套</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口罩</w:t>
                  </w:r>
                  <w:r>
                    <w:rPr>
                      <w:rFonts w:hint="default" w:ascii="Times New Roman" w:hAnsi="Times New Roman" w:eastAsia="宋体" w:cs="Times New Roman"/>
                      <w:color w:val="auto"/>
                      <w:sz w:val="18"/>
                      <w:szCs w:val="18"/>
                    </w:rPr>
                    <w:t>等一次性用品</w:t>
                  </w:r>
                </w:p>
                <w:p w14:paraId="2A675B07">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c>
                <w:tcPr>
                  <w:tcW w:w="488" w:type="pct"/>
                  <w:vMerge w:val="continue"/>
                  <w:noWrap w:val="0"/>
                  <w:vAlign w:val="center"/>
                </w:tcPr>
                <w:p w14:paraId="26BDDF57">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c>
                <w:tcPr>
                  <w:tcW w:w="816" w:type="pct"/>
                  <w:noWrap w:val="0"/>
                  <w:vAlign w:val="center"/>
                </w:tcPr>
                <w:p w14:paraId="06FA86C7">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w:t>
                  </w:r>
                </w:p>
              </w:tc>
              <w:tc>
                <w:tcPr>
                  <w:tcW w:w="756" w:type="pct"/>
                  <w:noWrap w:val="0"/>
                  <w:vAlign w:val="center"/>
                </w:tcPr>
                <w:p w14:paraId="33B490B8">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w:t>
                  </w:r>
                  <w:r>
                    <w:rPr>
                      <w:rFonts w:hint="default" w:ascii="Times New Roman" w:hAnsi="Times New Roman" w:eastAsia="宋体" w:cs="Times New Roman"/>
                      <w:color w:val="auto"/>
                      <w:sz w:val="18"/>
                      <w:szCs w:val="18"/>
                      <w:lang w:val="en-US" w:eastAsia="zh-CN"/>
                    </w:rPr>
                    <w:t>1</w:t>
                  </w:r>
                  <w:r>
                    <w:rPr>
                      <w:rFonts w:hint="default" w:ascii="Times New Roman" w:hAnsi="Times New Roman" w:eastAsia="宋体" w:cs="Times New Roman"/>
                      <w:color w:val="auto"/>
                      <w:sz w:val="18"/>
                      <w:szCs w:val="18"/>
                    </w:rPr>
                    <w:t>t/a</w:t>
                  </w:r>
                </w:p>
              </w:tc>
              <w:tc>
                <w:tcPr>
                  <w:tcW w:w="1836" w:type="pct"/>
                  <w:tcBorders>
                    <w:top w:val="single" w:color="auto" w:sz="4" w:space="0"/>
                  </w:tcBorders>
                  <w:noWrap w:val="0"/>
                  <w:vAlign w:val="center"/>
                </w:tcPr>
                <w:p w14:paraId="1FA15878">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收集并用压力锅进行灭菌灭活处理后，同生活垃圾一起处理。</w:t>
                  </w:r>
                </w:p>
              </w:tc>
            </w:tr>
            <w:tr w14:paraId="3AA0A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1C2DA337">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6</w:t>
                  </w:r>
                </w:p>
              </w:tc>
              <w:tc>
                <w:tcPr>
                  <w:tcW w:w="794" w:type="pct"/>
                  <w:noWrap w:val="0"/>
                  <w:vAlign w:val="center"/>
                </w:tcPr>
                <w:p w14:paraId="1B9B60D2">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报废</w:t>
                  </w:r>
                  <w:r>
                    <w:rPr>
                      <w:rFonts w:hint="default" w:ascii="Times New Roman" w:hAnsi="Times New Roman" w:eastAsia="宋体" w:cs="Times New Roman"/>
                      <w:color w:val="auto"/>
                      <w:sz w:val="18"/>
                      <w:szCs w:val="18"/>
                      <w:lang w:eastAsia="zh-CN"/>
                    </w:rPr>
                    <w:t>、</w:t>
                  </w:r>
                  <w:r>
                    <w:rPr>
                      <w:rFonts w:hint="default" w:ascii="Times New Roman" w:hAnsi="Times New Roman" w:eastAsia="宋体" w:cs="Times New Roman"/>
                      <w:color w:val="auto"/>
                      <w:sz w:val="18"/>
                      <w:szCs w:val="18"/>
                      <w:lang w:val="en-US" w:eastAsia="zh-CN"/>
                    </w:rPr>
                    <w:t>失效、</w:t>
                  </w:r>
                  <w:r>
                    <w:rPr>
                      <w:rFonts w:hint="default" w:ascii="Times New Roman" w:hAnsi="Times New Roman" w:eastAsia="宋体" w:cs="Times New Roman"/>
                      <w:color w:val="auto"/>
                      <w:sz w:val="18"/>
                      <w:szCs w:val="18"/>
                    </w:rPr>
                    <w:t>过期化学试剂</w:t>
                  </w:r>
                </w:p>
              </w:tc>
              <w:tc>
                <w:tcPr>
                  <w:tcW w:w="488" w:type="pct"/>
                  <w:vMerge w:val="restart"/>
                  <w:noWrap w:val="0"/>
                  <w:vAlign w:val="center"/>
                </w:tcPr>
                <w:p w14:paraId="7EC30387">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危险废物</w:t>
                  </w:r>
                </w:p>
              </w:tc>
              <w:tc>
                <w:tcPr>
                  <w:tcW w:w="816" w:type="pct"/>
                  <w:noWrap w:val="0"/>
                  <w:vAlign w:val="center"/>
                </w:tcPr>
                <w:p w14:paraId="2F91DA5D">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HW49</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900-999-49</w:t>
                  </w:r>
                </w:p>
              </w:tc>
              <w:tc>
                <w:tcPr>
                  <w:tcW w:w="756" w:type="pct"/>
                  <w:noWrap w:val="0"/>
                  <w:vAlign w:val="center"/>
                </w:tcPr>
                <w:p w14:paraId="6B8ABA82">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0.01t/a</w:t>
                  </w:r>
                </w:p>
              </w:tc>
              <w:tc>
                <w:tcPr>
                  <w:tcW w:w="1836" w:type="pct"/>
                  <w:vMerge w:val="restart"/>
                  <w:tcBorders>
                    <w:top w:val="single" w:color="auto" w:sz="4" w:space="0"/>
                  </w:tcBorders>
                  <w:noWrap w:val="0"/>
                  <w:vAlign w:val="center"/>
                </w:tcPr>
                <w:p w14:paraId="08D944AA">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分类</w:t>
                  </w:r>
                  <w:r>
                    <w:rPr>
                      <w:rFonts w:hint="default" w:ascii="Times New Roman" w:hAnsi="Times New Roman" w:eastAsia="宋体" w:cs="Times New Roman"/>
                      <w:color w:val="auto"/>
                      <w:sz w:val="18"/>
                      <w:szCs w:val="18"/>
                    </w:rPr>
                    <w:t>暂存</w:t>
                  </w:r>
                  <w:r>
                    <w:rPr>
                      <w:rFonts w:hint="default" w:ascii="Times New Roman" w:hAnsi="Times New Roman" w:eastAsia="宋体" w:cs="Times New Roman"/>
                      <w:color w:val="auto"/>
                      <w:sz w:val="18"/>
                      <w:szCs w:val="18"/>
                      <w:lang w:val="en-US" w:eastAsia="zh-CN"/>
                    </w:rPr>
                    <w:t>于</w:t>
                  </w:r>
                  <w:r>
                    <w:rPr>
                      <w:rFonts w:hint="default" w:ascii="Times New Roman" w:hAnsi="Times New Roman" w:eastAsia="宋体" w:cs="Times New Roman"/>
                      <w:color w:val="auto"/>
                      <w:sz w:val="18"/>
                      <w:szCs w:val="18"/>
                    </w:rPr>
                    <w:t>危废暂存间内，</w:t>
                  </w:r>
                  <w:r>
                    <w:rPr>
                      <w:rFonts w:hint="default" w:ascii="Times New Roman" w:hAnsi="Times New Roman" w:eastAsia="宋体" w:cs="Times New Roman"/>
                      <w:color w:val="auto"/>
                      <w:sz w:val="18"/>
                      <w:szCs w:val="18"/>
                      <w:lang w:val="en-US" w:eastAsia="zh-CN"/>
                    </w:rPr>
                    <w:t>定期委托资质单位</w:t>
                  </w:r>
                  <w:r>
                    <w:rPr>
                      <w:rFonts w:hint="default" w:ascii="Times New Roman" w:hAnsi="Times New Roman" w:eastAsia="宋体" w:cs="Times New Roman"/>
                      <w:color w:val="auto"/>
                      <w:sz w:val="18"/>
                      <w:szCs w:val="18"/>
                    </w:rPr>
                    <w:t>清运处理。</w:t>
                  </w:r>
                </w:p>
              </w:tc>
            </w:tr>
            <w:tr w14:paraId="4BC019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091FC6A4">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7</w:t>
                  </w:r>
                </w:p>
              </w:tc>
              <w:tc>
                <w:tcPr>
                  <w:tcW w:w="794" w:type="pct"/>
                  <w:noWrap w:val="0"/>
                  <w:vAlign w:val="center"/>
                </w:tcPr>
                <w:p w14:paraId="424B7792">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实验废液</w:t>
                  </w:r>
                </w:p>
              </w:tc>
              <w:tc>
                <w:tcPr>
                  <w:tcW w:w="488" w:type="pct"/>
                  <w:vMerge w:val="continue"/>
                  <w:noWrap w:val="0"/>
                  <w:vAlign w:val="center"/>
                </w:tcPr>
                <w:p w14:paraId="282D8F6F">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c>
                <w:tcPr>
                  <w:tcW w:w="816" w:type="pct"/>
                  <w:noWrap w:val="0"/>
                  <w:vAlign w:val="center"/>
                </w:tcPr>
                <w:p w14:paraId="2FC7D8BC">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HW49</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900-047-49</w:t>
                  </w:r>
                </w:p>
              </w:tc>
              <w:tc>
                <w:tcPr>
                  <w:tcW w:w="756" w:type="pct"/>
                  <w:noWrap w:val="0"/>
                  <w:vAlign w:val="center"/>
                </w:tcPr>
                <w:p w14:paraId="18B909AB">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6</w:t>
                  </w:r>
                  <w:r>
                    <w:rPr>
                      <w:rFonts w:hint="default" w:ascii="Times New Roman" w:hAnsi="Times New Roman" w:eastAsia="宋体" w:cs="Times New Roman"/>
                      <w:color w:val="auto"/>
                      <w:sz w:val="18"/>
                      <w:szCs w:val="18"/>
                    </w:rPr>
                    <w:t>t/a</w:t>
                  </w:r>
                </w:p>
              </w:tc>
              <w:tc>
                <w:tcPr>
                  <w:tcW w:w="1836" w:type="pct"/>
                  <w:vMerge w:val="continue"/>
                  <w:noWrap w:val="0"/>
                  <w:vAlign w:val="center"/>
                </w:tcPr>
                <w:p w14:paraId="046C09FF">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r>
            <w:tr w14:paraId="10B0E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5B3D96BC">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8</w:t>
                  </w:r>
                </w:p>
              </w:tc>
              <w:tc>
                <w:tcPr>
                  <w:tcW w:w="794" w:type="pct"/>
                  <w:noWrap w:val="0"/>
                  <w:vAlign w:val="center"/>
                </w:tcPr>
                <w:p w14:paraId="6DF5C9F5">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废活性炭</w:t>
                  </w:r>
                </w:p>
              </w:tc>
              <w:tc>
                <w:tcPr>
                  <w:tcW w:w="488" w:type="pct"/>
                  <w:vMerge w:val="continue"/>
                  <w:noWrap w:val="0"/>
                  <w:vAlign w:val="center"/>
                </w:tcPr>
                <w:p w14:paraId="6CB63ABE">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c>
                <w:tcPr>
                  <w:tcW w:w="816" w:type="pct"/>
                  <w:noWrap w:val="0"/>
                  <w:vAlign w:val="center"/>
                </w:tcPr>
                <w:p w14:paraId="2260818A">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HW49</w:t>
                  </w:r>
                  <w:r>
                    <w:rPr>
                      <w:rFonts w:hint="default" w:ascii="Times New Roman" w:hAnsi="Times New Roman" w:eastAsia="宋体" w:cs="Times New Roman"/>
                      <w:color w:val="auto"/>
                      <w:sz w:val="18"/>
                      <w:szCs w:val="18"/>
                      <w:lang w:val="en-US" w:eastAsia="zh-CN"/>
                    </w:rPr>
                    <w:t xml:space="preserve"> </w:t>
                  </w:r>
                  <w:r>
                    <w:rPr>
                      <w:rFonts w:hint="default" w:ascii="Times New Roman" w:hAnsi="Times New Roman" w:eastAsia="宋体" w:cs="Times New Roman"/>
                      <w:color w:val="auto"/>
                      <w:sz w:val="18"/>
                      <w:szCs w:val="18"/>
                    </w:rPr>
                    <w:t>900-039-49</w:t>
                  </w:r>
                </w:p>
              </w:tc>
              <w:tc>
                <w:tcPr>
                  <w:tcW w:w="756" w:type="pct"/>
                  <w:noWrap w:val="0"/>
                  <w:vAlign w:val="center"/>
                </w:tcPr>
                <w:p w14:paraId="6EA5257B">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eastAsia" w:cs="Times New Roman"/>
                      <w:color w:val="auto"/>
                      <w:sz w:val="18"/>
                      <w:szCs w:val="18"/>
                      <w:lang w:val="en-US" w:eastAsia="zh-CN"/>
                    </w:rPr>
                    <w:t>0.4051t/a</w:t>
                  </w:r>
                </w:p>
              </w:tc>
              <w:tc>
                <w:tcPr>
                  <w:tcW w:w="1836" w:type="pct"/>
                  <w:vMerge w:val="continue"/>
                  <w:noWrap w:val="0"/>
                  <w:vAlign w:val="center"/>
                </w:tcPr>
                <w:p w14:paraId="58C9EA21">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r>
            <w:tr w14:paraId="6573C4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43FA13A6">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9</w:t>
                  </w:r>
                </w:p>
              </w:tc>
              <w:tc>
                <w:tcPr>
                  <w:tcW w:w="794" w:type="pct"/>
                  <w:noWrap w:val="0"/>
                  <w:vAlign w:val="center"/>
                </w:tcPr>
                <w:p w14:paraId="4FDE04C2">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实验室废试剂包装</w:t>
                  </w:r>
                </w:p>
              </w:tc>
              <w:tc>
                <w:tcPr>
                  <w:tcW w:w="488" w:type="pct"/>
                  <w:vMerge w:val="continue"/>
                  <w:noWrap w:val="0"/>
                  <w:vAlign w:val="center"/>
                </w:tcPr>
                <w:p w14:paraId="4F9E4C54">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c>
                <w:tcPr>
                  <w:tcW w:w="816" w:type="pct"/>
                  <w:noWrap w:val="0"/>
                  <w:vAlign w:val="center"/>
                </w:tcPr>
                <w:p w14:paraId="72FCB421">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HW49 900-041-49</w:t>
                  </w:r>
                </w:p>
              </w:tc>
              <w:tc>
                <w:tcPr>
                  <w:tcW w:w="756" w:type="pct"/>
                  <w:noWrap w:val="0"/>
                  <w:vAlign w:val="center"/>
                </w:tcPr>
                <w:p w14:paraId="1C5611CA">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w:t>
                  </w:r>
                  <w:r>
                    <w:rPr>
                      <w:rFonts w:hint="default" w:ascii="Times New Roman" w:hAnsi="Times New Roman" w:eastAsia="宋体" w:cs="Times New Roman"/>
                      <w:color w:val="auto"/>
                      <w:sz w:val="18"/>
                      <w:szCs w:val="18"/>
                      <w:lang w:val="en-US" w:eastAsia="zh-CN"/>
                    </w:rPr>
                    <w:t>5</w:t>
                  </w:r>
                  <w:r>
                    <w:rPr>
                      <w:rFonts w:hint="default" w:ascii="Times New Roman" w:hAnsi="Times New Roman" w:eastAsia="宋体" w:cs="Times New Roman"/>
                      <w:color w:val="auto"/>
                      <w:sz w:val="18"/>
                      <w:szCs w:val="18"/>
                    </w:rPr>
                    <w:t>t/a</w:t>
                  </w:r>
                </w:p>
              </w:tc>
              <w:tc>
                <w:tcPr>
                  <w:tcW w:w="1836" w:type="pct"/>
                  <w:vMerge w:val="continue"/>
                  <w:noWrap w:val="0"/>
                  <w:vAlign w:val="center"/>
                </w:tcPr>
                <w:p w14:paraId="4F4BFD51">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r>
            <w:tr w14:paraId="3AE81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7E439459">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10</w:t>
                  </w:r>
                </w:p>
              </w:tc>
              <w:tc>
                <w:tcPr>
                  <w:tcW w:w="794" w:type="pct"/>
                  <w:noWrap w:val="0"/>
                  <w:vAlign w:val="center"/>
                </w:tcPr>
                <w:p w14:paraId="2323190C">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中和沉淀池残渣</w:t>
                  </w:r>
                </w:p>
              </w:tc>
              <w:tc>
                <w:tcPr>
                  <w:tcW w:w="488" w:type="pct"/>
                  <w:vMerge w:val="continue"/>
                  <w:noWrap w:val="0"/>
                  <w:vAlign w:val="center"/>
                </w:tcPr>
                <w:p w14:paraId="6ACDF6AD">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c>
                <w:tcPr>
                  <w:tcW w:w="816" w:type="pct"/>
                  <w:noWrap w:val="0"/>
                  <w:vAlign w:val="center"/>
                </w:tcPr>
                <w:p w14:paraId="32F3029A">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HW49 900-047-49</w:t>
                  </w:r>
                </w:p>
              </w:tc>
              <w:tc>
                <w:tcPr>
                  <w:tcW w:w="756" w:type="pct"/>
                  <w:noWrap w:val="0"/>
                  <w:vAlign w:val="center"/>
                </w:tcPr>
                <w:p w14:paraId="2AB3EC1B">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0.01t/a</w:t>
                  </w:r>
                </w:p>
              </w:tc>
              <w:tc>
                <w:tcPr>
                  <w:tcW w:w="1836" w:type="pct"/>
                  <w:vMerge w:val="continue"/>
                  <w:noWrap w:val="0"/>
                  <w:vAlign w:val="center"/>
                </w:tcPr>
                <w:p w14:paraId="5D22EA1A">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r>
            <w:tr w14:paraId="319FB4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29533CCE">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11</w:t>
                  </w:r>
                </w:p>
              </w:tc>
              <w:tc>
                <w:tcPr>
                  <w:tcW w:w="794" w:type="pct"/>
                  <w:noWrap w:val="0"/>
                  <w:vAlign w:val="center"/>
                </w:tcPr>
                <w:p w14:paraId="43E9A2F5">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废紫外灯管</w:t>
                  </w:r>
                </w:p>
              </w:tc>
              <w:tc>
                <w:tcPr>
                  <w:tcW w:w="488" w:type="pct"/>
                  <w:vMerge w:val="continue"/>
                  <w:noWrap w:val="0"/>
                  <w:vAlign w:val="center"/>
                </w:tcPr>
                <w:p w14:paraId="1C4599BB">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c>
                <w:tcPr>
                  <w:tcW w:w="816" w:type="pct"/>
                  <w:noWrap w:val="0"/>
                  <w:vAlign w:val="center"/>
                </w:tcPr>
                <w:p w14:paraId="5234B2A1">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 xml:space="preserve">9 </w:t>
                  </w:r>
                  <w:r>
                    <w:rPr>
                      <w:rFonts w:hint="default" w:ascii="Times New Roman" w:hAnsi="Times New Roman" w:eastAsia="宋体" w:cs="Times New Roman"/>
                      <w:color w:val="auto"/>
                      <w:sz w:val="18"/>
                      <w:szCs w:val="18"/>
                      <w:lang w:val="en-US" w:eastAsia="zh-CN"/>
                    </w:rPr>
                    <w:t>900-023-29</w:t>
                  </w:r>
                </w:p>
              </w:tc>
              <w:tc>
                <w:tcPr>
                  <w:tcW w:w="756" w:type="pct"/>
                  <w:noWrap w:val="0"/>
                  <w:vAlign w:val="center"/>
                </w:tcPr>
                <w:p w14:paraId="588E6360">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0.01t/a</w:t>
                  </w:r>
                </w:p>
              </w:tc>
              <w:tc>
                <w:tcPr>
                  <w:tcW w:w="1836" w:type="pct"/>
                  <w:vMerge w:val="continue"/>
                  <w:noWrap w:val="0"/>
                  <w:vAlign w:val="center"/>
                </w:tcPr>
                <w:p w14:paraId="55396D0F">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r>
            <w:tr w14:paraId="55505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307" w:type="pct"/>
                  <w:noWrap w:val="0"/>
                  <w:vAlign w:val="center"/>
                </w:tcPr>
                <w:p w14:paraId="70BE4BB7">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12</w:t>
                  </w:r>
                </w:p>
              </w:tc>
              <w:tc>
                <w:tcPr>
                  <w:tcW w:w="794" w:type="pct"/>
                  <w:noWrap w:val="0"/>
                  <w:vAlign w:val="center"/>
                </w:tcPr>
                <w:p w14:paraId="3EBC1A76">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lang w:val="en-US" w:eastAsia="zh-CN"/>
                    </w:rPr>
                    <w:t>喷淋塔沉渣</w:t>
                  </w:r>
                </w:p>
              </w:tc>
              <w:tc>
                <w:tcPr>
                  <w:tcW w:w="488" w:type="pct"/>
                  <w:vMerge w:val="continue"/>
                  <w:noWrap w:val="0"/>
                  <w:vAlign w:val="center"/>
                </w:tcPr>
                <w:p w14:paraId="704564BB">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c>
                <w:tcPr>
                  <w:tcW w:w="816" w:type="pct"/>
                  <w:noWrap w:val="0"/>
                  <w:vAlign w:val="center"/>
                </w:tcPr>
                <w:p w14:paraId="226F4702">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HW</w:t>
                  </w:r>
                  <w:r>
                    <w:rPr>
                      <w:rFonts w:hint="default" w:ascii="Times New Roman" w:hAnsi="Times New Roman" w:eastAsia="宋体" w:cs="Times New Roman"/>
                      <w:color w:val="auto"/>
                      <w:sz w:val="18"/>
                      <w:szCs w:val="18"/>
                      <w:lang w:val="en-US" w:eastAsia="zh-CN"/>
                    </w:rPr>
                    <w:t>35</w:t>
                  </w:r>
                  <w:r>
                    <w:rPr>
                      <w:rFonts w:hint="default" w:ascii="Times New Roman" w:hAnsi="Times New Roman" w:eastAsia="宋体" w:cs="Times New Roman"/>
                      <w:color w:val="auto"/>
                      <w:sz w:val="18"/>
                      <w:szCs w:val="18"/>
                    </w:rPr>
                    <w:t xml:space="preserve"> </w:t>
                  </w:r>
                  <w:r>
                    <w:rPr>
                      <w:rFonts w:hint="default" w:ascii="Times New Roman" w:hAnsi="Times New Roman" w:eastAsia="宋体" w:cs="Times New Roman"/>
                      <w:color w:val="auto"/>
                      <w:sz w:val="18"/>
                      <w:szCs w:val="18"/>
                      <w:lang w:val="en-US" w:eastAsia="zh-CN"/>
                    </w:rPr>
                    <w:t>900-399-35</w:t>
                  </w:r>
                </w:p>
              </w:tc>
              <w:tc>
                <w:tcPr>
                  <w:tcW w:w="756" w:type="pct"/>
                  <w:noWrap w:val="0"/>
                  <w:vAlign w:val="center"/>
                </w:tcPr>
                <w:p w14:paraId="190DCB4D">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0.008t/a</w:t>
                  </w:r>
                </w:p>
              </w:tc>
              <w:tc>
                <w:tcPr>
                  <w:tcW w:w="1836" w:type="pct"/>
                  <w:vMerge w:val="continue"/>
                  <w:noWrap w:val="0"/>
                  <w:vAlign w:val="center"/>
                </w:tcPr>
                <w:p w14:paraId="506A0F12">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rPr>
                  </w:pPr>
                </w:p>
              </w:tc>
            </w:tr>
          </w:tbl>
          <w:p w14:paraId="7C3B0801">
            <w:pPr>
              <w:bidi w:val="0"/>
              <w:spacing w:line="36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4.2运营期固体废物污染防治措施及管理要求</w:t>
            </w:r>
          </w:p>
          <w:p w14:paraId="1FB49E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(1)生活垃圾</w:t>
            </w:r>
          </w:p>
          <w:p w14:paraId="434C075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项目产生的生活垃圾统一收集于垃圾桶中，由专人清理至项目所处区域垃圾集中收集点，统一委托环卫部门统一清运处理</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禁止随意丢弃填埋。生活垃圾处置率100%，对周围环境影响较小，处置措施可行。</w:t>
            </w:r>
          </w:p>
          <w:p w14:paraId="4C598B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(2)实验室一般固体废物</w:t>
            </w:r>
          </w:p>
          <w:p w14:paraId="0CCFCF9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破碎玻璃和废包装品，经分类收集，分类处理，可回收部分卖给废品收购站进行回收利用，不可回收部分同生活垃圾一起处理；废培养基</w:t>
            </w:r>
            <w:r>
              <w:rPr>
                <w:rFonts w:hint="eastAsia" w:ascii="Times New Roman" w:hAnsi="Times New Roman" w:eastAsia="宋体" w:cs="Times New Roman"/>
                <w:color w:val="auto"/>
                <w:lang w:val="en-US" w:eastAsia="zh-CN"/>
              </w:rPr>
              <w:t>及废弃一次性手套、口罩等一次性用品</w:t>
            </w:r>
            <w:r>
              <w:rPr>
                <w:rFonts w:hint="default" w:ascii="Times New Roman" w:hAnsi="Times New Roman" w:eastAsia="宋体" w:cs="Times New Roman"/>
                <w:color w:val="auto"/>
                <w:lang w:val="en-US" w:eastAsia="zh-CN"/>
              </w:rPr>
              <w:t>统一收集并用高温灭菌锅进行灭菌灭活处理后，同生活垃圾一起处理；超纯水机设备更换的废过滤膜、废活性炭由更换厂家直接回收处置，对环境影响较小。</w:t>
            </w:r>
          </w:p>
          <w:p w14:paraId="0086ED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实验室一般固体废物性质与生活垃圾相近，统一收集</w:t>
            </w:r>
            <w:r>
              <w:rPr>
                <w:rFonts w:hint="eastAsia" w:ascii="Times New Roman" w:hAnsi="Times New Roman" w:eastAsia="宋体" w:cs="Times New Roman"/>
                <w:color w:val="auto"/>
                <w:lang w:val="en-US" w:eastAsia="zh-CN"/>
              </w:rPr>
              <w:t>后</w:t>
            </w:r>
            <w:r>
              <w:rPr>
                <w:rFonts w:hint="default" w:ascii="Times New Roman" w:hAnsi="Times New Roman" w:eastAsia="宋体" w:cs="Times New Roman"/>
                <w:color w:val="auto"/>
                <w:lang w:val="en-US" w:eastAsia="zh-CN"/>
              </w:rPr>
              <w:t>可回收部分外卖废品站回收利用，不可回收部分与生活垃圾共同处置，处置遵循资源化、减量化原则，处置率100%，处置合理。</w:t>
            </w:r>
          </w:p>
          <w:p w14:paraId="11286F2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color w:val="auto"/>
                <w:lang w:val="en-US" w:eastAsia="zh-CN"/>
              </w:rPr>
              <w:t>(</w:t>
            </w:r>
            <w:r>
              <w:rPr>
                <w:rFonts w:hint="default" w:ascii="Times New Roman" w:hAnsi="Times New Roman" w:eastAsia="宋体" w:cs="Times New Roman"/>
                <w:color w:val="auto"/>
                <w:lang w:val="en-US" w:eastAsia="zh-CN"/>
              </w:rPr>
              <w:t>3)危险废物</w:t>
            </w:r>
          </w:p>
          <w:p w14:paraId="73B4BB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项目产生的危险废物主要有报废、失效、过期的化学试剂、化学品，实验废液</w:t>
            </w:r>
            <w:r>
              <w:rPr>
                <w:rFonts w:hint="eastAsia" w:ascii="Times New Roman" w:hAnsi="Times New Roman" w:eastAsia="宋体" w:cs="Times New Roman"/>
                <w:color w:val="auto"/>
                <w:lang w:val="en-US" w:eastAsia="zh-CN"/>
              </w:rPr>
              <w:t>、废活性炭、</w:t>
            </w:r>
            <w:r>
              <w:rPr>
                <w:rFonts w:hint="default" w:ascii="Times New Roman" w:hAnsi="Times New Roman" w:eastAsia="宋体" w:cs="Times New Roman"/>
                <w:color w:val="auto"/>
                <w:lang w:val="en-US" w:eastAsia="zh-CN"/>
              </w:rPr>
              <w:t>实验室废试剂包装、中和沉淀池残渣</w:t>
            </w:r>
            <w:r>
              <w:rPr>
                <w:rFonts w:hint="eastAsia" w:ascii="Times New Roman" w:hAnsi="Times New Roman" w:eastAsia="宋体" w:cs="Times New Roman"/>
                <w:color w:val="auto"/>
                <w:lang w:val="en-US" w:eastAsia="zh-CN"/>
              </w:rPr>
              <w:t>、废紫外灯管、喷淋塔沉渣等</w:t>
            </w:r>
            <w:r>
              <w:rPr>
                <w:rFonts w:hint="default" w:ascii="Times New Roman" w:hAnsi="Times New Roman" w:eastAsia="宋体" w:cs="Times New Roman"/>
                <w:color w:val="auto"/>
                <w:lang w:val="en-US" w:eastAsia="zh-CN"/>
              </w:rPr>
              <w:t>。产生的危险废物暂存于危险废物暂存间内，定期委托有资质单位清运处置</w:t>
            </w:r>
            <w:r>
              <w:rPr>
                <w:rFonts w:hint="eastAsia" w:ascii="Times New Roman" w:hAnsi="Times New Roman" w:eastAsia="宋体" w:cs="Times New Roman"/>
                <w:color w:val="auto"/>
                <w:lang w:val="en-US" w:eastAsia="zh-CN"/>
              </w:rPr>
              <w:t>。</w:t>
            </w:r>
          </w:p>
          <w:p w14:paraId="41422F2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①危险化学品储存场所要求</w:t>
            </w:r>
          </w:p>
          <w:p w14:paraId="167E3A3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危险化学品存放于试剂室危险化学品柜，并设专人看管登记记录进出量。在运营使用过程中要注意安全、防风化、防潮解、防曝光、防挥发，化学试剂的保存应根据其毒性、易燃性、腐蚀性和潮解性等不同化学性质进行妥善保管，建立化学试剂电子清单，以便清点和防止重复购买，对新采购入库的化学试剂应及时更新电子清单（清单内容应包括名称、等级或纯度、规格、购进日期、生产厂家、用途等相关信息），并对其粘贴清晰的标签后进行归类存放，领用化学试剂时同样做好电子清单的更新工作，并做好领用相关的登记工作。领取回用于实验的药品为一周的使用量，置于实验室的药品架上，防止试剂瓶滑落，试剂瓶外壁应清晰注明试剂名称、浓度或配比、配制日期、配制人员姓名等信息，将有标签的方向朝外，摆放整齐。若物料包装发现破损或泄露，及时发现问题，将泄露的物料放置在塑料桶内，之后放置于厂区危废暂存间，定期委外。本项目在危废堆放区域旁设置应急处理区域，一旦出现物料泄露的事故后，将泄露的物料放置在危废暂存间域，作为危废一起处理。</w:t>
            </w:r>
          </w:p>
          <w:p w14:paraId="1543ED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②危险废物暂存间的设置情况</w:t>
            </w:r>
          </w:p>
          <w:p w14:paraId="5AAE7BC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项目拟在实验室西侧设置一间危废暂存间（8.9m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），本环评要求建设单位建设的危废暂存间的设置应严格按照《危险废物贮存污染控制标准》（GB18597-2023）的相关要求进行设计：</w:t>
            </w:r>
            <w:r>
              <w:rPr>
                <w:rFonts w:hint="eastAsia" w:ascii="Times New Roman" w:hAnsi="Times New Roman" w:eastAsia="宋体" w:cs="Times New Roman"/>
                <w:color w:val="auto"/>
                <w:lang w:val="en-US" w:eastAsia="zh-CN"/>
              </w:rPr>
              <w:t>a.</w:t>
            </w:r>
            <w:r>
              <w:rPr>
                <w:rFonts w:hint="default" w:ascii="Times New Roman" w:hAnsi="Times New Roman" w:eastAsia="宋体" w:cs="Times New Roman"/>
                <w:color w:val="auto"/>
                <w:lang w:val="en-US" w:eastAsia="zh-CN"/>
              </w:rPr>
              <w:t>地面与裙脚要用坚固、防渗的材料建造，建筑材料必须与危险废物相容；</w:t>
            </w:r>
            <w:r>
              <w:rPr>
                <w:rFonts w:hint="eastAsia" w:ascii="Times New Roman" w:hAnsi="Times New Roman" w:eastAsia="宋体" w:cs="Times New Roman"/>
                <w:color w:val="auto"/>
                <w:lang w:val="en-US" w:eastAsia="zh-CN"/>
              </w:rPr>
              <w:t>b.</w:t>
            </w:r>
            <w:r>
              <w:rPr>
                <w:rFonts w:hint="default" w:ascii="Times New Roman" w:hAnsi="Times New Roman" w:eastAsia="宋体" w:cs="Times New Roman"/>
                <w:color w:val="auto"/>
                <w:lang w:val="en-US" w:eastAsia="zh-CN"/>
              </w:rPr>
              <w:t>必须有泄漏液体收集装置、气体导出口及气体净化装置；</w:t>
            </w:r>
            <w:r>
              <w:rPr>
                <w:rFonts w:hint="eastAsia" w:ascii="Times New Roman" w:hAnsi="Times New Roman" w:eastAsia="宋体" w:cs="Times New Roman"/>
                <w:color w:val="auto"/>
                <w:lang w:val="en-US" w:eastAsia="zh-CN"/>
              </w:rPr>
              <w:t>c.</w:t>
            </w:r>
            <w:r>
              <w:rPr>
                <w:rFonts w:hint="default" w:ascii="Times New Roman" w:hAnsi="Times New Roman" w:eastAsia="宋体" w:cs="Times New Roman"/>
                <w:color w:val="auto"/>
                <w:lang w:val="en-US" w:eastAsia="zh-CN"/>
              </w:rPr>
              <w:t>设施内要有安全照明设施和观察窗口；</w:t>
            </w:r>
            <w:r>
              <w:rPr>
                <w:rFonts w:hint="eastAsia" w:ascii="Times New Roman" w:hAnsi="Times New Roman" w:eastAsia="宋体" w:cs="Times New Roman"/>
                <w:color w:val="auto"/>
                <w:lang w:val="en-US" w:eastAsia="zh-CN"/>
              </w:rPr>
              <w:t>d.</w:t>
            </w:r>
            <w:r>
              <w:rPr>
                <w:rFonts w:hint="default" w:ascii="Times New Roman" w:hAnsi="Times New Roman" w:eastAsia="宋体" w:cs="Times New Roman"/>
                <w:color w:val="auto"/>
                <w:lang w:val="en-US" w:eastAsia="zh-CN"/>
              </w:rPr>
              <w:t>用以存放装载液体、半固体危险废物容器的地方，必须有耐腐蚀的硬化地面，且表面无裂隙；</w:t>
            </w:r>
            <w:r>
              <w:rPr>
                <w:rFonts w:hint="eastAsia" w:ascii="Times New Roman" w:hAnsi="Times New Roman" w:eastAsia="宋体" w:cs="Times New Roman"/>
                <w:color w:val="auto"/>
                <w:lang w:val="en-US" w:eastAsia="zh-CN"/>
              </w:rPr>
              <w:t>e.</w:t>
            </w:r>
            <w:r>
              <w:rPr>
                <w:rFonts w:hint="default" w:ascii="Times New Roman" w:hAnsi="Times New Roman" w:eastAsia="宋体" w:cs="Times New Roman"/>
                <w:color w:val="auto"/>
                <w:lang w:val="en-US" w:eastAsia="zh-CN"/>
              </w:rPr>
              <w:t>应设计堵截泄漏的裙脚，地面与裙脚所围建的容积不低于堵截最大容器的最大储量或总储量的五分之一；</w:t>
            </w:r>
            <w:r>
              <w:rPr>
                <w:rFonts w:hint="eastAsia" w:ascii="Times New Roman" w:hAnsi="Times New Roman" w:eastAsia="宋体" w:cs="Times New Roman"/>
                <w:color w:val="auto"/>
                <w:lang w:val="en-US" w:eastAsia="zh-CN"/>
              </w:rPr>
              <w:t>f.</w:t>
            </w:r>
            <w:r>
              <w:rPr>
                <w:rFonts w:hint="default" w:ascii="Times New Roman" w:hAnsi="Times New Roman" w:eastAsia="宋体" w:cs="Times New Roman"/>
                <w:color w:val="auto"/>
                <w:lang w:val="en-US" w:eastAsia="zh-CN"/>
              </w:rPr>
              <w:t>不相容的危险废物必须分开存放，并设有隔离间隔断；</w:t>
            </w:r>
            <w:r>
              <w:rPr>
                <w:rFonts w:hint="eastAsia" w:ascii="Times New Roman" w:hAnsi="Times New Roman" w:eastAsia="宋体" w:cs="Times New Roman"/>
                <w:color w:val="auto"/>
                <w:lang w:val="en-US" w:eastAsia="zh-CN"/>
              </w:rPr>
              <w:t>g.</w:t>
            </w:r>
            <w:r>
              <w:rPr>
                <w:rFonts w:hint="default" w:ascii="Times New Roman" w:hAnsi="Times New Roman" w:eastAsia="宋体" w:cs="Times New Roman"/>
                <w:color w:val="auto"/>
                <w:lang w:val="en-US" w:eastAsia="zh-CN"/>
              </w:rPr>
              <w:t>危废收集间内用于堆放危险废物的基础应做防渗处理；</w:t>
            </w:r>
            <w:r>
              <w:rPr>
                <w:rFonts w:hint="eastAsia" w:ascii="Times New Roman" w:hAnsi="Times New Roman" w:eastAsia="宋体" w:cs="Times New Roman"/>
                <w:color w:val="auto"/>
                <w:lang w:val="en-US" w:eastAsia="zh-CN"/>
              </w:rPr>
              <w:t>h.</w:t>
            </w:r>
            <w:r>
              <w:rPr>
                <w:rFonts w:hint="default" w:ascii="Times New Roman" w:hAnsi="Times New Roman" w:eastAsia="宋体" w:cs="Times New Roman"/>
                <w:color w:val="auto"/>
                <w:lang w:val="en-US" w:eastAsia="zh-CN"/>
              </w:rPr>
              <w:t>危废收集间外应张贴危险废物识别标志等。</w:t>
            </w:r>
          </w:p>
          <w:p w14:paraId="017FC61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项目危废暂存间应按照《危险废物贮存污染控制标准》（GB 18597-2023）的要求，基础必须防渗，防渗层为至少1m厚粘土层（渗透系数≤10</w:t>
            </w:r>
            <w:r>
              <w:rPr>
                <w:rFonts w:hint="default" w:ascii="Times New Roman" w:hAnsi="Times New Roman" w:eastAsia="宋体" w:cs="Times New Roman"/>
                <w:color w:val="auto"/>
                <w:vertAlign w:val="superscript"/>
                <w:lang w:val="en-US" w:eastAsia="zh-CN"/>
              </w:rPr>
              <w:t>-7</w:t>
            </w:r>
            <w:r>
              <w:rPr>
                <w:rFonts w:hint="default" w:ascii="Times New Roman" w:hAnsi="Times New Roman" w:eastAsia="宋体" w:cs="Times New Roman"/>
                <w:color w:val="auto"/>
                <w:lang w:val="en-US" w:eastAsia="zh-CN"/>
              </w:rPr>
              <w:t>cm/s），或2mm厚高密度聚乙烯，或至少2mm厚的其他人工材料，渗透系数≤10</w:t>
            </w:r>
            <w:r>
              <w:rPr>
                <w:rFonts w:hint="default" w:ascii="Times New Roman" w:hAnsi="Times New Roman" w:eastAsia="宋体" w:cs="Times New Roman"/>
                <w:color w:val="auto"/>
                <w:vertAlign w:val="superscript"/>
                <w:lang w:val="en-US" w:eastAsia="zh-CN"/>
              </w:rPr>
              <w:t>-10</w:t>
            </w:r>
            <w:r>
              <w:rPr>
                <w:rFonts w:hint="default" w:ascii="Times New Roman" w:hAnsi="Times New Roman" w:eastAsia="宋体" w:cs="Times New Roman"/>
                <w:color w:val="auto"/>
                <w:lang w:val="en-US" w:eastAsia="zh-CN"/>
              </w:rPr>
              <w:t>cm/s。危险废物堆要做好防风、防雨、防晒措施。各类危险废物应分开堆放贮存，贮存容器应满足危险废物贮存的要求，与所贮存的危险废物具有相容性。</w:t>
            </w:r>
          </w:p>
          <w:p w14:paraId="4EEC6EE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不相容的危险废物不能存放在同一个容器内；盛装危险废物的容器上应张贴危险废物识别标志等；应按照按国家有关规定进行登记，建立危废收集清运台账；项目区内统一将危废收集至危废收集间后定期交由有资质的单位处理。</w:t>
            </w:r>
          </w:p>
          <w:p w14:paraId="690873E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③危险废物的管理</w:t>
            </w:r>
          </w:p>
          <w:p w14:paraId="24FF38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危废由专业人员操作，单独收集储运，待废弃物达到一定量定期由有相应处理资质的单位运输处理，危险废物转移严格按照《危险废物收集贮存运输技术规范》（HJ2025-2012）和《危险废物转移联单管理办法》的要求进行。按照国家有关规定报批危险废物转移计划，经批准后，产生单位应当向移出地环境保护行政主管部门申请领取联单，在运输过程中严格按要求填写“五联单”，转移完成后将相应联单提交到相关单位并且建立台账。</w:t>
            </w:r>
          </w:p>
          <w:p w14:paraId="6EF69DB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（4）小结</w:t>
            </w:r>
          </w:p>
          <w:p w14:paraId="11BF869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eastAsia" w:ascii="Times New Roman" w:hAnsi="Times New Roman" w:eastAsia="宋体" w:cs="Times New Roman"/>
                <w:color w:val="auto"/>
                <w:lang w:val="en-US" w:eastAsia="zh-CN"/>
              </w:rPr>
              <w:t>本项目</w:t>
            </w:r>
            <w:r>
              <w:rPr>
                <w:rFonts w:hint="default" w:ascii="Times New Roman" w:hAnsi="Times New Roman" w:eastAsia="宋体" w:cs="Times New Roman"/>
                <w:color w:val="auto"/>
                <w:lang w:val="en-US" w:eastAsia="zh-CN"/>
              </w:rPr>
              <w:t>根据国家有关法规的要求，对一般工业固体废物、危险废物、生活垃圾采取了相应的防治措施，通过采取上述措施后，本项目固体废物处置率100%，对周围环境影响较小。</w:t>
            </w:r>
          </w:p>
          <w:p w14:paraId="63E230D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5地下水</w:t>
            </w:r>
            <w:r>
              <w:rPr>
                <w:rFonts w:hint="eastAsia" w:cs="Times New Roman"/>
                <w:b/>
                <w:bCs/>
                <w:color w:val="auto"/>
                <w:lang w:val="en-US" w:eastAsia="zh-CN"/>
              </w:rPr>
              <w:t>、土壤</w:t>
            </w:r>
            <w:r>
              <w:rPr>
                <w:rFonts w:hint="default" w:ascii="Times New Roman" w:hAnsi="Times New Roman" w:eastAsia="宋体" w:cs="Times New Roman"/>
                <w:b/>
                <w:bCs/>
                <w:color w:val="auto"/>
                <w:lang w:val="en-US" w:eastAsia="zh-CN"/>
              </w:rPr>
              <w:t>影响分析</w:t>
            </w:r>
          </w:p>
          <w:p w14:paraId="79DCF40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本项目属于实验室建设项目，根据《环境影响评价技术导则 地下水环境》（HJ610-2016）附录A，项目属于“V社会事业及服务业，163.专业实验室-其他-报告表”该类报告表的地下水环境影响评价项目类别为Ⅳ，根据《环境影响评价技术导则 地下水环境》（HJ610-2016）规定的一般性原则，Ⅳ类项目不开展地下水环境影响评价</w:t>
            </w:r>
            <w:r>
              <w:rPr>
                <w:rFonts w:hint="eastAsia" w:cs="Times New Roman"/>
                <w:color w:val="auto"/>
                <w:lang w:val="en-US" w:eastAsia="zh-CN"/>
              </w:rPr>
              <w:t>；</w:t>
            </w:r>
            <w:r>
              <w:rPr>
                <w:rFonts w:hint="default" w:ascii="Times New Roman" w:hAnsi="Times New Roman" w:eastAsia="宋体" w:cs="Times New Roman"/>
                <w:color w:val="auto"/>
                <w:lang w:val="en-US" w:eastAsia="zh-CN"/>
              </w:rPr>
              <w:t>根据《环境影响评价技术导则 土壤环境》（HJ964-2018）附录A，本项目行业类别“其他”为IV类。因此，本次环评不开展土壤环境影响评价，不设土壤评价等级，不设评价范围。</w:t>
            </w:r>
          </w:p>
          <w:p w14:paraId="1A7AC7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auto"/>
                <w:lang w:val="en-US" w:eastAsia="zh-CN"/>
              </w:rPr>
              <w:t>经分析本项目对土壤和地下水的污染途径</w:t>
            </w:r>
            <w:r>
              <w:rPr>
                <w:rFonts w:hint="eastAsia"/>
                <w:color w:val="auto"/>
                <w:lang w:val="en-US" w:eastAsia="zh-CN"/>
              </w:rPr>
              <w:t>主要是危险废物、危险化学品、实验废水的泄漏。</w:t>
            </w:r>
            <w:r>
              <w:rPr>
                <w:rFonts w:hint="default" w:ascii="Times New Roman" w:hAnsi="Times New Roman" w:eastAsia="宋体" w:cs="Times New Roman"/>
                <w:color w:val="auto"/>
                <w:lang w:val="en-US" w:eastAsia="zh-CN"/>
              </w:rPr>
              <w:t>本项目建成后，项目危险废物暂存间</w:t>
            </w:r>
            <w:r>
              <w:rPr>
                <w:rFonts w:hint="eastAsia" w:cs="Times New Roman"/>
                <w:color w:val="auto"/>
                <w:lang w:val="en-US" w:eastAsia="zh-CN"/>
              </w:rPr>
              <w:t>、危化品室、中和沉淀池均</w:t>
            </w:r>
            <w:r>
              <w:rPr>
                <w:rFonts w:hint="default" w:ascii="Times New Roman" w:hAnsi="Times New Roman" w:eastAsia="宋体" w:cs="Times New Roman"/>
                <w:color w:val="auto"/>
                <w:lang w:val="en-US" w:eastAsia="zh-CN"/>
              </w:rPr>
              <w:t>设置在</w:t>
            </w:r>
            <w:r>
              <w:rPr>
                <w:rFonts w:hint="eastAsia" w:ascii="Times New Roman" w:hAnsi="Times New Roman" w:eastAsia="宋体" w:cs="Times New Roman"/>
                <w:color w:val="auto"/>
                <w:lang w:val="en-US" w:eastAsia="zh-CN"/>
              </w:rPr>
              <w:t>地下负2</w:t>
            </w:r>
            <w:r>
              <w:rPr>
                <w:rFonts w:hint="default" w:ascii="Times New Roman" w:hAnsi="Times New Roman" w:eastAsia="宋体" w:cs="Times New Roman"/>
                <w:color w:val="auto"/>
                <w:lang w:val="en-US" w:eastAsia="zh-CN"/>
              </w:rPr>
              <w:t>楼，</w:t>
            </w:r>
            <w:r>
              <w:rPr>
                <w:rFonts w:hint="eastAsia" w:cs="Times New Roman"/>
                <w:color w:val="auto"/>
                <w:lang w:val="en-US" w:eastAsia="zh-CN"/>
              </w:rPr>
              <w:t>实验室</w:t>
            </w:r>
            <w:r>
              <w:rPr>
                <w:rFonts w:hint="eastAsia" w:cs="Times New Roman"/>
                <w:color w:val="auto"/>
                <w:sz w:val="21"/>
                <w:szCs w:val="21"/>
                <w:lang w:val="en-US" w:eastAsia="zh-CN"/>
              </w:rPr>
              <w:t>地面已进行硬化，</w:t>
            </w:r>
            <w:r>
              <w:rPr>
                <w:rFonts w:hint="default" w:ascii="Times New Roman" w:hAnsi="Times New Roman" w:eastAsia="宋体" w:cs="Times New Roman"/>
                <w:color w:val="auto"/>
                <w:lang w:val="en-US" w:eastAsia="zh-CN"/>
              </w:rPr>
              <w:t>不与地下水</w:t>
            </w:r>
            <w:r>
              <w:rPr>
                <w:rFonts w:hint="eastAsia" w:cs="Times New Roman"/>
                <w:color w:val="auto"/>
                <w:lang w:val="en-US" w:eastAsia="zh-CN"/>
              </w:rPr>
              <w:t>和土壤</w:t>
            </w:r>
            <w:r>
              <w:rPr>
                <w:rFonts w:hint="default" w:ascii="Times New Roman" w:hAnsi="Times New Roman" w:eastAsia="宋体" w:cs="Times New Roman"/>
                <w:color w:val="auto"/>
                <w:lang w:val="en-US" w:eastAsia="zh-CN"/>
              </w:rPr>
              <w:t>直接接触，而且</w:t>
            </w:r>
            <w:r>
              <w:rPr>
                <w:rFonts w:hint="eastAsia"/>
                <w:color w:val="auto"/>
                <w:lang w:val="en-US" w:eastAsia="zh-CN"/>
              </w:rPr>
              <w:t>项目严格</w:t>
            </w:r>
            <w:r>
              <w:rPr>
                <w:rFonts w:hint="default" w:ascii="Times New Roman" w:hAnsi="Times New Roman" w:eastAsia="宋体" w:cs="Times New Roman"/>
                <w:color w:val="auto"/>
                <w:sz w:val="21"/>
                <w:szCs w:val="21"/>
                <w:lang w:val="en-US" w:eastAsia="zh-CN"/>
              </w:rPr>
              <w:t>落实分区防控措施，</w:t>
            </w:r>
            <w:r>
              <w:rPr>
                <w:rFonts w:hint="default" w:ascii="Times New Roman" w:hAnsi="Times New Roman" w:eastAsia="宋体" w:cs="Times New Roman"/>
                <w:color w:val="auto"/>
                <w:lang w:val="en-US" w:eastAsia="zh-CN"/>
              </w:rPr>
              <w:t>危废暂存间采用相应的防渗措施，能保证</w:t>
            </w:r>
            <w:r>
              <w:rPr>
                <w:rFonts w:hint="default" w:ascii="Times New Roman" w:hAnsi="Times New Roman" w:eastAsia="宋体" w:cs="Times New Roman"/>
                <w:color w:val="auto"/>
                <w:sz w:val="21"/>
                <w:szCs w:val="21"/>
                <w:lang w:val="en-US" w:eastAsia="zh-CN"/>
              </w:rPr>
              <w:t>目正常运行过程中危废暂存间的</w:t>
            </w:r>
            <w:r>
              <w:rPr>
                <w:rFonts w:hint="eastAsia" w:cs="Times New Roman"/>
                <w:color w:val="auto"/>
                <w:sz w:val="21"/>
                <w:szCs w:val="21"/>
                <w:lang w:val="en-US" w:eastAsia="zh-CN"/>
              </w:rPr>
              <w:t>危险废物</w:t>
            </w:r>
            <w:r>
              <w:rPr>
                <w:rFonts w:hint="default"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危化品室的危险化学品、</w:t>
            </w:r>
            <w:r>
              <w:rPr>
                <w:rFonts w:hint="default" w:ascii="Times New Roman" w:hAnsi="Times New Roman" w:eastAsia="宋体" w:cs="Times New Roman"/>
                <w:color w:val="auto"/>
                <w:sz w:val="21"/>
                <w:szCs w:val="21"/>
                <w:lang w:val="en-US" w:eastAsia="zh-CN"/>
              </w:rPr>
              <w:t>项目运行产生的废水等污染物发生渗漏或泄漏的可能性较小，运营期加强维护和管理情况下，项造成土壤</w:t>
            </w:r>
            <w:r>
              <w:rPr>
                <w:rFonts w:hint="eastAsia" w:cs="Times New Roman"/>
                <w:color w:val="auto"/>
                <w:sz w:val="21"/>
                <w:szCs w:val="21"/>
                <w:lang w:val="en-US" w:eastAsia="zh-CN"/>
              </w:rPr>
              <w:t>、地下水</w:t>
            </w:r>
            <w:r>
              <w:rPr>
                <w:rFonts w:hint="default" w:ascii="Times New Roman" w:hAnsi="Times New Roman" w:eastAsia="宋体" w:cs="Times New Roman"/>
                <w:color w:val="auto"/>
                <w:sz w:val="21"/>
                <w:szCs w:val="21"/>
                <w:lang w:val="en-US" w:eastAsia="zh-CN"/>
              </w:rPr>
              <w:t>污染的可能性较小。</w:t>
            </w:r>
          </w:p>
          <w:p w14:paraId="7167C98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综上，项目建设运营对</w:t>
            </w:r>
            <w:r>
              <w:rPr>
                <w:rFonts w:hint="eastAsia" w:cs="Times New Roman"/>
                <w:color w:val="auto"/>
                <w:sz w:val="21"/>
                <w:szCs w:val="21"/>
                <w:lang w:val="en-US" w:eastAsia="zh-CN"/>
              </w:rPr>
              <w:t>地下水、</w:t>
            </w:r>
            <w:r>
              <w:rPr>
                <w:rFonts w:hint="default" w:ascii="Times New Roman" w:hAnsi="Times New Roman" w:eastAsia="宋体" w:cs="Times New Roman"/>
                <w:color w:val="auto"/>
                <w:sz w:val="21"/>
                <w:szCs w:val="21"/>
                <w:lang w:val="en-US" w:eastAsia="zh-CN"/>
              </w:rPr>
              <w:t>土壤环境的影响</w:t>
            </w:r>
            <w:r>
              <w:rPr>
                <w:rFonts w:hint="eastAsia" w:cs="Times New Roman"/>
                <w:color w:val="auto"/>
                <w:sz w:val="21"/>
                <w:szCs w:val="21"/>
                <w:lang w:val="en-US" w:eastAsia="zh-CN"/>
              </w:rPr>
              <w:t>可接受</w:t>
            </w:r>
            <w:r>
              <w:rPr>
                <w:rFonts w:hint="default" w:ascii="Times New Roman" w:hAnsi="Times New Roman" w:eastAsia="宋体" w:cs="Times New Roman"/>
                <w:color w:val="auto"/>
                <w:sz w:val="21"/>
                <w:szCs w:val="21"/>
                <w:lang w:val="en-US" w:eastAsia="zh-CN"/>
              </w:rPr>
              <w:t>。</w:t>
            </w:r>
          </w:p>
          <w:p w14:paraId="5851A6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6</w:t>
            </w:r>
            <w:r>
              <w:rPr>
                <w:rFonts w:hint="default" w:ascii="Times New Roman" w:hAnsi="Times New Roman" w:eastAsia="宋体" w:cs="Times New Roman"/>
                <w:b/>
                <w:bCs/>
                <w:color w:val="auto"/>
                <w:lang w:val="en-US" w:eastAsia="zh-CN"/>
              </w:rPr>
              <w:t>生态环境影响分析</w:t>
            </w:r>
          </w:p>
          <w:p w14:paraId="50F95C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项目区属城市建成区，租用现有建筑建设。</w:t>
            </w:r>
            <w:r>
              <w:rPr>
                <w:rFonts w:hint="eastAsia" w:ascii="Times New Roman" w:hAnsi="Times New Roman" w:eastAsia="宋体" w:cs="Times New Roman"/>
                <w:color w:val="auto"/>
                <w:lang w:val="en-US" w:eastAsia="zh-CN"/>
              </w:rPr>
              <w:t>目前，</w:t>
            </w:r>
            <w:r>
              <w:rPr>
                <w:rFonts w:hint="default" w:ascii="Times New Roman" w:hAnsi="Times New Roman" w:eastAsia="宋体" w:cs="Times New Roman"/>
                <w:color w:val="auto"/>
                <w:lang w:val="en-US" w:eastAsia="zh-CN"/>
              </w:rPr>
              <w:t>区域内地表主要为人工绿化草坪和树木、道路、人工建设的水泥地、建筑物等，已无天然植被，不会破坏城市生态环境。</w:t>
            </w:r>
          </w:p>
          <w:p w14:paraId="2E49DFF3">
            <w:pPr>
              <w:adjustRightInd w:val="0"/>
              <w:snapToGrid w:val="0"/>
              <w:spacing w:line="360" w:lineRule="auto"/>
              <w:jc w:val="left"/>
              <w:rPr>
                <w:rFonts w:hint="default" w:ascii="Times New Roman" w:hAnsi="Times New Roman" w:eastAsia="宋体" w:cs="Times New Roman"/>
                <w:b/>
                <w:bCs/>
                <w:color w:val="auto"/>
                <w:sz w:val="21"/>
                <w:szCs w:val="21"/>
              </w:rPr>
            </w:pP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环境风险影响和防范措施</w:t>
            </w:r>
          </w:p>
          <w:p w14:paraId="02E0149F">
            <w:pPr>
              <w:adjustRightInd w:val="0"/>
              <w:snapToGrid w:val="0"/>
              <w:spacing w:line="360" w:lineRule="auto"/>
              <w:jc w:val="left"/>
              <w:rPr>
                <w:rFonts w:hint="default" w:ascii="Times New Roman" w:hAnsi="Times New Roman" w:eastAsia="宋体" w:cs="Times New Roman"/>
                <w:bCs/>
                <w:color w:val="auto"/>
                <w:kern w:val="0"/>
                <w:sz w:val="21"/>
                <w:szCs w:val="21"/>
              </w:rPr>
            </w:pPr>
            <w:r>
              <w:rPr>
                <w:rFonts w:hint="eastAsia" w:cs="Times New Roman"/>
                <w:b/>
                <w:bCs/>
                <w:color w:val="auto"/>
                <w:kern w:val="0"/>
                <w:sz w:val="21"/>
                <w:szCs w:val="21"/>
                <w:lang w:val="en-US" w:eastAsia="zh-CN"/>
              </w:rPr>
              <w:t>7</w:t>
            </w:r>
            <w:r>
              <w:rPr>
                <w:rFonts w:hint="default" w:ascii="Times New Roman" w:hAnsi="Times New Roman" w:eastAsia="宋体" w:cs="Times New Roman"/>
                <w:b/>
                <w:bCs/>
                <w:color w:val="auto"/>
                <w:kern w:val="0"/>
                <w:sz w:val="21"/>
                <w:szCs w:val="21"/>
              </w:rPr>
              <w:t>.1环境风险评价目的和评价内容</w:t>
            </w:r>
          </w:p>
          <w:p w14:paraId="7260ACDB">
            <w:pPr>
              <w:adjustRightInd w:val="0"/>
              <w:snapToGrid w:val="0"/>
              <w:spacing w:line="360" w:lineRule="auto"/>
              <w:ind w:firstLine="420" w:firstLineChars="200"/>
              <w:jc w:val="left"/>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环境风险评价目的是分析和预测建设项目存在的潜在危险、有害因素，项目建设期和运营期可能发生的突发性事件或事故（一般不包括人为破坏及自然灾害），引起有毒有害和易燃易爆等物质泄露，所造成的人身安全与环境影响和损害程度，提出合理可行的防范、应急与减缓措施，以使建设项目事故率、损失和环境影响程度达到可接受水平。</w:t>
            </w:r>
          </w:p>
          <w:p w14:paraId="2F8C59DB">
            <w:pPr>
              <w:adjustRightInd w:val="0"/>
              <w:snapToGrid w:val="0"/>
              <w:spacing w:line="360" w:lineRule="auto"/>
              <w:ind w:firstLine="420" w:firstLineChars="200"/>
              <w:jc w:val="left"/>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根据《建设项目环境风险评价技术导则》（HJ/T169-2018），本次风险评价的主要内容是：通过分析项目涉及主要物质的危险性，识别主要危险单元、进行环境风险潜势初判，找出风险事故原因及其对环境产生的影响，最后提出风险防范措施和应急预案。</w:t>
            </w:r>
          </w:p>
          <w:p w14:paraId="599ADAD4">
            <w:pPr>
              <w:adjustRightInd w:val="0"/>
              <w:snapToGrid w:val="0"/>
              <w:spacing w:line="360" w:lineRule="auto"/>
              <w:jc w:val="left"/>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7</w:t>
            </w:r>
            <w:r>
              <w:rPr>
                <w:rFonts w:hint="default" w:ascii="Times New Roman" w:hAnsi="Times New Roman" w:eastAsia="宋体" w:cs="Times New Roman"/>
                <w:b/>
                <w:bCs/>
                <w:color w:val="auto"/>
                <w:kern w:val="0"/>
                <w:sz w:val="21"/>
                <w:szCs w:val="21"/>
              </w:rPr>
              <w:t>.2环境风险潜势初判</w:t>
            </w:r>
          </w:p>
          <w:p w14:paraId="03F4DC91">
            <w:pPr>
              <w:adjustRightInd w:val="0"/>
              <w:snapToGrid w:val="0"/>
              <w:spacing w:line="360" w:lineRule="auto"/>
              <w:ind w:firstLine="420" w:firstLineChars="200"/>
              <w:jc w:val="left"/>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根据项目涉及的物质和工艺系统的危险性及其所在地的环境敏感程度，结合事故情形下环境影响途径，对项目潜在环境危害程度进行概化分析，项目环境风险潜势划分按照下表进行。</w:t>
            </w:r>
          </w:p>
          <w:p w14:paraId="584EBD4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color w:val="auto"/>
                <w:sz w:val="18"/>
                <w:szCs w:val="18"/>
              </w:rPr>
            </w:pPr>
            <w:r>
              <w:rPr>
                <w:rFonts w:hint="default" w:ascii="Times New Roman" w:hAnsi="Times New Roman" w:eastAsia="宋体" w:cs="Times New Roman"/>
                <w:b/>
                <w:color w:val="auto"/>
                <w:sz w:val="18"/>
                <w:szCs w:val="18"/>
              </w:rPr>
              <w:t>表4-</w:t>
            </w:r>
            <w:r>
              <w:rPr>
                <w:rFonts w:hint="default" w:ascii="Times New Roman" w:hAnsi="Times New Roman" w:eastAsia="宋体" w:cs="Times New Roman"/>
                <w:b/>
                <w:color w:val="auto"/>
                <w:sz w:val="18"/>
                <w:szCs w:val="18"/>
                <w:lang w:val="en-US" w:eastAsia="zh-CN"/>
              </w:rPr>
              <w:t xml:space="preserve">18  </w:t>
            </w:r>
            <w:r>
              <w:rPr>
                <w:rFonts w:hint="default" w:ascii="Times New Roman" w:hAnsi="Times New Roman" w:eastAsia="宋体" w:cs="Times New Roman"/>
                <w:b/>
                <w:color w:val="auto"/>
                <w:sz w:val="18"/>
                <w:szCs w:val="18"/>
              </w:rPr>
              <w:t>建设项目环境风险潜势划分</w:t>
            </w:r>
          </w:p>
          <w:tbl>
            <w:tblPr>
              <w:tblStyle w:val="20"/>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4"/>
              <w:gridCol w:w="1742"/>
              <w:gridCol w:w="1432"/>
              <w:gridCol w:w="1380"/>
              <w:gridCol w:w="1394"/>
            </w:tblGrid>
            <w:tr w14:paraId="5BA40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41" w:type="pct"/>
                  <w:vMerge w:val="restart"/>
                  <w:noWrap w:val="0"/>
                  <w:vAlign w:val="center"/>
                </w:tcPr>
                <w:p w14:paraId="2A6D46D0">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val="0"/>
                      <w:color w:val="auto"/>
                      <w:kern w:val="0"/>
                      <w:sz w:val="18"/>
                      <w:szCs w:val="18"/>
                    </w:rPr>
                  </w:pPr>
                  <w:r>
                    <w:rPr>
                      <w:rFonts w:hint="default" w:ascii="Times New Roman" w:hAnsi="Times New Roman" w:eastAsia="宋体" w:cs="Times New Roman"/>
                      <w:b/>
                      <w:bCs w:val="0"/>
                      <w:color w:val="auto"/>
                      <w:kern w:val="0"/>
                      <w:sz w:val="18"/>
                      <w:szCs w:val="18"/>
                    </w:rPr>
                    <w:t>环境敏感程度（E）</w:t>
                  </w:r>
                </w:p>
              </w:tc>
              <w:tc>
                <w:tcPr>
                  <w:tcW w:w="3758" w:type="pct"/>
                  <w:gridSpan w:val="4"/>
                  <w:noWrap w:val="0"/>
                  <w:vAlign w:val="center"/>
                </w:tcPr>
                <w:p w14:paraId="4D137F6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val="0"/>
                      <w:color w:val="auto"/>
                      <w:kern w:val="0"/>
                      <w:sz w:val="18"/>
                      <w:szCs w:val="18"/>
                    </w:rPr>
                  </w:pPr>
                  <w:r>
                    <w:rPr>
                      <w:rFonts w:hint="default" w:ascii="Times New Roman" w:hAnsi="Times New Roman" w:eastAsia="宋体" w:cs="Times New Roman"/>
                      <w:b/>
                      <w:bCs w:val="0"/>
                      <w:color w:val="auto"/>
                      <w:kern w:val="0"/>
                      <w:sz w:val="18"/>
                      <w:szCs w:val="18"/>
                    </w:rPr>
                    <w:t>危险物质及工艺系统危险性（P）</w:t>
                  </w:r>
                </w:p>
              </w:tc>
            </w:tr>
            <w:tr w14:paraId="3F057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41" w:type="pct"/>
                  <w:vMerge w:val="continue"/>
                  <w:noWrap w:val="0"/>
                  <w:vAlign w:val="center"/>
                </w:tcPr>
                <w:p w14:paraId="60C8F45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val="0"/>
                      <w:color w:val="auto"/>
                      <w:kern w:val="0"/>
                      <w:sz w:val="18"/>
                      <w:szCs w:val="18"/>
                    </w:rPr>
                  </w:pPr>
                </w:p>
              </w:tc>
              <w:tc>
                <w:tcPr>
                  <w:tcW w:w="1100" w:type="pct"/>
                  <w:noWrap w:val="0"/>
                  <w:vAlign w:val="center"/>
                </w:tcPr>
                <w:p w14:paraId="1E99F66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val="0"/>
                      <w:color w:val="auto"/>
                      <w:kern w:val="0"/>
                      <w:sz w:val="18"/>
                      <w:szCs w:val="18"/>
                    </w:rPr>
                  </w:pPr>
                  <w:r>
                    <w:rPr>
                      <w:rFonts w:hint="default" w:ascii="Times New Roman" w:hAnsi="Times New Roman" w:eastAsia="宋体" w:cs="Times New Roman"/>
                      <w:b/>
                      <w:bCs w:val="0"/>
                      <w:color w:val="auto"/>
                      <w:kern w:val="0"/>
                      <w:sz w:val="18"/>
                      <w:szCs w:val="18"/>
                    </w:rPr>
                    <w:t>极高危害（P1）</w:t>
                  </w:r>
                </w:p>
              </w:tc>
              <w:tc>
                <w:tcPr>
                  <w:tcW w:w="904" w:type="pct"/>
                  <w:noWrap w:val="0"/>
                  <w:vAlign w:val="center"/>
                </w:tcPr>
                <w:p w14:paraId="1302D70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val="0"/>
                      <w:color w:val="auto"/>
                      <w:kern w:val="0"/>
                      <w:sz w:val="18"/>
                      <w:szCs w:val="18"/>
                    </w:rPr>
                  </w:pPr>
                  <w:r>
                    <w:rPr>
                      <w:rFonts w:hint="default" w:ascii="Times New Roman" w:hAnsi="Times New Roman" w:eastAsia="宋体" w:cs="Times New Roman"/>
                      <w:b/>
                      <w:bCs w:val="0"/>
                      <w:color w:val="auto"/>
                      <w:kern w:val="0"/>
                      <w:sz w:val="18"/>
                      <w:szCs w:val="18"/>
                    </w:rPr>
                    <w:t>高度危害（P2）</w:t>
                  </w:r>
                </w:p>
              </w:tc>
              <w:tc>
                <w:tcPr>
                  <w:tcW w:w="872" w:type="pct"/>
                  <w:noWrap w:val="0"/>
                  <w:vAlign w:val="center"/>
                </w:tcPr>
                <w:p w14:paraId="2BDF798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val="0"/>
                      <w:color w:val="auto"/>
                      <w:kern w:val="0"/>
                      <w:sz w:val="18"/>
                      <w:szCs w:val="18"/>
                    </w:rPr>
                  </w:pPr>
                  <w:r>
                    <w:rPr>
                      <w:rFonts w:hint="default" w:ascii="Times New Roman" w:hAnsi="Times New Roman" w:eastAsia="宋体" w:cs="Times New Roman"/>
                      <w:b/>
                      <w:bCs w:val="0"/>
                      <w:color w:val="auto"/>
                      <w:kern w:val="0"/>
                      <w:sz w:val="18"/>
                      <w:szCs w:val="18"/>
                    </w:rPr>
                    <w:t>中度危害（P3）</w:t>
                  </w:r>
                </w:p>
              </w:tc>
              <w:tc>
                <w:tcPr>
                  <w:tcW w:w="880" w:type="pct"/>
                  <w:noWrap w:val="0"/>
                  <w:vAlign w:val="center"/>
                </w:tcPr>
                <w:p w14:paraId="51843BB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val="0"/>
                      <w:color w:val="auto"/>
                      <w:kern w:val="0"/>
                      <w:sz w:val="18"/>
                      <w:szCs w:val="18"/>
                    </w:rPr>
                  </w:pPr>
                  <w:r>
                    <w:rPr>
                      <w:rFonts w:hint="default" w:ascii="Times New Roman" w:hAnsi="Times New Roman" w:eastAsia="宋体" w:cs="Times New Roman"/>
                      <w:b/>
                      <w:bCs w:val="0"/>
                      <w:color w:val="auto"/>
                      <w:kern w:val="0"/>
                      <w:sz w:val="18"/>
                      <w:szCs w:val="18"/>
                    </w:rPr>
                    <w:t>轻度危害（P4）</w:t>
                  </w:r>
                </w:p>
              </w:tc>
            </w:tr>
            <w:tr w14:paraId="6230D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41" w:type="pct"/>
                  <w:noWrap w:val="0"/>
                  <w:vAlign w:val="center"/>
                </w:tcPr>
                <w:p w14:paraId="70D85E0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环境高度敏感区（E1）</w:t>
                  </w:r>
                </w:p>
              </w:tc>
              <w:tc>
                <w:tcPr>
                  <w:tcW w:w="1100" w:type="pct"/>
                  <w:noWrap w:val="0"/>
                  <w:vAlign w:val="center"/>
                </w:tcPr>
                <w:p w14:paraId="1F3191E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Ⅳ</w:t>
                  </w:r>
                  <w:r>
                    <w:rPr>
                      <w:rFonts w:hint="default" w:ascii="Times New Roman" w:hAnsi="Times New Roman" w:eastAsia="宋体" w:cs="Times New Roman"/>
                      <w:bCs/>
                      <w:color w:val="auto"/>
                      <w:kern w:val="0"/>
                      <w:sz w:val="18"/>
                      <w:szCs w:val="18"/>
                      <w:vertAlign w:val="superscript"/>
                    </w:rPr>
                    <w:t>+</w:t>
                  </w:r>
                </w:p>
              </w:tc>
              <w:tc>
                <w:tcPr>
                  <w:tcW w:w="904" w:type="pct"/>
                  <w:noWrap w:val="0"/>
                  <w:vAlign w:val="center"/>
                </w:tcPr>
                <w:p w14:paraId="3127314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Ⅳ</w:t>
                  </w:r>
                </w:p>
              </w:tc>
              <w:tc>
                <w:tcPr>
                  <w:tcW w:w="872" w:type="pct"/>
                  <w:noWrap w:val="0"/>
                  <w:vAlign w:val="center"/>
                </w:tcPr>
                <w:p w14:paraId="7A8B9D3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Ⅲ</w:t>
                  </w:r>
                </w:p>
              </w:tc>
              <w:tc>
                <w:tcPr>
                  <w:tcW w:w="880" w:type="pct"/>
                  <w:noWrap w:val="0"/>
                  <w:vAlign w:val="center"/>
                </w:tcPr>
                <w:p w14:paraId="36953D9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Ⅲ</w:t>
                  </w:r>
                </w:p>
              </w:tc>
            </w:tr>
            <w:tr w14:paraId="43A4C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41" w:type="pct"/>
                  <w:noWrap w:val="0"/>
                  <w:vAlign w:val="center"/>
                </w:tcPr>
                <w:p w14:paraId="57AA852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环境中度敏感区（E2）</w:t>
                  </w:r>
                </w:p>
              </w:tc>
              <w:tc>
                <w:tcPr>
                  <w:tcW w:w="1100" w:type="pct"/>
                  <w:noWrap w:val="0"/>
                  <w:vAlign w:val="center"/>
                </w:tcPr>
                <w:p w14:paraId="1CB8DEA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Ⅳ</w:t>
                  </w:r>
                </w:p>
              </w:tc>
              <w:tc>
                <w:tcPr>
                  <w:tcW w:w="904" w:type="pct"/>
                  <w:noWrap w:val="0"/>
                  <w:vAlign w:val="center"/>
                </w:tcPr>
                <w:p w14:paraId="5CF426BA">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Ⅲ</w:t>
                  </w:r>
                </w:p>
              </w:tc>
              <w:tc>
                <w:tcPr>
                  <w:tcW w:w="872" w:type="pct"/>
                  <w:noWrap w:val="0"/>
                  <w:vAlign w:val="center"/>
                </w:tcPr>
                <w:p w14:paraId="16DDFF8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Ⅲ</w:t>
                  </w:r>
                </w:p>
              </w:tc>
              <w:tc>
                <w:tcPr>
                  <w:tcW w:w="880" w:type="pct"/>
                  <w:noWrap w:val="0"/>
                  <w:vAlign w:val="center"/>
                </w:tcPr>
                <w:p w14:paraId="1EA7825F">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Ⅱ</w:t>
                  </w:r>
                </w:p>
              </w:tc>
            </w:tr>
            <w:tr w14:paraId="5F21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241" w:type="pct"/>
                  <w:noWrap w:val="0"/>
                  <w:vAlign w:val="center"/>
                </w:tcPr>
                <w:p w14:paraId="40A6A30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环境低度敏感区（E3）</w:t>
                  </w:r>
                </w:p>
              </w:tc>
              <w:tc>
                <w:tcPr>
                  <w:tcW w:w="1100" w:type="pct"/>
                  <w:noWrap w:val="0"/>
                  <w:vAlign w:val="center"/>
                </w:tcPr>
                <w:p w14:paraId="4512A61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Ⅲ</w:t>
                  </w:r>
                </w:p>
              </w:tc>
              <w:tc>
                <w:tcPr>
                  <w:tcW w:w="904" w:type="pct"/>
                  <w:noWrap w:val="0"/>
                  <w:vAlign w:val="center"/>
                </w:tcPr>
                <w:p w14:paraId="0BC9EA1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Ⅲ</w:t>
                  </w:r>
                </w:p>
              </w:tc>
              <w:tc>
                <w:tcPr>
                  <w:tcW w:w="872" w:type="pct"/>
                  <w:noWrap w:val="0"/>
                  <w:vAlign w:val="center"/>
                </w:tcPr>
                <w:p w14:paraId="3392974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Ⅱ</w:t>
                  </w:r>
                </w:p>
              </w:tc>
              <w:tc>
                <w:tcPr>
                  <w:tcW w:w="880" w:type="pct"/>
                  <w:noWrap w:val="0"/>
                  <w:vAlign w:val="center"/>
                </w:tcPr>
                <w:p w14:paraId="100186B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Ⅰ</w:t>
                  </w:r>
                </w:p>
              </w:tc>
            </w:tr>
            <w:tr w14:paraId="5F27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000" w:type="pct"/>
                  <w:gridSpan w:val="5"/>
                  <w:noWrap w:val="0"/>
                  <w:vAlign w:val="center"/>
                </w:tcPr>
                <w:p w14:paraId="71488CC7">
                  <w:pPr>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注：Ⅳ+为极高环境风险</w:t>
                  </w:r>
                </w:p>
              </w:tc>
            </w:tr>
          </w:tbl>
          <w:p w14:paraId="04B543CE">
            <w:pPr>
              <w:keepNext w:val="0"/>
              <w:keepLines w:val="0"/>
              <w:pageBreakBefore w:val="0"/>
              <w:widowControl w:val="0"/>
              <w:kinsoku/>
              <w:wordWrap/>
              <w:overflowPunct/>
              <w:topLinePunct w:val="0"/>
              <w:autoSpaceDE/>
              <w:autoSpaceDN/>
              <w:bidi w:val="0"/>
              <w:spacing w:line="360" w:lineRule="auto"/>
              <w:ind w:firstLine="420" w:firstLineChars="200"/>
              <w:jc w:val="left"/>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lang w:val="en-US" w:eastAsia="zh-CN"/>
              </w:rPr>
              <w:t>①P的分级确定</w:t>
            </w:r>
          </w:p>
          <w:p w14:paraId="2563673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分析建设项目生产、使用、储存过程中涉及的有毒有害、易燃易爆物质，参见《建设项目环境风险评价技术导则》（HJ/T169-2018）附录B确定危险物质的临界量。定量分析危险物质数量与临界量的比值（Q）和所属行业及生产工艺特点（M），按附录C对危险物质及工艺系统危险性（P）等级进行判断。</w:t>
            </w:r>
          </w:p>
          <w:p w14:paraId="255B7B7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②E的分级确定</w:t>
            </w:r>
          </w:p>
          <w:p w14:paraId="558A981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分析危险物质在事故情形下的环境影响途径，如大气、地表水、地下水等，按照附录D对建设项目各要素环境敏感程度（E）等级进行判断。</w:t>
            </w:r>
          </w:p>
          <w:p w14:paraId="7038E6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③建设项目环境风险潜势判断</w:t>
            </w:r>
          </w:p>
          <w:p w14:paraId="1974A7E5">
            <w:pPr>
              <w:adjustRightInd w:val="0"/>
              <w:snapToGrid w:val="0"/>
              <w:spacing w:line="360" w:lineRule="auto"/>
              <w:ind w:firstLine="420" w:firstLineChars="200"/>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建设项目环境风险潜势综合等级取各要素等级的相对高值。</w:t>
            </w:r>
          </w:p>
          <w:p w14:paraId="5B20B624">
            <w:pPr>
              <w:adjustRightInd w:val="0"/>
              <w:snapToGrid w:val="0"/>
              <w:spacing w:line="360" w:lineRule="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7</w:t>
            </w:r>
            <w:r>
              <w:rPr>
                <w:rFonts w:hint="default" w:ascii="Times New Roman" w:hAnsi="Times New Roman" w:eastAsia="宋体" w:cs="Times New Roman"/>
                <w:b/>
                <w:bCs/>
                <w:color w:val="auto"/>
                <w:kern w:val="0"/>
                <w:sz w:val="21"/>
                <w:szCs w:val="21"/>
              </w:rPr>
              <w:t>.3</w:t>
            </w:r>
            <w:r>
              <w:rPr>
                <w:rFonts w:hint="eastAsia" w:cs="Times New Roman"/>
                <w:b/>
                <w:bCs/>
                <w:color w:val="auto"/>
                <w:kern w:val="0"/>
                <w:sz w:val="21"/>
                <w:szCs w:val="21"/>
                <w:lang w:val="en-US" w:eastAsia="zh-CN"/>
              </w:rPr>
              <w:t>风险</w:t>
            </w:r>
            <w:r>
              <w:rPr>
                <w:rFonts w:hint="default" w:ascii="Times New Roman" w:hAnsi="Times New Roman" w:eastAsia="宋体" w:cs="Times New Roman"/>
                <w:b/>
                <w:bCs/>
                <w:color w:val="auto"/>
                <w:kern w:val="0"/>
                <w:sz w:val="21"/>
                <w:szCs w:val="21"/>
              </w:rPr>
              <w:t>物质数量与临界量比值（Q）</w:t>
            </w:r>
          </w:p>
          <w:p w14:paraId="63D12032">
            <w:pPr>
              <w:adjustRightInd w:val="0"/>
              <w:snapToGrid w:val="0"/>
              <w:spacing w:line="360" w:lineRule="auto"/>
              <w:ind w:firstLine="420" w:firstLineChars="200"/>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计算项目所涉及的每种危险物质在厂界内的最大存储总量与临界量比值Q，按下式计算：</w:t>
            </w:r>
          </w:p>
          <w:p w14:paraId="605B84AF">
            <w:pPr>
              <w:adjustRightInd w:val="0"/>
              <w:snapToGrid w:val="0"/>
              <w:spacing w:line="360" w:lineRule="auto"/>
              <w:ind w:firstLine="420" w:firstLineChars="200"/>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Q= q</w:t>
            </w:r>
            <w:r>
              <w:rPr>
                <w:rFonts w:hint="default" w:ascii="Times New Roman" w:hAnsi="Times New Roman" w:eastAsia="宋体" w:cs="Times New Roman"/>
                <w:bCs/>
                <w:color w:val="auto"/>
                <w:kern w:val="0"/>
                <w:sz w:val="21"/>
                <w:szCs w:val="21"/>
                <w:vertAlign w:val="subscript"/>
              </w:rPr>
              <w:t>1</w:t>
            </w:r>
            <w:r>
              <w:rPr>
                <w:rFonts w:hint="default" w:ascii="Times New Roman" w:hAnsi="Times New Roman" w:eastAsia="宋体" w:cs="Times New Roman"/>
                <w:bCs/>
                <w:color w:val="auto"/>
                <w:kern w:val="0"/>
                <w:sz w:val="21"/>
                <w:szCs w:val="21"/>
              </w:rPr>
              <w:t>/Q</w:t>
            </w:r>
            <w:r>
              <w:rPr>
                <w:rFonts w:hint="default" w:ascii="Times New Roman" w:hAnsi="Times New Roman" w:eastAsia="宋体" w:cs="Times New Roman"/>
                <w:bCs/>
                <w:color w:val="auto"/>
                <w:kern w:val="0"/>
                <w:sz w:val="21"/>
                <w:szCs w:val="21"/>
                <w:vertAlign w:val="subscript"/>
              </w:rPr>
              <w:t>1</w:t>
            </w:r>
            <w:r>
              <w:rPr>
                <w:rFonts w:hint="default" w:ascii="Times New Roman" w:hAnsi="Times New Roman" w:eastAsia="宋体" w:cs="Times New Roman"/>
                <w:bCs/>
                <w:color w:val="auto"/>
                <w:kern w:val="0"/>
                <w:sz w:val="21"/>
                <w:szCs w:val="21"/>
              </w:rPr>
              <w:t>+q</w:t>
            </w:r>
            <w:r>
              <w:rPr>
                <w:rFonts w:hint="default" w:ascii="Times New Roman" w:hAnsi="Times New Roman" w:eastAsia="宋体" w:cs="Times New Roman"/>
                <w:bCs/>
                <w:color w:val="auto"/>
                <w:kern w:val="0"/>
                <w:sz w:val="21"/>
                <w:szCs w:val="21"/>
                <w:vertAlign w:val="subscript"/>
              </w:rPr>
              <w:t>2</w:t>
            </w:r>
            <w:r>
              <w:rPr>
                <w:rFonts w:hint="default" w:ascii="Times New Roman" w:hAnsi="Times New Roman" w:eastAsia="宋体" w:cs="Times New Roman"/>
                <w:bCs/>
                <w:color w:val="auto"/>
                <w:kern w:val="0"/>
                <w:sz w:val="21"/>
                <w:szCs w:val="21"/>
              </w:rPr>
              <w:t>/Q</w:t>
            </w:r>
            <w:r>
              <w:rPr>
                <w:rFonts w:hint="default" w:ascii="Times New Roman" w:hAnsi="Times New Roman" w:eastAsia="宋体" w:cs="Times New Roman"/>
                <w:bCs/>
                <w:color w:val="auto"/>
                <w:kern w:val="0"/>
                <w:sz w:val="21"/>
                <w:szCs w:val="21"/>
                <w:vertAlign w:val="subscript"/>
              </w:rPr>
              <w:t>2</w:t>
            </w:r>
            <w:r>
              <w:rPr>
                <w:rFonts w:hint="default" w:ascii="Times New Roman" w:hAnsi="Times New Roman" w:eastAsia="宋体" w:cs="Times New Roman"/>
                <w:bCs/>
                <w:color w:val="auto"/>
                <w:kern w:val="0"/>
                <w:sz w:val="21"/>
                <w:szCs w:val="21"/>
              </w:rPr>
              <w:t xml:space="preserve"> +……+q</w:t>
            </w:r>
            <w:r>
              <w:rPr>
                <w:rFonts w:hint="default" w:ascii="Times New Roman" w:hAnsi="Times New Roman" w:eastAsia="宋体" w:cs="Times New Roman"/>
                <w:bCs/>
                <w:color w:val="auto"/>
                <w:kern w:val="0"/>
                <w:sz w:val="21"/>
                <w:szCs w:val="21"/>
                <w:vertAlign w:val="subscript"/>
              </w:rPr>
              <w:t>n</w:t>
            </w:r>
            <w:r>
              <w:rPr>
                <w:rFonts w:hint="default" w:ascii="Times New Roman" w:hAnsi="Times New Roman" w:eastAsia="宋体" w:cs="Times New Roman"/>
                <w:bCs/>
                <w:color w:val="auto"/>
                <w:kern w:val="0"/>
                <w:sz w:val="21"/>
                <w:szCs w:val="21"/>
              </w:rPr>
              <w:t>/Q n</w:t>
            </w:r>
          </w:p>
          <w:p w14:paraId="0DEF9E42">
            <w:pPr>
              <w:adjustRightInd w:val="0"/>
              <w:snapToGrid w:val="0"/>
              <w:spacing w:line="360" w:lineRule="auto"/>
              <w:ind w:firstLine="420" w:firstLineChars="200"/>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式中q</w:t>
            </w:r>
            <w:r>
              <w:rPr>
                <w:rFonts w:hint="default" w:ascii="Times New Roman" w:hAnsi="Times New Roman" w:eastAsia="宋体" w:cs="Times New Roman"/>
                <w:bCs/>
                <w:color w:val="auto"/>
                <w:kern w:val="0"/>
                <w:sz w:val="21"/>
                <w:szCs w:val="21"/>
                <w:vertAlign w:val="subscript"/>
              </w:rPr>
              <w:t>n</w:t>
            </w:r>
            <w:r>
              <w:rPr>
                <w:rFonts w:hint="default" w:ascii="Times New Roman" w:hAnsi="Times New Roman" w:eastAsia="宋体" w:cs="Times New Roman"/>
                <w:bCs/>
                <w:color w:val="auto"/>
                <w:kern w:val="0"/>
                <w:sz w:val="21"/>
                <w:szCs w:val="21"/>
              </w:rPr>
              <w:t>为危险化学品实际存在量，t。</w:t>
            </w:r>
          </w:p>
          <w:p w14:paraId="71638945">
            <w:pPr>
              <w:adjustRightInd w:val="0"/>
              <w:snapToGrid w:val="0"/>
              <w:spacing w:line="360" w:lineRule="auto"/>
              <w:ind w:firstLine="420" w:firstLineChars="200"/>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Q n危险化学品相对应的临界量，t。</w:t>
            </w:r>
          </w:p>
          <w:p w14:paraId="10F6B468">
            <w:pPr>
              <w:adjustRightInd w:val="0"/>
              <w:snapToGrid w:val="0"/>
              <w:spacing w:line="360" w:lineRule="auto"/>
              <w:ind w:firstLine="420" w:firstLineChars="200"/>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当Q＜1时，该项目环境风险潜势为Ⅰ。</w:t>
            </w:r>
          </w:p>
          <w:p w14:paraId="432B6A7C">
            <w:pPr>
              <w:adjustRightInd w:val="0"/>
              <w:snapToGrid w:val="0"/>
              <w:spacing w:line="360" w:lineRule="auto"/>
              <w:ind w:firstLine="420" w:firstLineChars="200"/>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当Q≥1时，将Q值划分为：（1）1≤Q&lt;10；（2）10≤Q&lt;100；（3）Q≥100。</w:t>
            </w:r>
          </w:p>
          <w:p w14:paraId="1D29EAF9">
            <w:pPr>
              <w:adjustRightInd w:val="0"/>
              <w:snapToGrid w:val="0"/>
              <w:spacing w:line="360" w:lineRule="auto"/>
              <w:ind w:firstLine="420" w:firstLineChars="200"/>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对照《建设项目环境风险评价技术导则》（HJ/T169-2018）附录B“表B.1突发环境事件风险物质及临界量”，并结合本项目实验试剂使用情况一览表，项目涉及的突发环境事件风险物质、临界量及Q值，具体见下表。</w:t>
            </w:r>
          </w:p>
          <w:p w14:paraId="000F19EB">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表4</w:t>
            </w:r>
            <w:r>
              <w:rPr>
                <w:rFonts w:hint="default" w:ascii="Times New Roman" w:hAnsi="Times New Roman" w:eastAsia="宋体" w:cs="Times New Roman"/>
                <w:b/>
                <w:bCs/>
                <w:color w:val="auto"/>
                <w:kern w:val="0"/>
                <w:sz w:val="18"/>
                <w:szCs w:val="18"/>
                <w:lang w:val="en-US" w:eastAsia="zh-CN"/>
              </w:rPr>
              <w:t xml:space="preserve">-19  </w:t>
            </w:r>
            <w:r>
              <w:rPr>
                <w:rFonts w:hint="default" w:ascii="Times New Roman" w:hAnsi="Times New Roman" w:eastAsia="宋体" w:cs="Times New Roman"/>
                <w:b/>
                <w:bCs/>
                <w:color w:val="auto"/>
                <w:kern w:val="0"/>
                <w:sz w:val="18"/>
                <w:szCs w:val="18"/>
              </w:rPr>
              <w:t>风险物质数量与临界量比值统计一览表</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4"/>
              <w:gridCol w:w="1175"/>
              <w:gridCol w:w="1319"/>
              <w:gridCol w:w="1245"/>
              <w:gridCol w:w="1526"/>
              <w:gridCol w:w="2143"/>
            </w:tblGrid>
            <w:tr w14:paraId="447A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5CCA937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序号</w:t>
                  </w:r>
                </w:p>
              </w:tc>
              <w:tc>
                <w:tcPr>
                  <w:tcW w:w="733" w:type="pct"/>
                  <w:noWrap w:val="0"/>
                  <w:vAlign w:val="center"/>
                </w:tcPr>
                <w:p w14:paraId="4F714BFE">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名称</w:t>
                  </w:r>
                </w:p>
              </w:tc>
              <w:tc>
                <w:tcPr>
                  <w:tcW w:w="823" w:type="pct"/>
                  <w:noWrap w:val="0"/>
                  <w:vAlign w:val="center"/>
                </w:tcPr>
                <w:p w14:paraId="63D13251">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eastAsia" w:ascii="Times New Roman" w:hAnsi="Times New Roman" w:eastAsia="宋体" w:cs="Times New Roman"/>
                      <w:b/>
                      <w:bCs/>
                      <w:color w:val="auto"/>
                      <w:kern w:val="0"/>
                      <w:sz w:val="18"/>
                      <w:szCs w:val="18"/>
                      <w:lang w:eastAsia="zh-CN"/>
                    </w:rPr>
                  </w:pPr>
                  <w:r>
                    <w:rPr>
                      <w:rFonts w:hint="default" w:ascii="Times New Roman" w:hAnsi="Times New Roman" w:eastAsia="宋体" w:cs="Times New Roman"/>
                      <w:b/>
                      <w:bCs/>
                      <w:color w:val="auto"/>
                      <w:kern w:val="0"/>
                      <w:sz w:val="18"/>
                      <w:szCs w:val="18"/>
                    </w:rPr>
                    <w:t>最大储存量</w:t>
                  </w:r>
                  <w:r>
                    <w:rPr>
                      <w:rFonts w:hint="eastAsia" w:ascii="Times New Roman" w:hAnsi="Times New Roman" w:eastAsia="宋体" w:cs="Times New Roman"/>
                      <w:b/>
                      <w:bCs/>
                      <w:color w:val="auto"/>
                      <w:kern w:val="0"/>
                      <w:sz w:val="18"/>
                      <w:szCs w:val="18"/>
                      <w:lang w:eastAsia="zh-CN"/>
                    </w:rPr>
                    <w:t>（</w:t>
                  </w:r>
                  <w:r>
                    <w:rPr>
                      <w:rFonts w:hint="eastAsia" w:ascii="Times New Roman" w:hAnsi="Times New Roman" w:eastAsia="宋体" w:cs="Times New Roman"/>
                      <w:b/>
                      <w:bCs/>
                      <w:color w:val="auto"/>
                      <w:kern w:val="0"/>
                      <w:sz w:val="18"/>
                      <w:szCs w:val="18"/>
                      <w:lang w:val="en-US" w:eastAsia="zh-CN"/>
                    </w:rPr>
                    <w:t>kg</w:t>
                  </w:r>
                  <w:r>
                    <w:rPr>
                      <w:rFonts w:hint="eastAsia" w:ascii="Times New Roman" w:hAnsi="Times New Roman" w:eastAsia="宋体" w:cs="Times New Roman"/>
                      <w:b/>
                      <w:bCs/>
                      <w:color w:val="auto"/>
                      <w:kern w:val="0"/>
                      <w:sz w:val="18"/>
                      <w:szCs w:val="18"/>
                      <w:lang w:eastAsia="zh-CN"/>
                    </w:rPr>
                    <w:t>）</w:t>
                  </w:r>
                </w:p>
              </w:tc>
              <w:tc>
                <w:tcPr>
                  <w:tcW w:w="776" w:type="pct"/>
                  <w:noWrap w:val="0"/>
                  <w:vAlign w:val="center"/>
                </w:tcPr>
                <w:p w14:paraId="2FCB3F98">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kern w:val="0"/>
                      <w:sz w:val="18"/>
                      <w:szCs w:val="18"/>
                      <w:lang w:val="en-US" w:eastAsia="zh-CN"/>
                    </w:rPr>
                  </w:pPr>
                  <w:r>
                    <w:rPr>
                      <w:rFonts w:hint="default" w:ascii="Times New Roman" w:hAnsi="Times New Roman" w:eastAsia="宋体" w:cs="Times New Roman"/>
                      <w:b/>
                      <w:bCs/>
                      <w:color w:val="auto"/>
                      <w:kern w:val="0"/>
                      <w:sz w:val="18"/>
                      <w:szCs w:val="18"/>
                      <w:lang w:val="en-US" w:eastAsia="zh-CN"/>
                    </w:rPr>
                    <w:t>储存位置</w:t>
                  </w:r>
                </w:p>
              </w:tc>
              <w:tc>
                <w:tcPr>
                  <w:tcW w:w="952" w:type="pct"/>
                  <w:noWrap w:val="0"/>
                  <w:vAlign w:val="center"/>
                </w:tcPr>
                <w:p w14:paraId="577366C3">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临界量（t）</w:t>
                  </w:r>
                </w:p>
              </w:tc>
              <w:tc>
                <w:tcPr>
                  <w:tcW w:w="1337" w:type="pct"/>
                  <w:noWrap w:val="0"/>
                  <w:vAlign w:val="center"/>
                </w:tcPr>
                <w:p w14:paraId="5BFD6A9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Q（</w:t>
                  </w:r>
                  <w:r>
                    <w:rPr>
                      <w:rFonts w:hint="eastAsia" w:cs="Times New Roman"/>
                      <w:b/>
                      <w:bCs/>
                      <w:color w:val="auto"/>
                      <w:kern w:val="0"/>
                      <w:sz w:val="18"/>
                      <w:szCs w:val="18"/>
                      <w:lang w:val="en-US" w:eastAsia="zh-CN"/>
                    </w:rPr>
                    <w:t>风险</w:t>
                  </w:r>
                  <w:r>
                    <w:rPr>
                      <w:rFonts w:hint="default" w:ascii="Times New Roman" w:hAnsi="Times New Roman" w:eastAsia="宋体" w:cs="Times New Roman"/>
                      <w:b/>
                      <w:bCs/>
                      <w:color w:val="auto"/>
                      <w:kern w:val="0"/>
                      <w:sz w:val="18"/>
                      <w:szCs w:val="18"/>
                    </w:rPr>
                    <w:t>物质数量与临界量比值）</w:t>
                  </w:r>
                </w:p>
              </w:tc>
            </w:tr>
            <w:tr w14:paraId="24D8E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7C08BE7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w:t>
                  </w:r>
                </w:p>
              </w:tc>
              <w:tc>
                <w:tcPr>
                  <w:tcW w:w="733" w:type="pct"/>
                  <w:noWrap w:val="0"/>
                  <w:vAlign w:val="center"/>
                </w:tcPr>
                <w:p w14:paraId="6DCB9EC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color w:val="auto"/>
                      <w:sz w:val="18"/>
                      <w:szCs w:val="18"/>
                    </w:rPr>
                    <w:t>重铬酸钾</w:t>
                  </w:r>
                </w:p>
              </w:tc>
              <w:tc>
                <w:tcPr>
                  <w:tcW w:w="823" w:type="pct"/>
                  <w:noWrap w:val="0"/>
                  <w:vAlign w:val="center"/>
                </w:tcPr>
                <w:p w14:paraId="3694529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rPr>
                    <w:t>1.5</w:t>
                  </w:r>
                </w:p>
              </w:tc>
              <w:tc>
                <w:tcPr>
                  <w:tcW w:w="776" w:type="pct"/>
                  <w:noWrap w:val="0"/>
                  <w:vAlign w:val="center"/>
                </w:tcPr>
                <w:p w14:paraId="20097BC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48E317E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rPr>
                    <w:t>0.25</w:t>
                  </w:r>
                </w:p>
              </w:tc>
              <w:tc>
                <w:tcPr>
                  <w:tcW w:w="2143" w:type="dxa"/>
                  <w:noWrap w:val="0"/>
                  <w:vAlign w:val="center"/>
                </w:tcPr>
                <w:p w14:paraId="635E4090">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0.006</w:t>
                  </w:r>
                </w:p>
              </w:tc>
            </w:tr>
            <w:tr w14:paraId="1216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18BA55D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2</w:t>
                  </w:r>
                </w:p>
              </w:tc>
              <w:tc>
                <w:tcPr>
                  <w:tcW w:w="733" w:type="pct"/>
                  <w:noWrap w:val="0"/>
                  <w:vAlign w:val="center"/>
                </w:tcPr>
                <w:p w14:paraId="592AFAD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N,N-二甲基甲酰胺</w:t>
                  </w:r>
                </w:p>
              </w:tc>
              <w:tc>
                <w:tcPr>
                  <w:tcW w:w="823" w:type="pct"/>
                  <w:noWrap w:val="0"/>
                  <w:vAlign w:val="center"/>
                </w:tcPr>
                <w:p w14:paraId="212B0340">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0.948</w:t>
                  </w:r>
                </w:p>
              </w:tc>
              <w:tc>
                <w:tcPr>
                  <w:tcW w:w="776" w:type="pct"/>
                  <w:noWrap w:val="0"/>
                  <w:vAlign w:val="center"/>
                </w:tcPr>
                <w:p w14:paraId="088D31D0">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276544A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5</w:t>
                  </w:r>
                </w:p>
              </w:tc>
              <w:tc>
                <w:tcPr>
                  <w:tcW w:w="2143" w:type="dxa"/>
                  <w:noWrap w:val="0"/>
                  <w:vAlign w:val="center"/>
                </w:tcPr>
                <w:p w14:paraId="2322159D">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0.0001896</w:t>
                  </w:r>
                </w:p>
              </w:tc>
            </w:tr>
            <w:tr w14:paraId="27769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7A33CCC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3</w:t>
                  </w:r>
                </w:p>
              </w:tc>
              <w:tc>
                <w:tcPr>
                  <w:tcW w:w="733" w:type="pct"/>
                  <w:noWrap w:val="0"/>
                  <w:vAlign w:val="center"/>
                </w:tcPr>
                <w:p w14:paraId="38DDD687">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 w:val="0"/>
                      <w:bCs w:val="0"/>
                      <w:i w:val="0"/>
                      <w:iCs w:val="0"/>
                      <w:strike w:val="0"/>
                      <w:dstrike w:val="0"/>
                      <w:color w:val="auto"/>
                      <w:kern w:val="2"/>
                      <w:sz w:val="18"/>
                      <w:szCs w:val="18"/>
                      <w:u w:val="none"/>
                      <w:lang w:val="en-US" w:eastAsia="zh-CN" w:bidi="ar-SA"/>
                    </w:rPr>
                  </w:pPr>
                  <w:r>
                    <w:rPr>
                      <w:rFonts w:hint="default" w:ascii="Times New Roman" w:hAnsi="Times New Roman" w:eastAsia="宋体" w:cs="Times New Roman"/>
                      <w:b w:val="0"/>
                      <w:bCs w:val="0"/>
                      <w:i w:val="0"/>
                      <w:iCs w:val="0"/>
                      <w:strike w:val="0"/>
                      <w:dstrike w:val="0"/>
                      <w:color w:val="auto"/>
                      <w:kern w:val="2"/>
                      <w:sz w:val="18"/>
                      <w:szCs w:val="18"/>
                      <w:u w:val="none"/>
                      <w:lang w:val="en-US" w:eastAsia="zh-CN" w:bidi="ar-SA"/>
                    </w:rPr>
                    <w:t>苯酚</w:t>
                  </w:r>
                </w:p>
              </w:tc>
              <w:tc>
                <w:tcPr>
                  <w:tcW w:w="823" w:type="pct"/>
                  <w:noWrap w:val="0"/>
                  <w:vAlign w:val="center"/>
                </w:tcPr>
                <w:p w14:paraId="27BDE5F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0.5</w:t>
                  </w:r>
                </w:p>
              </w:tc>
              <w:tc>
                <w:tcPr>
                  <w:tcW w:w="776" w:type="pct"/>
                  <w:noWrap w:val="0"/>
                  <w:vAlign w:val="center"/>
                </w:tcPr>
                <w:p w14:paraId="72FCEF0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490BBEC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5</w:t>
                  </w:r>
                </w:p>
              </w:tc>
              <w:tc>
                <w:tcPr>
                  <w:tcW w:w="2143" w:type="dxa"/>
                  <w:noWrap w:val="0"/>
                  <w:vAlign w:val="center"/>
                </w:tcPr>
                <w:p w14:paraId="3EF20070">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0.0001</w:t>
                  </w:r>
                </w:p>
              </w:tc>
            </w:tr>
            <w:tr w14:paraId="5713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68FF997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4</w:t>
                  </w:r>
                </w:p>
              </w:tc>
              <w:tc>
                <w:tcPr>
                  <w:tcW w:w="733" w:type="pct"/>
                  <w:noWrap w:val="0"/>
                  <w:vAlign w:val="center"/>
                </w:tcPr>
                <w:p w14:paraId="096485D7">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氨水</w:t>
                  </w:r>
                </w:p>
              </w:tc>
              <w:tc>
                <w:tcPr>
                  <w:tcW w:w="823" w:type="pct"/>
                  <w:noWrap w:val="0"/>
                  <w:vAlign w:val="center"/>
                </w:tcPr>
                <w:p w14:paraId="3436CC1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rPr>
                    <w:t>1.82</w:t>
                  </w:r>
                </w:p>
              </w:tc>
              <w:tc>
                <w:tcPr>
                  <w:tcW w:w="776" w:type="pct"/>
                  <w:noWrap w:val="0"/>
                  <w:vAlign w:val="center"/>
                </w:tcPr>
                <w:p w14:paraId="61FBCBE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73BB8BCC">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rPr>
                    <w:t>10</w:t>
                  </w:r>
                </w:p>
              </w:tc>
              <w:tc>
                <w:tcPr>
                  <w:tcW w:w="2143" w:type="dxa"/>
                  <w:noWrap w:val="0"/>
                  <w:vAlign w:val="center"/>
                </w:tcPr>
                <w:p w14:paraId="668B6588">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0.000182</w:t>
                  </w:r>
                </w:p>
              </w:tc>
            </w:tr>
            <w:tr w14:paraId="4BA4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7A67AAA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5</w:t>
                  </w:r>
                </w:p>
              </w:tc>
              <w:tc>
                <w:tcPr>
                  <w:tcW w:w="733" w:type="pct"/>
                  <w:noWrap w:val="0"/>
                  <w:vAlign w:val="center"/>
                </w:tcPr>
                <w:p w14:paraId="01BAF535">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甲醇</w:t>
                  </w:r>
                </w:p>
              </w:tc>
              <w:tc>
                <w:tcPr>
                  <w:tcW w:w="823" w:type="pct"/>
                  <w:noWrap w:val="0"/>
                  <w:vAlign w:val="center"/>
                </w:tcPr>
                <w:p w14:paraId="512BC067">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2.385</w:t>
                  </w:r>
                </w:p>
              </w:tc>
              <w:tc>
                <w:tcPr>
                  <w:tcW w:w="776" w:type="pct"/>
                  <w:noWrap w:val="0"/>
                  <w:vAlign w:val="center"/>
                </w:tcPr>
                <w:p w14:paraId="4F710F3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35832C1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10</w:t>
                  </w:r>
                </w:p>
              </w:tc>
              <w:tc>
                <w:tcPr>
                  <w:tcW w:w="2143" w:type="dxa"/>
                  <w:noWrap w:val="0"/>
                  <w:vAlign w:val="center"/>
                </w:tcPr>
                <w:p w14:paraId="7288C3C4">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0.0002385</w:t>
                  </w:r>
                </w:p>
              </w:tc>
            </w:tr>
            <w:tr w14:paraId="5B6C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4CAEE2D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6</w:t>
                  </w:r>
                </w:p>
              </w:tc>
              <w:tc>
                <w:tcPr>
                  <w:tcW w:w="733" w:type="pct"/>
                  <w:noWrap w:val="0"/>
                  <w:vAlign w:val="center"/>
                </w:tcPr>
                <w:p w14:paraId="4BAB795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甲醛</w:t>
                  </w:r>
                </w:p>
              </w:tc>
              <w:tc>
                <w:tcPr>
                  <w:tcW w:w="823" w:type="pct"/>
                  <w:shd w:val="clear" w:color="auto" w:fill="auto"/>
                  <w:noWrap w:val="0"/>
                  <w:vAlign w:val="center"/>
                </w:tcPr>
                <w:p w14:paraId="7AA487E5">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0.5415</w:t>
                  </w:r>
                </w:p>
              </w:tc>
              <w:tc>
                <w:tcPr>
                  <w:tcW w:w="776" w:type="pct"/>
                  <w:noWrap w:val="0"/>
                  <w:vAlign w:val="center"/>
                </w:tcPr>
                <w:p w14:paraId="5E95588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71F53D8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0.5</w:t>
                  </w:r>
                </w:p>
              </w:tc>
              <w:tc>
                <w:tcPr>
                  <w:tcW w:w="2143" w:type="dxa"/>
                  <w:noWrap w:val="0"/>
                  <w:vAlign w:val="center"/>
                </w:tcPr>
                <w:p w14:paraId="0DD6B24A">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0.001083</w:t>
                  </w:r>
                </w:p>
              </w:tc>
            </w:tr>
            <w:tr w14:paraId="2FB7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08A0E6C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7</w:t>
                  </w:r>
                </w:p>
              </w:tc>
              <w:tc>
                <w:tcPr>
                  <w:tcW w:w="733" w:type="pct"/>
                  <w:noWrap w:val="0"/>
                  <w:vAlign w:val="center"/>
                </w:tcPr>
                <w:p w14:paraId="39E67E70">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甲酸</w:t>
                  </w:r>
                </w:p>
              </w:tc>
              <w:tc>
                <w:tcPr>
                  <w:tcW w:w="823" w:type="pct"/>
                  <w:shd w:val="clear" w:color="auto" w:fill="auto"/>
                  <w:noWrap w:val="0"/>
                  <w:vAlign w:val="center"/>
                </w:tcPr>
                <w:p w14:paraId="1C17AE3B">
                  <w:pPr>
                    <w:keepNext w:val="0"/>
                    <w:keepLines w:val="0"/>
                    <w:pageBreakBefore w:val="0"/>
                    <w:widowControl/>
                    <w:suppressLineNumbers w:val="0"/>
                    <w:kinsoku/>
                    <w:wordWrap/>
                    <w:overflowPunct/>
                    <w:topLinePunct w:val="0"/>
                    <w:autoSpaceDE/>
                    <w:autoSpaceDN/>
                    <w:bidi w:val="0"/>
                    <w:spacing w:line="360" w:lineRule="exact"/>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0.122</w:t>
                  </w:r>
                </w:p>
              </w:tc>
              <w:tc>
                <w:tcPr>
                  <w:tcW w:w="776" w:type="pct"/>
                  <w:noWrap w:val="0"/>
                  <w:vAlign w:val="center"/>
                </w:tcPr>
                <w:p w14:paraId="76266F07">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5C848D69">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10</w:t>
                  </w:r>
                </w:p>
              </w:tc>
              <w:tc>
                <w:tcPr>
                  <w:tcW w:w="2143" w:type="dxa"/>
                  <w:noWrap w:val="0"/>
                  <w:vAlign w:val="center"/>
                </w:tcPr>
                <w:p w14:paraId="61A59680">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0.0000122</w:t>
                  </w:r>
                </w:p>
              </w:tc>
            </w:tr>
            <w:tr w14:paraId="5AA4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38732D2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8</w:t>
                  </w:r>
                </w:p>
              </w:tc>
              <w:tc>
                <w:tcPr>
                  <w:tcW w:w="733" w:type="pct"/>
                  <w:noWrap w:val="0"/>
                  <w:vAlign w:val="center"/>
                </w:tcPr>
                <w:p w14:paraId="0FB262F3">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sz w:val="18"/>
                      <w:szCs w:val="18"/>
                    </w:rPr>
                    <w:t>磷酸</w:t>
                  </w:r>
                </w:p>
              </w:tc>
              <w:tc>
                <w:tcPr>
                  <w:tcW w:w="823" w:type="pct"/>
                  <w:noWrap w:val="0"/>
                  <w:vAlign w:val="center"/>
                </w:tcPr>
                <w:p w14:paraId="7FF7380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rPr>
                    <w:t>0.935</w:t>
                  </w:r>
                </w:p>
              </w:tc>
              <w:tc>
                <w:tcPr>
                  <w:tcW w:w="776" w:type="pct"/>
                  <w:noWrap w:val="0"/>
                  <w:vAlign w:val="center"/>
                </w:tcPr>
                <w:p w14:paraId="78B3B68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1C72D48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rPr>
                    <w:t>10</w:t>
                  </w:r>
                </w:p>
              </w:tc>
              <w:tc>
                <w:tcPr>
                  <w:tcW w:w="2143" w:type="dxa"/>
                  <w:noWrap w:val="0"/>
                  <w:vAlign w:val="center"/>
                </w:tcPr>
                <w:p w14:paraId="2069E4A0">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0.0000935</w:t>
                  </w:r>
                </w:p>
              </w:tc>
            </w:tr>
            <w:tr w14:paraId="71F09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1A70DAC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9</w:t>
                  </w:r>
                </w:p>
              </w:tc>
              <w:tc>
                <w:tcPr>
                  <w:tcW w:w="733" w:type="pct"/>
                  <w:noWrap w:val="0"/>
                  <w:vAlign w:val="center"/>
                </w:tcPr>
                <w:p w14:paraId="3898B31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rPr>
                    <w:t>盐酸</w:t>
                  </w:r>
                </w:p>
              </w:tc>
              <w:tc>
                <w:tcPr>
                  <w:tcW w:w="823" w:type="pct"/>
                  <w:noWrap w:val="0"/>
                  <w:vAlign w:val="center"/>
                </w:tcPr>
                <w:p w14:paraId="419AB4C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rPr>
                    <w:t>2.318</w:t>
                  </w:r>
                </w:p>
              </w:tc>
              <w:tc>
                <w:tcPr>
                  <w:tcW w:w="776" w:type="pct"/>
                  <w:noWrap w:val="0"/>
                  <w:vAlign w:val="center"/>
                </w:tcPr>
                <w:p w14:paraId="3969D56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365F5DB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rPr>
                    <w:t>7.5</w:t>
                  </w:r>
                </w:p>
              </w:tc>
              <w:tc>
                <w:tcPr>
                  <w:tcW w:w="2143" w:type="dxa"/>
                  <w:noWrap w:val="0"/>
                  <w:vAlign w:val="center"/>
                </w:tcPr>
                <w:p w14:paraId="7BEAE01F">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0.000309067</w:t>
                  </w:r>
                </w:p>
              </w:tc>
            </w:tr>
            <w:tr w14:paraId="7C1F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1B9C2DE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10</w:t>
                  </w:r>
                </w:p>
              </w:tc>
              <w:tc>
                <w:tcPr>
                  <w:tcW w:w="733" w:type="pct"/>
                  <w:noWrap w:val="0"/>
                  <w:vAlign w:val="center"/>
                </w:tcPr>
                <w:p w14:paraId="25CC341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color w:val="auto"/>
                      <w:sz w:val="18"/>
                      <w:szCs w:val="18"/>
                    </w:rPr>
                    <w:t>硫酸</w:t>
                  </w:r>
                </w:p>
              </w:tc>
              <w:tc>
                <w:tcPr>
                  <w:tcW w:w="823" w:type="pct"/>
                  <w:noWrap w:val="0"/>
                  <w:vAlign w:val="center"/>
                </w:tcPr>
                <w:p w14:paraId="5D5A5147">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rPr>
                    <w:t>3.68</w:t>
                  </w:r>
                </w:p>
              </w:tc>
              <w:tc>
                <w:tcPr>
                  <w:tcW w:w="776" w:type="pct"/>
                  <w:noWrap w:val="0"/>
                  <w:vAlign w:val="center"/>
                </w:tcPr>
                <w:p w14:paraId="4EAFD29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7911B38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rPr>
                    <w:t>10</w:t>
                  </w:r>
                </w:p>
              </w:tc>
              <w:tc>
                <w:tcPr>
                  <w:tcW w:w="2143" w:type="dxa"/>
                  <w:noWrap w:val="0"/>
                  <w:vAlign w:val="center"/>
                </w:tcPr>
                <w:p w14:paraId="01A6301B">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highlight w:val="yellow"/>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0.000368</w:t>
                  </w:r>
                </w:p>
              </w:tc>
            </w:tr>
            <w:tr w14:paraId="0DEC3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6C851E4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11</w:t>
                  </w:r>
                </w:p>
              </w:tc>
              <w:tc>
                <w:tcPr>
                  <w:tcW w:w="733" w:type="pct"/>
                  <w:noWrap w:val="0"/>
                  <w:vAlign w:val="center"/>
                </w:tcPr>
                <w:p w14:paraId="670A90D9">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rPr>
                    <w:t>硝酸</w:t>
                  </w:r>
                </w:p>
              </w:tc>
              <w:tc>
                <w:tcPr>
                  <w:tcW w:w="823" w:type="pct"/>
                  <w:noWrap w:val="0"/>
                  <w:vAlign w:val="center"/>
                </w:tcPr>
                <w:p w14:paraId="5E881063">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3</w:t>
                  </w:r>
                </w:p>
              </w:tc>
              <w:tc>
                <w:tcPr>
                  <w:tcW w:w="776" w:type="pct"/>
                  <w:noWrap w:val="0"/>
                  <w:vAlign w:val="center"/>
                </w:tcPr>
                <w:p w14:paraId="362BF423">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40BB5499">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rPr>
                    <w:t>7.5</w:t>
                  </w:r>
                </w:p>
              </w:tc>
              <w:tc>
                <w:tcPr>
                  <w:tcW w:w="2143" w:type="dxa"/>
                  <w:noWrap w:val="0"/>
                  <w:vAlign w:val="center"/>
                </w:tcPr>
                <w:p w14:paraId="43A55C53">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0.0004</w:t>
                  </w:r>
                </w:p>
              </w:tc>
            </w:tr>
            <w:tr w14:paraId="1AD80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1D58439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12</w:t>
                  </w:r>
                </w:p>
              </w:tc>
              <w:tc>
                <w:tcPr>
                  <w:tcW w:w="733" w:type="pct"/>
                  <w:noWrap w:val="0"/>
                  <w:vAlign w:val="center"/>
                </w:tcPr>
                <w:p w14:paraId="1D88589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乙腈</w:t>
                  </w:r>
                </w:p>
              </w:tc>
              <w:tc>
                <w:tcPr>
                  <w:tcW w:w="823" w:type="pct"/>
                  <w:noWrap w:val="0"/>
                  <w:vAlign w:val="center"/>
                </w:tcPr>
                <w:p w14:paraId="3CB61DA7">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3.144</w:t>
                  </w:r>
                </w:p>
              </w:tc>
              <w:tc>
                <w:tcPr>
                  <w:tcW w:w="776" w:type="pct"/>
                  <w:noWrap w:val="0"/>
                  <w:vAlign w:val="center"/>
                </w:tcPr>
                <w:p w14:paraId="757183F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4D4FD823">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10</w:t>
                  </w:r>
                </w:p>
              </w:tc>
              <w:tc>
                <w:tcPr>
                  <w:tcW w:w="2143" w:type="dxa"/>
                  <w:noWrap w:val="0"/>
                  <w:vAlign w:val="center"/>
                </w:tcPr>
                <w:p w14:paraId="46162304">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0.0003144</w:t>
                  </w:r>
                </w:p>
              </w:tc>
            </w:tr>
            <w:tr w14:paraId="3D5C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5CB05D9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13</w:t>
                  </w:r>
                </w:p>
              </w:tc>
              <w:tc>
                <w:tcPr>
                  <w:tcW w:w="733" w:type="pct"/>
                  <w:noWrap w:val="0"/>
                  <w:vAlign w:val="center"/>
                </w:tcPr>
                <w:p w14:paraId="5FB6132E">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乙酸乙酯</w:t>
                  </w:r>
                </w:p>
              </w:tc>
              <w:tc>
                <w:tcPr>
                  <w:tcW w:w="823" w:type="pct"/>
                  <w:noWrap w:val="0"/>
                  <w:vAlign w:val="center"/>
                </w:tcPr>
                <w:p w14:paraId="23DEC4C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0.902</w:t>
                  </w:r>
                </w:p>
              </w:tc>
              <w:tc>
                <w:tcPr>
                  <w:tcW w:w="776" w:type="pct"/>
                  <w:noWrap w:val="0"/>
                  <w:vAlign w:val="center"/>
                </w:tcPr>
                <w:p w14:paraId="29D87697">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6267091B">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10</w:t>
                  </w:r>
                </w:p>
              </w:tc>
              <w:tc>
                <w:tcPr>
                  <w:tcW w:w="2143" w:type="dxa"/>
                  <w:noWrap w:val="0"/>
                  <w:vAlign w:val="center"/>
                </w:tcPr>
                <w:p w14:paraId="4049D41A">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0.0000902</w:t>
                  </w:r>
                </w:p>
              </w:tc>
            </w:tr>
            <w:tr w14:paraId="7C39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089D59F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14</w:t>
                  </w:r>
                </w:p>
              </w:tc>
              <w:tc>
                <w:tcPr>
                  <w:tcW w:w="733" w:type="pct"/>
                  <w:noWrap w:val="0"/>
                  <w:vAlign w:val="center"/>
                </w:tcPr>
                <w:p w14:paraId="557020E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二氯甲烷</w:t>
                  </w:r>
                </w:p>
              </w:tc>
              <w:tc>
                <w:tcPr>
                  <w:tcW w:w="823" w:type="pct"/>
                  <w:noWrap w:val="0"/>
                  <w:vAlign w:val="center"/>
                </w:tcPr>
                <w:p w14:paraId="4127B07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2.65</w:t>
                  </w:r>
                </w:p>
              </w:tc>
              <w:tc>
                <w:tcPr>
                  <w:tcW w:w="776" w:type="pct"/>
                  <w:noWrap w:val="0"/>
                  <w:vAlign w:val="center"/>
                </w:tcPr>
                <w:p w14:paraId="0E3C3A7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43B9A62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10</w:t>
                  </w:r>
                </w:p>
              </w:tc>
              <w:tc>
                <w:tcPr>
                  <w:tcW w:w="2143" w:type="dxa"/>
                  <w:noWrap w:val="0"/>
                  <w:vAlign w:val="center"/>
                </w:tcPr>
                <w:p w14:paraId="320EA25F">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0.000265</w:t>
                  </w:r>
                </w:p>
              </w:tc>
            </w:tr>
            <w:tr w14:paraId="115E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2F2C7A6C">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15</w:t>
                  </w:r>
                </w:p>
              </w:tc>
              <w:tc>
                <w:tcPr>
                  <w:tcW w:w="733" w:type="pct"/>
                  <w:noWrap w:val="0"/>
                  <w:vAlign w:val="center"/>
                </w:tcPr>
                <w:p w14:paraId="78E3276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三氯甲烷</w:t>
                  </w:r>
                </w:p>
              </w:tc>
              <w:tc>
                <w:tcPr>
                  <w:tcW w:w="823" w:type="pct"/>
                  <w:noWrap w:val="0"/>
                  <w:vAlign w:val="center"/>
                </w:tcPr>
                <w:p w14:paraId="039E93F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1.48</w:t>
                  </w:r>
                </w:p>
              </w:tc>
              <w:tc>
                <w:tcPr>
                  <w:tcW w:w="776" w:type="pct"/>
                  <w:noWrap w:val="0"/>
                  <w:vAlign w:val="center"/>
                </w:tcPr>
                <w:p w14:paraId="50A69B1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5604461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10</w:t>
                  </w:r>
                </w:p>
              </w:tc>
              <w:tc>
                <w:tcPr>
                  <w:tcW w:w="2143" w:type="dxa"/>
                  <w:noWrap w:val="0"/>
                  <w:vAlign w:val="center"/>
                </w:tcPr>
                <w:p w14:paraId="1039C936">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0.000148</w:t>
                  </w:r>
                </w:p>
              </w:tc>
            </w:tr>
            <w:tr w14:paraId="70CBE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6A8FD8A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16</w:t>
                  </w:r>
                </w:p>
              </w:tc>
              <w:tc>
                <w:tcPr>
                  <w:tcW w:w="733" w:type="pct"/>
                  <w:noWrap w:val="0"/>
                  <w:vAlign w:val="center"/>
                </w:tcPr>
                <w:p w14:paraId="50AABA35">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石油醚</w:t>
                  </w:r>
                </w:p>
              </w:tc>
              <w:tc>
                <w:tcPr>
                  <w:tcW w:w="823" w:type="pct"/>
                  <w:noWrap w:val="0"/>
                  <w:vAlign w:val="center"/>
                </w:tcPr>
                <w:p w14:paraId="2752DD5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1.28</w:t>
                  </w:r>
                </w:p>
              </w:tc>
              <w:tc>
                <w:tcPr>
                  <w:tcW w:w="776" w:type="pct"/>
                  <w:noWrap w:val="0"/>
                  <w:vAlign w:val="center"/>
                </w:tcPr>
                <w:p w14:paraId="31C1ABB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14EC453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10</w:t>
                  </w:r>
                </w:p>
              </w:tc>
              <w:tc>
                <w:tcPr>
                  <w:tcW w:w="2143" w:type="dxa"/>
                  <w:noWrap w:val="0"/>
                  <w:vAlign w:val="center"/>
                </w:tcPr>
                <w:p w14:paraId="0670407F">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0.000128</w:t>
                  </w:r>
                </w:p>
              </w:tc>
            </w:tr>
            <w:tr w14:paraId="6FC1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0F1835F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17</w:t>
                  </w:r>
                </w:p>
              </w:tc>
              <w:tc>
                <w:tcPr>
                  <w:tcW w:w="733" w:type="pct"/>
                  <w:noWrap w:val="0"/>
                  <w:vAlign w:val="center"/>
                </w:tcPr>
                <w:p w14:paraId="4CDCC334">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丙酮</w:t>
                  </w:r>
                </w:p>
              </w:tc>
              <w:tc>
                <w:tcPr>
                  <w:tcW w:w="823" w:type="pct"/>
                  <w:noWrap w:val="0"/>
                  <w:vAlign w:val="center"/>
                </w:tcPr>
                <w:p w14:paraId="22FF6A90">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3.16</w:t>
                  </w:r>
                </w:p>
              </w:tc>
              <w:tc>
                <w:tcPr>
                  <w:tcW w:w="776" w:type="pct"/>
                  <w:noWrap w:val="0"/>
                  <w:vAlign w:val="center"/>
                </w:tcPr>
                <w:p w14:paraId="2DE138C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0A792A0A">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10</w:t>
                  </w:r>
                </w:p>
              </w:tc>
              <w:tc>
                <w:tcPr>
                  <w:tcW w:w="2143" w:type="dxa"/>
                  <w:noWrap w:val="0"/>
                  <w:vAlign w:val="center"/>
                </w:tcPr>
                <w:p w14:paraId="6FDF82F4">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0.000316</w:t>
                  </w:r>
                </w:p>
              </w:tc>
            </w:tr>
            <w:tr w14:paraId="1084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1B83B4A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18</w:t>
                  </w:r>
                </w:p>
              </w:tc>
              <w:tc>
                <w:tcPr>
                  <w:tcW w:w="733" w:type="pct"/>
                  <w:noWrap w:val="0"/>
                  <w:vAlign w:val="center"/>
                </w:tcPr>
                <w:p w14:paraId="5B5185D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甲胺</w:t>
                  </w:r>
                </w:p>
              </w:tc>
              <w:tc>
                <w:tcPr>
                  <w:tcW w:w="823" w:type="pct"/>
                  <w:noWrap w:val="0"/>
                  <w:vAlign w:val="center"/>
                </w:tcPr>
                <w:p w14:paraId="59009D5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1</w:t>
                  </w:r>
                </w:p>
              </w:tc>
              <w:tc>
                <w:tcPr>
                  <w:tcW w:w="776" w:type="pct"/>
                  <w:noWrap w:val="0"/>
                  <w:vAlign w:val="center"/>
                </w:tcPr>
                <w:p w14:paraId="6536B163">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3B72402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5</w:t>
                  </w:r>
                </w:p>
              </w:tc>
              <w:tc>
                <w:tcPr>
                  <w:tcW w:w="2143" w:type="dxa"/>
                  <w:noWrap w:val="0"/>
                  <w:vAlign w:val="center"/>
                </w:tcPr>
                <w:p w14:paraId="1ABE8DFB">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0.0002</w:t>
                  </w:r>
                </w:p>
              </w:tc>
            </w:tr>
            <w:tr w14:paraId="686F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2B4AA8B8">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19</w:t>
                  </w:r>
                </w:p>
              </w:tc>
              <w:tc>
                <w:tcPr>
                  <w:tcW w:w="733" w:type="pct"/>
                  <w:noWrap w:val="0"/>
                  <w:vAlign w:val="center"/>
                </w:tcPr>
                <w:p w14:paraId="7D5DDD29">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乙二胺</w:t>
                  </w:r>
                </w:p>
              </w:tc>
              <w:tc>
                <w:tcPr>
                  <w:tcW w:w="823" w:type="pct"/>
                  <w:noWrap w:val="0"/>
                  <w:vAlign w:val="center"/>
                </w:tcPr>
                <w:p w14:paraId="133A9B1D">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1</w:t>
                  </w:r>
                </w:p>
              </w:tc>
              <w:tc>
                <w:tcPr>
                  <w:tcW w:w="776" w:type="pct"/>
                  <w:noWrap w:val="0"/>
                  <w:vAlign w:val="center"/>
                </w:tcPr>
                <w:p w14:paraId="50A4D69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2D77FA3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10</w:t>
                  </w:r>
                </w:p>
              </w:tc>
              <w:tc>
                <w:tcPr>
                  <w:tcW w:w="2143" w:type="dxa"/>
                  <w:noWrap w:val="0"/>
                  <w:vAlign w:val="center"/>
                </w:tcPr>
                <w:p w14:paraId="090FF492">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0.0001</w:t>
                  </w:r>
                </w:p>
              </w:tc>
            </w:tr>
            <w:tr w14:paraId="3A2DC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 w:type="pct"/>
                  <w:noWrap w:val="0"/>
                  <w:vAlign w:val="center"/>
                </w:tcPr>
                <w:p w14:paraId="204D6996">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20</w:t>
                  </w:r>
                </w:p>
              </w:tc>
              <w:tc>
                <w:tcPr>
                  <w:tcW w:w="733" w:type="pct"/>
                  <w:noWrap w:val="0"/>
                  <w:vAlign w:val="center"/>
                </w:tcPr>
                <w:p w14:paraId="60F3F09F">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氰化钾</w:t>
                  </w:r>
                </w:p>
              </w:tc>
              <w:tc>
                <w:tcPr>
                  <w:tcW w:w="823" w:type="pct"/>
                  <w:noWrap w:val="0"/>
                  <w:vAlign w:val="center"/>
                </w:tcPr>
                <w:p w14:paraId="1DFA3279">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bCs/>
                      <w:color w:val="auto"/>
                      <w:kern w:val="0"/>
                      <w:sz w:val="18"/>
                      <w:szCs w:val="18"/>
                      <w:lang w:val="en-US" w:eastAsia="zh-CN" w:bidi="ar-SA"/>
                    </w:rPr>
                    <w:t>1</w:t>
                  </w:r>
                </w:p>
              </w:tc>
              <w:tc>
                <w:tcPr>
                  <w:tcW w:w="776" w:type="pct"/>
                  <w:noWrap w:val="0"/>
                  <w:vAlign w:val="center"/>
                </w:tcPr>
                <w:p w14:paraId="2FDFE8F1">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 w:val="0"/>
                      <w:bCs w:val="0"/>
                      <w:color w:val="auto"/>
                      <w:sz w:val="18"/>
                      <w:szCs w:val="18"/>
                      <w:vertAlign w:val="baseline"/>
                      <w:lang w:val="en-US" w:eastAsia="zh-CN"/>
                    </w:rPr>
                    <w:t>危化品室</w:t>
                  </w:r>
                </w:p>
              </w:tc>
              <w:tc>
                <w:tcPr>
                  <w:tcW w:w="952" w:type="pct"/>
                  <w:noWrap w:val="0"/>
                  <w:vAlign w:val="center"/>
                </w:tcPr>
                <w:p w14:paraId="0C84FF12">
                  <w:pPr>
                    <w:keepNext w:val="0"/>
                    <w:keepLines w:val="0"/>
                    <w:pageBreakBefore w:val="0"/>
                    <w:kinsoku/>
                    <w:wordWrap/>
                    <w:overflowPunct/>
                    <w:topLinePunct w:val="0"/>
                    <w:autoSpaceDE/>
                    <w:autoSpaceDN/>
                    <w:bidi w:val="0"/>
                    <w:adjustRightInd w:val="0"/>
                    <w:snapToGrid w:val="0"/>
                    <w:spacing w:line="360" w:lineRule="exact"/>
                    <w:jc w:val="center"/>
                    <w:rPr>
                      <w:rFonts w:hint="default" w:ascii="Times New Roman" w:hAnsi="Times New Roman" w:eastAsia="宋体" w:cs="Times New Roman"/>
                      <w:bCs/>
                      <w:color w:val="auto"/>
                      <w:kern w:val="0"/>
                      <w:sz w:val="18"/>
                      <w:szCs w:val="18"/>
                      <w:lang w:val="en-US" w:eastAsia="zh-CN"/>
                    </w:rPr>
                  </w:pPr>
                  <w:r>
                    <w:rPr>
                      <w:rFonts w:hint="default" w:ascii="Times New Roman" w:hAnsi="Times New Roman" w:eastAsia="宋体" w:cs="Times New Roman"/>
                      <w:bCs/>
                      <w:color w:val="auto"/>
                      <w:kern w:val="0"/>
                      <w:sz w:val="18"/>
                      <w:szCs w:val="18"/>
                      <w:lang w:val="en-US" w:eastAsia="zh-CN"/>
                    </w:rPr>
                    <w:t>0.25</w:t>
                  </w:r>
                </w:p>
              </w:tc>
              <w:tc>
                <w:tcPr>
                  <w:tcW w:w="2143" w:type="dxa"/>
                  <w:noWrap w:val="0"/>
                  <w:vAlign w:val="center"/>
                </w:tcPr>
                <w:p w14:paraId="724B2ACF">
                  <w:pPr>
                    <w:keepNext w:val="0"/>
                    <w:keepLines w:val="0"/>
                    <w:widowControl/>
                    <w:suppressLineNumbers w:val="0"/>
                    <w:jc w:val="center"/>
                    <w:textAlignment w:val="center"/>
                    <w:rPr>
                      <w:rFonts w:hint="default" w:ascii="Times New Roman" w:hAnsi="Times New Roman" w:eastAsia="宋体" w:cs="Times New Roman"/>
                      <w:bCs/>
                      <w:color w:val="auto"/>
                      <w:kern w:val="0"/>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0.004</w:t>
                  </w:r>
                </w:p>
              </w:tc>
            </w:tr>
            <w:tr w14:paraId="45BA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2" w:type="pct"/>
                  <w:gridSpan w:val="5"/>
                  <w:noWrap w:val="0"/>
                  <w:vAlign w:val="center"/>
                </w:tcPr>
                <w:p w14:paraId="2E625615">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合计</w:t>
                  </w:r>
                </w:p>
              </w:tc>
              <w:tc>
                <w:tcPr>
                  <w:tcW w:w="2143" w:type="dxa"/>
                  <w:noWrap w:val="0"/>
                  <w:vAlign w:val="center"/>
                </w:tcPr>
                <w:p w14:paraId="093BF80A">
                  <w:pPr>
                    <w:keepLines w:val="0"/>
                    <w:pageBreakBefore w:val="0"/>
                    <w:widowControl w:val="0"/>
                    <w:kinsoku/>
                    <w:wordWrap/>
                    <w:overflowPunct/>
                    <w:topLinePunct w:val="0"/>
                    <w:autoSpaceDE/>
                    <w:autoSpaceDN/>
                    <w:bidi w:val="0"/>
                    <w:spacing w:line="360" w:lineRule="exact"/>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0.014537467</w:t>
                  </w:r>
                </w:p>
              </w:tc>
            </w:tr>
          </w:tbl>
          <w:p w14:paraId="44C74E66">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lang w:val="en-US" w:eastAsia="zh-CN"/>
              </w:rPr>
              <w:t>根据上述计算可知，项目所用危险化学品使用量均低于生产场所临界量，危险物质Q值总合也小于1，故项目环境风险潜势为Ⅰ。</w:t>
            </w:r>
          </w:p>
          <w:p w14:paraId="3001F302">
            <w:pPr>
              <w:adjustRightInd w:val="0"/>
              <w:snapToGrid w:val="0"/>
              <w:spacing w:line="360" w:lineRule="auto"/>
              <w:rPr>
                <w:rFonts w:hint="default" w:ascii="Times New Roman" w:hAnsi="Times New Roman" w:eastAsia="宋体" w:cs="Times New Roman"/>
                <w:b/>
                <w:bCs/>
                <w:color w:val="auto"/>
                <w:kern w:val="0"/>
                <w:sz w:val="21"/>
                <w:szCs w:val="21"/>
              </w:rPr>
            </w:pPr>
            <w:r>
              <w:rPr>
                <w:rFonts w:hint="eastAsia" w:cs="Times New Roman"/>
                <w:b/>
                <w:bCs/>
                <w:color w:val="auto"/>
                <w:kern w:val="0"/>
                <w:sz w:val="21"/>
                <w:szCs w:val="21"/>
                <w:lang w:val="en-US" w:eastAsia="zh-CN"/>
              </w:rPr>
              <w:t>7</w:t>
            </w:r>
            <w:r>
              <w:rPr>
                <w:rFonts w:hint="default" w:ascii="Times New Roman" w:hAnsi="Times New Roman" w:eastAsia="宋体" w:cs="Times New Roman"/>
                <w:b/>
                <w:bCs/>
                <w:color w:val="auto"/>
                <w:kern w:val="0"/>
                <w:sz w:val="21"/>
                <w:szCs w:val="21"/>
              </w:rPr>
              <w:t>.4环境风险评价工作等级</w:t>
            </w:r>
          </w:p>
          <w:p w14:paraId="4BC4D3F8">
            <w:pPr>
              <w:adjustRightInd w:val="0"/>
              <w:snapToGrid w:val="0"/>
              <w:spacing w:line="360" w:lineRule="auto"/>
              <w:ind w:firstLine="420" w:firstLineChars="200"/>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环境风险评价等级按环境风险潜势，按下表确定。</w:t>
            </w:r>
          </w:p>
          <w:p w14:paraId="0D8AEC16">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
                <w:bCs/>
                <w:color w:val="auto"/>
                <w:kern w:val="0"/>
                <w:sz w:val="18"/>
                <w:szCs w:val="18"/>
              </w:rPr>
            </w:pPr>
            <w:r>
              <w:rPr>
                <w:rFonts w:hint="default" w:ascii="Times New Roman" w:hAnsi="Times New Roman" w:eastAsia="宋体" w:cs="Times New Roman"/>
                <w:b/>
                <w:bCs/>
                <w:color w:val="auto"/>
                <w:kern w:val="0"/>
                <w:sz w:val="18"/>
                <w:szCs w:val="18"/>
              </w:rPr>
              <w:t>表4-</w:t>
            </w:r>
            <w:r>
              <w:rPr>
                <w:rFonts w:hint="eastAsia" w:ascii="Times New Roman" w:hAnsi="Times New Roman" w:eastAsia="宋体" w:cs="Times New Roman"/>
                <w:b/>
                <w:bCs/>
                <w:color w:val="auto"/>
                <w:kern w:val="0"/>
                <w:sz w:val="18"/>
                <w:szCs w:val="18"/>
                <w:lang w:val="en-US" w:eastAsia="zh-CN"/>
              </w:rPr>
              <w:t>20  环</w:t>
            </w:r>
            <w:r>
              <w:rPr>
                <w:rFonts w:hint="default" w:ascii="Times New Roman" w:hAnsi="Times New Roman" w:eastAsia="宋体" w:cs="Times New Roman"/>
                <w:b/>
                <w:bCs/>
                <w:color w:val="auto"/>
                <w:kern w:val="0"/>
                <w:sz w:val="18"/>
                <w:szCs w:val="18"/>
              </w:rPr>
              <w:t>境风险评价等级划分</w:t>
            </w:r>
          </w:p>
          <w:tbl>
            <w:tblPr>
              <w:tblStyle w:val="2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7"/>
              <w:gridCol w:w="1620"/>
              <w:gridCol w:w="1598"/>
              <w:gridCol w:w="1598"/>
              <w:gridCol w:w="1599"/>
            </w:tblGrid>
            <w:tr w14:paraId="4BBF8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noWrap w:val="0"/>
                  <w:vAlign w:val="center"/>
                </w:tcPr>
                <w:p w14:paraId="62A680C5">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环境风险潜势</w:t>
                  </w:r>
                </w:p>
              </w:tc>
              <w:tc>
                <w:tcPr>
                  <w:tcW w:w="1011" w:type="pct"/>
                  <w:noWrap w:val="0"/>
                  <w:vAlign w:val="center"/>
                </w:tcPr>
                <w:p w14:paraId="596FEE12">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Ⅳ、Ⅳ</w:t>
                  </w:r>
                  <w:r>
                    <w:rPr>
                      <w:rFonts w:hint="default" w:ascii="Times New Roman" w:hAnsi="Times New Roman" w:eastAsia="宋体" w:cs="Times New Roman"/>
                      <w:bCs/>
                      <w:color w:val="auto"/>
                      <w:kern w:val="0"/>
                      <w:sz w:val="18"/>
                      <w:szCs w:val="18"/>
                      <w:vertAlign w:val="superscript"/>
                    </w:rPr>
                    <w:t>+</w:t>
                  </w:r>
                </w:p>
              </w:tc>
              <w:tc>
                <w:tcPr>
                  <w:tcW w:w="997" w:type="pct"/>
                  <w:noWrap w:val="0"/>
                  <w:vAlign w:val="center"/>
                </w:tcPr>
                <w:p w14:paraId="1AF0E43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Ⅲ</w:t>
                  </w:r>
                </w:p>
              </w:tc>
              <w:tc>
                <w:tcPr>
                  <w:tcW w:w="997" w:type="pct"/>
                  <w:noWrap w:val="0"/>
                  <w:vAlign w:val="center"/>
                </w:tcPr>
                <w:p w14:paraId="36AE44C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Ⅱ</w:t>
                  </w:r>
                </w:p>
              </w:tc>
              <w:tc>
                <w:tcPr>
                  <w:tcW w:w="998" w:type="pct"/>
                  <w:noWrap w:val="0"/>
                  <w:vAlign w:val="center"/>
                </w:tcPr>
                <w:p w14:paraId="101E1849">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Ⅰ</w:t>
                  </w:r>
                </w:p>
              </w:tc>
            </w:tr>
            <w:tr w14:paraId="0BE7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noWrap w:val="0"/>
                  <w:vAlign w:val="center"/>
                </w:tcPr>
                <w:p w14:paraId="2057C7A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评价工作等级</w:t>
                  </w:r>
                </w:p>
              </w:tc>
              <w:tc>
                <w:tcPr>
                  <w:tcW w:w="1011" w:type="pct"/>
                  <w:noWrap w:val="0"/>
                  <w:vAlign w:val="center"/>
                </w:tcPr>
                <w:p w14:paraId="678116CC">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一</w:t>
                  </w:r>
                </w:p>
              </w:tc>
              <w:tc>
                <w:tcPr>
                  <w:tcW w:w="997" w:type="pct"/>
                  <w:noWrap w:val="0"/>
                  <w:vAlign w:val="center"/>
                </w:tcPr>
                <w:p w14:paraId="72A8088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二</w:t>
                  </w:r>
                </w:p>
              </w:tc>
              <w:tc>
                <w:tcPr>
                  <w:tcW w:w="997" w:type="pct"/>
                  <w:noWrap w:val="0"/>
                  <w:vAlign w:val="center"/>
                </w:tcPr>
                <w:p w14:paraId="0418D304">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三</w:t>
                  </w:r>
                </w:p>
              </w:tc>
              <w:tc>
                <w:tcPr>
                  <w:tcW w:w="998" w:type="pct"/>
                  <w:noWrap w:val="0"/>
                  <w:vAlign w:val="center"/>
                </w:tcPr>
                <w:p w14:paraId="15160FED">
                  <w:pPr>
                    <w:keepNext w:val="0"/>
                    <w:keepLines w:val="0"/>
                    <w:pageBreakBefore w:val="0"/>
                    <w:widowControl w:val="0"/>
                    <w:kinsoku/>
                    <w:wordWrap/>
                    <w:overflowPunct/>
                    <w:topLinePunct w:val="0"/>
                    <w:autoSpaceDE/>
                    <w:autoSpaceDN/>
                    <w:bidi w:val="0"/>
                    <w:adjustRightInd w:val="0"/>
                    <w:snapToGrid w:val="0"/>
                    <w:spacing w:line="360" w:lineRule="exact"/>
                    <w:jc w:val="center"/>
                    <w:textAlignment w:val="auto"/>
                    <w:rPr>
                      <w:rFonts w:hint="default" w:ascii="Times New Roman" w:hAnsi="Times New Roman" w:eastAsia="宋体" w:cs="Times New Roman"/>
                      <w:bCs/>
                      <w:color w:val="auto"/>
                      <w:kern w:val="0"/>
                      <w:sz w:val="18"/>
                      <w:szCs w:val="18"/>
                    </w:rPr>
                  </w:pPr>
                  <w:r>
                    <w:rPr>
                      <w:rFonts w:hint="default" w:ascii="Times New Roman" w:hAnsi="Times New Roman" w:eastAsia="宋体" w:cs="Times New Roman"/>
                      <w:bCs/>
                      <w:color w:val="auto"/>
                      <w:kern w:val="0"/>
                      <w:sz w:val="18"/>
                      <w:szCs w:val="18"/>
                    </w:rPr>
                    <w:t>简单分析</w:t>
                  </w:r>
                  <w:r>
                    <w:rPr>
                      <w:rFonts w:hint="default" w:ascii="Times New Roman" w:hAnsi="Times New Roman" w:eastAsia="宋体" w:cs="Times New Roman"/>
                      <w:bCs/>
                      <w:color w:val="auto"/>
                      <w:kern w:val="0"/>
                      <w:sz w:val="18"/>
                      <w:szCs w:val="18"/>
                      <w:vertAlign w:val="superscript"/>
                    </w:rPr>
                    <w:t>a</w:t>
                  </w:r>
                </w:p>
              </w:tc>
            </w:tr>
            <w:tr w14:paraId="4EC5C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noWrap w:val="0"/>
                  <w:vAlign w:val="center"/>
                </w:tcPr>
                <w:p w14:paraId="6FED3663">
                  <w:pPr>
                    <w:keepLines w:val="0"/>
                    <w:pageBreakBefore w:val="0"/>
                    <w:widowControl w:val="0"/>
                    <w:kinsoku/>
                    <w:wordWrap/>
                    <w:overflowPunct/>
                    <w:topLinePunct w:val="0"/>
                    <w:autoSpaceDE/>
                    <w:autoSpaceDN/>
                    <w:bidi w:val="0"/>
                    <w:spacing w:line="360" w:lineRule="exact"/>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a是相对于详细评价工作内容而言，在描述危险物质、环境影响途径、环境危害后果、风险防范措施等方面给出定性的说明。</w:t>
                  </w:r>
                </w:p>
              </w:tc>
            </w:tr>
          </w:tbl>
          <w:p w14:paraId="4A5681F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根据计算，本项目Q&lt;1环境风险潜势为I，根据上表划分本项目评价工作等级为简单分析。</w:t>
            </w:r>
          </w:p>
          <w:p w14:paraId="6CEBE88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7</w:t>
            </w:r>
            <w:r>
              <w:rPr>
                <w:rFonts w:hint="default" w:ascii="Times New Roman" w:hAnsi="Times New Roman" w:eastAsia="宋体" w:cs="Times New Roman"/>
                <w:b/>
                <w:bCs/>
                <w:color w:val="auto"/>
                <w:highlight w:val="none"/>
                <w:lang w:val="en-US" w:eastAsia="zh-CN"/>
              </w:rPr>
              <w:t>.5风险源分布情况及可能影响途径</w:t>
            </w:r>
          </w:p>
          <w:p w14:paraId="72D15C5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项目风险源分布情况及可能影响途径见下表</w:t>
            </w:r>
            <w:r>
              <w:rPr>
                <w:rFonts w:hint="eastAsia" w:ascii="Times New Roman" w:hAnsi="Times New Roman" w:eastAsia="宋体" w:cs="Times New Roman"/>
                <w:color w:val="auto"/>
                <w:highlight w:val="none"/>
                <w:lang w:val="en-US" w:eastAsia="zh-CN"/>
              </w:rPr>
              <w:t>。</w:t>
            </w:r>
          </w:p>
          <w:p w14:paraId="31073E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lang w:val="en-US" w:eastAsia="zh-CN"/>
              </w:rPr>
              <w:t>表4-21  环境风险识别一览表</w:t>
            </w:r>
          </w:p>
          <w:tbl>
            <w:tblPr>
              <w:tblStyle w:val="21"/>
              <w:tblW w:w="80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1"/>
              <w:gridCol w:w="857"/>
              <w:gridCol w:w="1562"/>
              <w:gridCol w:w="887"/>
              <w:gridCol w:w="3154"/>
              <w:gridCol w:w="1021"/>
            </w:tblGrid>
            <w:tr w14:paraId="355B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14:paraId="789CE54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风险类别</w:t>
                  </w:r>
                </w:p>
              </w:tc>
              <w:tc>
                <w:tcPr>
                  <w:tcW w:w="857" w:type="dxa"/>
                  <w:vAlign w:val="center"/>
                </w:tcPr>
                <w:p w14:paraId="69D205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风险单元</w:t>
                  </w:r>
                </w:p>
              </w:tc>
              <w:tc>
                <w:tcPr>
                  <w:tcW w:w="1562" w:type="dxa"/>
                  <w:vAlign w:val="center"/>
                </w:tcPr>
                <w:p w14:paraId="304C09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主要风险物质</w:t>
                  </w:r>
                </w:p>
              </w:tc>
              <w:tc>
                <w:tcPr>
                  <w:tcW w:w="887" w:type="dxa"/>
                  <w:vAlign w:val="center"/>
                </w:tcPr>
                <w:p w14:paraId="0B513C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环境风险类型</w:t>
                  </w:r>
                </w:p>
              </w:tc>
              <w:tc>
                <w:tcPr>
                  <w:tcW w:w="3154" w:type="dxa"/>
                  <w:vAlign w:val="center"/>
                </w:tcPr>
                <w:p w14:paraId="6D48A4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影响途径</w:t>
                  </w:r>
                </w:p>
              </w:tc>
              <w:tc>
                <w:tcPr>
                  <w:tcW w:w="1021" w:type="dxa"/>
                  <w:vAlign w:val="center"/>
                </w:tcPr>
                <w:p w14:paraId="21D056A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bCs/>
                      <w:color w:val="auto"/>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vertAlign w:val="baseline"/>
                      <w:lang w:val="en-US" w:eastAsia="zh-CN"/>
                    </w:rPr>
                    <w:t>可能受影响的环境敏感目标</w:t>
                  </w:r>
                </w:p>
              </w:tc>
            </w:tr>
            <w:tr w14:paraId="13AEB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14:paraId="24240A9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857" w:type="dxa"/>
                  <w:vAlign w:val="center"/>
                </w:tcPr>
                <w:p w14:paraId="068D72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危化品室</w:t>
                  </w:r>
                </w:p>
              </w:tc>
              <w:tc>
                <w:tcPr>
                  <w:tcW w:w="1562" w:type="dxa"/>
                  <w:vAlign w:val="center"/>
                </w:tcPr>
                <w:p w14:paraId="6AC663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重铬酸钾、N,N-二甲基甲酰胺、苯酚、氨水、甲醇、甲醛、甲酸、磷酸、盐酸、硫酸、硝酸、乙腈、乙酸乙酯、二氯甲烷、三氯甲烷、石油醚、丙酮、甲胺、乙二胺、氰化钾</w:t>
                  </w:r>
                  <w:r>
                    <w:rPr>
                      <w:rFonts w:hint="eastAsia" w:ascii="Times New Roman" w:hAnsi="Times New Roman" w:eastAsia="宋体" w:cs="Times New Roman"/>
                      <w:color w:val="auto"/>
                      <w:sz w:val="18"/>
                      <w:szCs w:val="18"/>
                      <w:highlight w:val="none"/>
                      <w:vertAlign w:val="baseline"/>
                      <w:lang w:val="en-US" w:eastAsia="zh-CN"/>
                    </w:rPr>
                    <w:t>等危险化学试剂及危化品</w:t>
                  </w:r>
                </w:p>
              </w:tc>
              <w:tc>
                <w:tcPr>
                  <w:tcW w:w="887" w:type="dxa"/>
                  <w:vAlign w:val="center"/>
                </w:tcPr>
                <w:p w14:paraId="70C63F5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泄漏</w:t>
                  </w:r>
                </w:p>
              </w:tc>
              <w:tc>
                <w:tcPr>
                  <w:tcW w:w="3154" w:type="dxa"/>
                  <w:vAlign w:val="center"/>
                </w:tcPr>
                <w:p w14:paraId="17CAF55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储存或者转运时包装容器破损造成泄漏、生产操作过程中操作不当造成泄漏，泄漏的</w:t>
                  </w:r>
                  <w:r>
                    <w:rPr>
                      <w:rFonts w:hint="eastAsia" w:ascii="Times New Roman" w:hAnsi="Times New Roman" w:eastAsia="宋体" w:cs="Times New Roman"/>
                      <w:color w:val="auto"/>
                      <w:sz w:val="18"/>
                      <w:szCs w:val="18"/>
                      <w:highlight w:val="none"/>
                      <w:vertAlign w:val="baseline"/>
                      <w:lang w:val="en-US" w:eastAsia="zh-CN"/>
                    </w:rPr>
                    <w:t>危险</w:t>
                  </w:r>
                  <w:r>
                    <w:rPr>
                      <w:rFonts w:hint="default" w:ascii="Times New Roman" w:hAnsi="Times New Roman" w:eastAsia="宋体" w:cs="Times New Roman"/>
                      <w:color w:val="auto"/>
                      <w:sz w:val="18"/>
                      <w:szCs w:val="18"/>
                      <w:highlight w:val="none"/>
                      <w:vertAlign w:val="baseline"/>
                      <w:lang w:val="en-US" w:eastAsia="zh-CN"/>
                    </w:rPr>
                    <w:t xml:space="preserve">化学试剂通过地表径流进入地表水环境，或者通过渗漏进入地下，对地表水、地下水、土壤造成污染。 </w:t>
                  </w:r>
                </w:p>
              </w:tc>
              <w:tc>
                <w:tcPr>
                  <w:tcW w:w="1021" w:type="dxa"/>
                  <w:vAlign w:val="center"/>
                </w:tcPr>
                <w:p w14:paraId="2BEA08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周边</w:t>
                  </w:r>
                  <w:r>
                    <w:rPr>
                      <w:rFonts w:hint="default" w:ascii="Times New Roman" w:hAnsi="Times New Roman" w:eastAsia="宋体" w:cs="Times New Roman"/>
                      <w:color w:val="auto"/>
                      <w:sz w:val="18"/>
                      <w:szCs w:val="18"/>
                      <w:highlight w:val="none"/>
                      <w:vertAlign w:val="baseline"/>
                      <w:lang w:val="en-US" w:eastAsia="zh-CN"/>
                    </w:rPr>
                    <w:t>地表水、地下水、土壤</w:t>
                  </w:r>
                </w:p>
              </w:tc>
            </w:tr>
            <w:tr w14:paraId="5EDB3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14:paraId="33A5AC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857" w:type="dxa"/>
                  <w:vAlign w:val="center"/>
                </w:tcPr>
                <w:p w14:paraId="0BC512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危废暂存间</w:t>
                  </w:r>
                </w:p>
              </w:tc>
              <w:tc>
                <w:tcPr>
                  <w:tcW w:w="1562" w:type="dxa"/>
                  <w:vAlign w:val="center"/>
                </w:tcPr>
                <w:p w14:paraId="2DA13E7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实验废液、废化学试剂</w:t>
                  </w:r>
                </w:p>
              </w:tc>
              <w:tc>
                <w:tcPr>
                  <w:tcW w:w="887" w:type="dxa"/>
                  <w:vAlign w:val="center"/>
                </w:tcPr>
                <w:p w14:paraId="1751E4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泄漏</w:t>
                  </w:r>
                </w:p>
              </w:tc>
              <w:tc>
                <w:tcPr>
                  <w:tcW w:w="3154" w:type="dxa"/>
                  <w:vAlign w:val="center"/>
                </w:tcPr>
                <w:p w14:paraId="0443993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收集桶破损导致泄漏，实验室废液等</w:t>
                  </w:r>
                  <w:r>
                    <w:rPr>
                      <w:rFonts w:hint="eastAsia" w:ascii="Times New Roman" w:hAnsi="Times New Roman" w:eastAsia="宋体" w:cs="Times New Roman"/>
                      <w:color w:val="auto"/>
                      <w:sz w:val="18"/>
                      <w:szCs w:val="18"/>
                      <w:highlight w:val="none"/>
                      <w:vertAlign w:val="baseline"/>
                      <w:lang w:val="en-US" w:eastAsia="zh-CN"/>
                    </w:rPr>
                    <w:t>泄漏</w:t>
                  </w:r>
                  <w:r>
                    <w:rPr>
                      <w:rFonts w:hint="default" w:ascii="Times New Roman" w:hAnsi="Times New Roman" w:eastAsia="宋体" w:cs="Times New Roman"/>
                      <w:color w:val="auto"/>
                      <w:sz w:val="18"/>
                      <w:szCs w:val="18"/>
                      <w:highlight w:val="none"/>
                      <w:vertAlign w:val="baseline"/>
                      <w:lang w:val="en-US" w:eastAsia="zh-CN"/>
                    </w:rPr>
                    <w:t>液体通过地面渗漏进入污水管网、雨水管网，扩散后对地表水、地下水、土壤产生不利影响</w:t>
                  </w:r>
                </w:p>
              </w:tc>
              <w:tc>
                <w:tcPr>
                  <w:tcW w:w="1021" w:type="dxa"/>
                  <w:vAlign w:val="center"/>
                </w:tcPr>
                <w:p w14:paraId="3969B4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周边</w:t>
                  </w:r>
                  <w:r>
                    <w:rPr>
                      <w:rFonts w:hint="default" w:ascii="Times New Roman" w:hAnsi="Times New Roman" w:eastAsia="宋体" w:cs="Times New Roman"/>
                      <w:color w:val="auto"/>
                      <w:sz w:val="18"/>
                      <w:szCs w:val="18"/>
                      <w:highlight w:val="none"/>
                      <w:vertAlign w:val="baseline"/>
                      <w:lang w:val="en-US" w:eastAsia="zh-CN"/>
                    </w:rPr>
                    <w:t>地表水、地下水、土壤</w:t>
                  </w:r>
                </w:p>
              </w:tc>
            </w:tr>
            <w:tr w14:paraId="01E5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1" w:type="dxa"/>
                  <w:vAlign w:val="center"/>
                </w:tcPr>
                <w:p w14:paraId="29FBA8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p>
              </w:tc>
              <w:tc>
                <w:tcPr>
                  <w:tcW w:w="857" w:type="dxa"/>
                  <w:vAlign w:val="center"/>
                </w:tcPr>
                <w:p w14:paraId="630FDB4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废气处理设施</w:t>
                  </w:r>
                </w:p>
              </w:tc>
              <w:tc>
                <w:tcPr>
                  <w:tcW w:w="1562" w:type="dxa"/>
                  <w:vAlign w:val="center"/>
                </w:tcPr>
                <w:p w14:paraId="0D223B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事故排放废气</w:t>
                  </w:r>
                </w:p>
              </w:tc>
              <w:tc>
                <w:tcPr>
                  <w:tcW w:w="887" w:type="dxa"/>
                  <w:vAlign w:val="center"/>
                </w:tcPr>
                <w:p w14:paraId="1BBDAF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废气处理设施故障，废气事故</w:t>
                  </w:r>
                  <w:r>
                    <w:rPr>
                      <w:rFonts w:hint="eastAsia" w:ascii="Times New Roman" w:hAnsi="Times New Roman" w:eastAsia="宋体" w:cs="Times New Roman"/>
                      <w:color w:val="auto"/>
                      <w:sz w:val="18"/>
                      <w:szCs w:val="18"/>
                      <w:highlight w:val="none"/>
                      <w:vertAlign w:val="baseline"/>
                      <w:lang w:val="en-US" w:eastAsia="zh-CN"/>
                    </w:rPr>
                    <w:t>排放</w:t>
                  </w:r>
                </w:p>
              </w:tc>
              <w:tc>
                <w:tcPr>
                  <w:tcW w:w="3154" w:type="dxa"/>
                  <w:vAlign w:val="center"/>
                </w:tcPr>
                <w:p w14:paraId="2D58D9D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废气处理设施故障，产生的</w:t>
                  </w:r>
                  <w:r>
                    <w:rPr>
                      <w:rFonts w:hint="eastAsia" w:ascii="Times New Roman" w:hAnsi="Times New Roman" w:eastAsia="宋体" w:cs="Times New Roman"/>
                      <w:color w:val="auto"/>
                      <w:sz w:val="18"/>
                      <w:szCs w:val="18"/>
                      <w:highlight w:val="none"/>
                      <w:vertAlign w:val="baseline"/>
                      <w:lang w:val="en-US" w:eastAsia="zh-CN"/>
                    </w:rPr>
                    <w:t>丙酮</w:t>
                  </w:r>
                  <w:r>
                    <w:rPr>
                      <w:rFonts w:hint="default" w:ascii="Times New Roman" w:hAnsi="Times New Roman" w:eastAsia="宋体" w:cs="Times New Roman"/>
                      <w:color w:val="auto"/>
                      <w:sz w:val="18"/>
                      <w:szCs w:val="18"/>
                      <w:highlight w:val="none"/>
                      <w:vertAlign w:val="baseline"/>
                      <w:lang w:val="en-US" w:eastAsia="zh-CN"/>
                    </w:rPr>
                    <w:t>、甲醇、</w:t>
                  </w:r>
                  <w:r>
                    <w:rPr>
                      <w:rFonts w:hint="eastAsia" w:ascii="Times New Roman" w:hAnsi="Times New Roman" w:eastAsia="宋体" w:cs="Times New Roman"/>
                      <w:color w:val="auto"/>
                      <w:sz w:val="18"/>
                      <w:szCs w:val="18"/>
                      <w:highlight w:val="none"/>
                      <w:vertAlign w:val="baseline"/>
                      <w:lang w:val="en-US" w:eastAsia="zh-CN"/>
                    </w:rPr>
                    <w:t>甲醛、非甲烷总烃</w:t>
                  </w:r>
                  <w:r>
                    <w:rPr>
                      <w:rFonts w:hint="default" w:ascii="Times New Roman" w:hAnsi="Times New Roman" w:eastAsia="宋体" w:cs="Times New Roman"/>
                      <w:color w:val="auto"/>
                      <w:sz w:val="18"/>
                      <w:szCs w:val="18"/>
                      <w:highlight w:val="none"/>
                      <w:vertAlign w:val="baseline"/>
                      <w:lang w:val="en-US" w:eastAsia="zh-CN"/>
                    </w:rPr>
                    <w:t>、氯化氢、氨、硫酸雾、</w:t>
                  </w:r>
                  <w:r>
                    <w:rPr>
                      <w:rFonts w:hint="eastAsia" w:ascii="Times New Roman" w:hAnsi="Times New Roman" w:eastAsia="宋体" w:cs="Times New Roman"/>
                      <w:color w:val="auto"/>
                      <w:sz w:val="18"/>
                      <w:szCs w:val="18"/>
                      <w:highlight w:val="none"/>
                      <w:vertAlign w:val="baseline"/>
                      <w:lang w:val="en-US" w:eastAsia="zh-CN"/>
                    </w:rPr>
                    <w:t>氮氧化物</w:t>
                  </w:r>
                  <w:r>
                    <w:rPr>
                      <w:rFonts w:hint="default" w:ascii="Times New Roman" w:hAnsi="Times New Roman" w:eastAsia="宋体" w:cs="Times New Roman"/>
                      <w:color w:val="auto"/>
                      <w:sz w:val="18"/>
                      <w:szCs w:val="18"/>
                      <w:highlight w:val="none"/>
                      <w:vertAlign w:val="baseline"/>
                      <w:lang w:val="en-US" w:eastAsia="zh-CN"/>
                    </w:rPr>
                    <w:t>等废气未经处理直接排放，经空气扩散对周围环境空气产生不利影响</w:t>
                  </w:r>
                  <w:r>
                    <w:rPr>
                      <w:rFonts w:hint="eastAsia" w:ascii="Times New Roman" w:hAnsi="Times New Roman" w:eastAsia="宋体" w:cs="Times New Roman"/>
                      <w:color w:val="auto"/>
                      <w:sz w:val="18"/>
                      <w:szCs w:val="18"/>
                      <w:highlight w:val="none"/>
                      <w:vertAlign w:val="baseline"/>
                      <w:lang w:val="en-US" w:eastAsia="zh-CN"/>
                    </w:rPr>
                    <w:t>。</w:t>
                  </w:r>
                </w:p>
              </w:tc>
              <w:tc>
                <w:tcPr>
                  <w:tcW w:w="1021" w:type="dxa"/>
                  <w:vAlign w:val="center"/>
                </w:tcPr>
                <w:p w14:paraId="75DC11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eastAsia" w:ascii="Times New Roman" w:hAnsi="Times New Roman" w:eastAsia="宋体" w:cs="Times New Roman"/>
                      <w:color w:val="auto"/>
                      <w:sz w:val="18"/>
                      <w:szCs w:val="18"/>
                      <w:highlight w:val="none"/>
                      <w:vertAlign w:val="baseline"/>
                      <w:lang w:val="en-US" w:eastAsia="zh-CN"/>
                    </w:rPr>
                    <w:t>周边环境空气</w:t>
                  </w:r>
                </w:p>
              </w:tc>
            </w:tr>
            <w:tr w14:paraId="6EBA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98" w:type="dxa"/>
                  <w:gridSpan w:val="2"/>
                  <w:vAlign w:val="center"/>
                </w:tcPr>
                <w:p w14:paraId="09CE5A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整个厂区</w:t>
                  </w:r>
                </w:p>
              </w:tc>
              <w:tc>
                <w:tcPr>
                  <w:tcW w:w="1562" w:type="dxa"/>
                  <w:vAlign w:val="center"/>
                </w:tcPr>
                <w:p w14:paraId="28FF811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氢气气瓶、化学试剂</w:t>
                  </w:r>
                </w:p>
              </w:tc>
              <w:tc>
                <w:tcPr>
                  <w:tcW w:w="887" w:type="dxa"/>
                  <w:vAlign w:val="center"/>
                </w:tcPr>
                <w:p w14:paraId="401A93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火灾爆炸</w:t>
                  </w:r>
                </w:p>
              </w:tc>
              <w:tc>
                <w:tcPr>
                  <w:tcW w:w="3154" w:type="dxa"/>
                  <w:vAlign w:val="center"/>
                </w:tcPr>
                <w:p w14:paraId="06ACC9B6">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kern w:val="0"/>
                      <w:sz w:val="18"/>
                      <w:szCs w:val="18"/>
                      <w:lang w:val="en-US" w:eastAsia="zh-CN" w:bidi="ar"/>
                    </w:rPr>
                    <w:t>化学试剂遇明火等条件可能引起火灾等事故；</w:t>
                  </w:r>
                  <w:r>
                    <w:rPr>
                      <w:rFonts w:hint="default" w:ascii="Times New Roman" w:hAnsi="Times New Roman" w:eastAsia="宋体" w:cs="Times New Roman"/>
                      <w:color w:val="auto"/>
                      <w:sz w:val="18"/>
                      <w:szCs w:val="18"/>
                    </w:rPr>
                    <w:t>本项目涉及</w:t>
                  </w:r>
                  <w:r>
                    <w:rPr>
                      <w:rFonts w:hint="default" w:ascii="Times New Roman" w:hAnsi="Times New Roman" w:eastAsia="宋体" w:cs="Times New Roman"/>
                      <w:color w:val="auto"/>
                      <w:sz w:val="18"/>
                      <w:szCs w:val="18"/>
                      <w:lang w:val="en-US" w:eastAsia="zh-CN"/>
                    </w:rPr>
                    <w:t>氢气</w:t>
                  </w:r>
                  <w:r>
                    <w:rPr>
                      <w:rFonts w:hint="default" w:ascii="Times New Roman" w:hAnsi="Times New Roman" w:eastAsia="宋体" w:cs="Times New Roman"/>
                      <w:color w:val="auto"/>
                      <w:sz w:val="18"/>
                      <w:szCs w:val="18"/>
                    </w:rPr>
                    <w:t>气体钢瓶</w:t>
                  </w:r>
                  <w:r>
                    <w:rPr>
                      <w:rFonts w:hint="default" w:ascii="Times New Roman" w:hAnsi="Times New Roman" w:eastAsia="宋体" w:cs="Times New Roman"/>
                      <w:color w:val="auto"/>
                      <w:sz w:val="18"/>
                      <w:szCs w:val="18"/>
                      <w:lang w:eastAsia="zh-CN"/>
                    </w:rPr>
                    <w:t>，由于</w:t>
                  </w:r>
                  <w:r>
                    <w:rPr>
                      <w:rFonts w:hint="default" w:ascii="Times New Roman" w:hAnsi="Times New Roman" w:eastAsia="宋体" w:cs="Times New Roman"/>
                      <w:color w:val="auto"/>
                      <w:sz w:val="18"/>
                      <w:szCs w:val="18"/>
                      <w:lang w:val="en-US" w:eastAsia="zh-CN"/>
                    </w:rPr>
                    <w:t>氢气</w:t>
                  </w:r>
                  <w:r>
                    <w:rPr>
                      <w:rFonts w:hint="default" w:ascii="Times New Roman" w:hAnsi="Times New Roman" w:eastAsia="宋体" w:cs="Times New Roman"/>
                      <w:color w:val="auto"/>
                      <w:sz w:val="18"/>
                      <w:szCs w:val="18"/>
                      <w:lang w:eastAsia="zh-CN"/>
                    </w:rPr>
                    <w:t>属易燃易爆气体，在液态和固态下或在气态和一定压力下有猛烈爆炸的危险，受热、震动、电火花等因素都可以引发爆炸。火灾、爆炸产生件生次生消防废水、废气污染对周围地表水、土壤、地下水、环境空气产生不利影响。</w:t>
                  </w:r>
                </w:p>
              </w:tc>
              <w:tc>
                <w:tcPr>
                  <w:tcW w:w="1021" w:type="dxa"/>
                  <w:shd w:val="clear" w:color="auto" w:fill="auto"/>
                  <w:vAlign w:val="center"/>
                </w:tcPr>
                <w:p w14:paraId="18282C7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18"/>
                      <w:szCs w:val="18"/>
                      <w:highlight w:val="none"/>
                      <w:vertAlign w:val="baseline"/>
                      <w:lang w:val="en-US" w:eastAsia="zh-CN" w:bidi="ar-SA"/>
                    </w:rPr>
                  </w:pPr>
                  <w:r>
                    <w:rPr>
                      <w:rFonts w:hint="eastAsia" w:ascii="Times New Roman" w:hAnsi="Times New Roman" w:eastAsia="宋体" w:cs="Times New Roman"/>
                      <w:color w:val="auto"/>
                      <w:sz w:val="18"/>
                      <w:szCs w:val="18"/>
                      <w:highlight w:val="none"/>
                      <w:vertAlign w:val="baseline"/>
                      <w:lang w:val="en-US" w:eastAsia="zh-CN"/>
                    </w:rPr>
                    <w:t>周边</w:t>
                  </w:r>
                  <w:r>
                    <w:rPr>
                      <w:rFonts w:hint="default" w:ascii="Times New Roman" w:hAnsi="Times New Roman" w:eastAsia="宋体" w:cs="Times New Roman"/>
                      <w:color w:val="auto"/>
                      <w:sz w:val="18"/>
                      <w:szCs w:val="18"/>
                      <w:highlight w:val="none"/>
                      <w:vertAlign w:val="baseline"/>
                      <w:lang w:val="en-US" w:eastAsia="zh-CN"/>
                    </w:rPr>
                    <w:t>地表水、地下水、土壤</w:t>
                  </w:r>
                  <w:r>
                    <w:rPr>
                      <w:rFonts w:hint="eastAsia" w:ascii="Times New Roman" w:hAnsi="Times New Roman" w:eastAsia="宋体" w:cs="Times New Roman"/>
                      <w:color w:val="auto"/>
                      <w:sz w:val="18"/>
                      <w:szCs w:val="18"/>
                      <w:highlight w:val="none"/>
                      <w:vertAlign w:val="baseline"/>
                      <w:lang w:val="en-US" w:eastAsia="zh-CN"/>
                    </w:rPr>
                    <w:t>、环境空气</w:t>
                  </w:r>
                </w:p>
              </w:tc>
            </w:tr>
          </w:tbl>
          <w:p w14:paraId="71DDF754">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highlight w:val="none"/>
                <w:lang w:val="en-US" w:eastAsia="zh-CN"/>
              </w:rPr>
            </w:pPr>
            <w:r>
              <w:rPr>
                <w:rFonts w:hint="eastAsia" w:cs="Times New Roman"/>
                <w:b/>
                <w:bCs/>
                <w:color w:val="auto"/>
                <w:highlight w:val="none"/>
                <w:lang w:val="en-US" w:eastAsia="zh-CN"/>
              </w:rPr>
              <w:t>7</w:t>
            </w:r>
            <w:r>
              <w:rPr>
                <w:rFonts w:hint="eastAsia" w:ascii="Times New Roman" w:hAnsi="Times New Roman" w:eastAsia="宋体" w:cs="Times New Roman"/>
                <w:b/>
                <w:bCs/>
                <w:color w:val="auto"/>
                <w:highlight w:val="none"/>
                <w:lang w:val="en-US" w:eastAsia="zh-CN"/>
              </w:rPr>
              <w:t>.6风险防范措施</w:t>
            </w:r>
          </w:p>
          <w:p w14:paraId="22A7529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lang w:val="en-US" w:eastAsia="zh-CN" w:bidi="ar"/>
              </w:rPr>
              <w:t>化学试剂泄漏风险防范措施</w:t>
            </w:r>
          </w:p>
          <w:p w14:paraId="7CFE9A4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对于化学试剂的购买、储存、保管、使用等需按照相关规定管理执行，实验药剂应根据需要购买，尽量减少危险化学品的储存量。本次评价提出如下风险防范措施要求。</w:t>
            </w:r>
          </w:p>
          <w:p w14:paraId="0767749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①危险化学试剂、</w:t>
            </w:r>
            <w:r>
              <w:rPr>
                <w:rFonts w:hint="default" w:ascii="Times New Roman" w:hAnsi="Times New Roman" w:eastAsia="宋体" w:cs="Times New Roman"/>
                <w:color w:val="auto"/>
                <w:sz w:val="21"/>
                <w:szCs w:val="21"/>
              </w:rPr>
              <w:t>危险化学品必须储存在</w:t>
            </w:r>
            <w:r>
              <w:rPr>
                <w:rFonts w:hint="default" w:ascii="Times New Roman" w:hAnsi="Times New Roman" w:eastAsia="宋体" w:cs="Times New Roman"/>
                <w:color w:val="auto"/>
                <w:sz w:val="21"/>
                <w:szCs w:val="21"/>
                <w:lang w:val="en-US" w:eastAsia="zh-CN"/>
              </w:rPr>
              <w:t>危化品室</w:t>
            </w:r>
            <w:r>
              <w:rPr>
                <w:rFonts w:hint="default" w:ascii="Times New Roman" w:hAnsi="Times New Roman" w:eastAsia="宋体" w:cs="Times New Roman"/>
                <w:color w:val="auto"/>
                <w:sz w:val="21"/>
                <w:szCs w:val="21"/>
              </w:rPr>
              <w:t>内，储存方式、方法与储存数量必须遵守国家规定，并由专人管理</w:t>
            </w:r>
            <w:r>
              <w:rPr>
                <w:rFonts w:hint="default" w:ascii="Times New Roman" w:hAnsi="Times New Roman" w:eastAsia="宋体" w:cs="Times New Roman"/>
                <w:color w:val="auto"/>
                <w:sz w:val="21"/>
                <w:szCs w:val="21"/>
                <w:lang w:val="en-US" w:eastAsia="zh-CN"/>
              </w:rPr>
              <w:t xml:space="preserve">。 </w:t>
            </w:r>
          </w:p>
          <w:p w14:paraId="0742ABA0">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②</w:t>
            </w:r>
            <w:r>
              <w:rPr>
                <w:rFonts w:hint="default" w:ascii="Times New Roman" w:hAnsi="Times New Roman" w:eastAsia="宋体" w:cs="Times New Roman"/>
                <w:color w:val="auto"/>
                <w:sz w:val="21"/>
                <w:szCs w:val="21"/>
                <w:lang w:val="en-US" w:eastAsia="zh-CN"/>
              </w:rPr>
              <w:t>危化品室</w:t>
            </w:r>
            <w:r>
              <w:rPr>
                <w:rFonts w:hint="default" w:ascii="Times New Roman" w:hAnsi="Times New Roman" w:eastAsia="宋体" w:cs="Times New Roman"/>
                <w:color w:val="auto"/>
                <w:sz w:val="21"/>
                <w:szCs w:val="21"/>
              </w:rPr>
              <w:t>应当符合国家标准对安全、消防的要求，设置明显标志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试剂室的储存设备和安全设施应当定期检查，一旦出现安全隐患，立即排除</w:t>
            </w:r>
            <w:r>
              <w:rPr>
                <w:rFonts w:hint="default" w:ascii="Times New Roman" w:hAnsi="Times New Roman" w:eastAsia="宋体" w:cs="Times New Roman"/>
                <w:color w:val="auto"/>
                <w:sz w:val="21"/>
                <w:szCs w:val="21"/>
                <w:lang w:eastAsia="zh-CN"/>
              </w:rPr>
              <w:t>。</w:t>
            </w:r>
          </w:p>
          <w:p w14:paraId="7D537A0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③实验室化学品以酸、碱、有机物的分类原则分开储存，切忌混储</w:t>
            </w:r>
            <w:r>
              <w:rPr>
                <w:rFonts w:hint="default" w:ascii="Times New Roman" w:hAnsi="Times New Roman" w:eastAsia="宋体" w:cs="Times New Roman"/>
                <w:color w:val="auto"/>
                <w:sz w:val="21"/>
                <w:szCs w:val="21"/>
                <w:lang w:val="en-US" w:eastAsia="zh-CN"/>
              </w:rPr>
              <w:t xml:space="preserve">。 </w:t>
            </w:r>
          </w:p>
          <w:p w14:paraId="045F573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④</w:t>
            </w:r>
            <w:r>
              <w:rPr>
                <w:rFonts w:hint="default" w:ascii="Times New Roman" w:hAnsi="Times New Roman" w:eastAsia="宋体" w:cs="Times New Roman"/>
                <w:color w:val="auto"/>
                <w:sz w:val="21"/>
                <w:szCs w:val="21"/>
              </w:rPr>
              <w:t>试剂室应该备有合适的材料收容泄漏物</w:t>
            </w:r>
            <w:r>
              <w:rPr>
                <w:rFonts w:hint="default" w:ascii="Times New Roman" w:hAnsi="Times New Roman" w:eastAsia="宋体" w:cs="Times New Roman"/>
                <w:color w:val="auto"/>
                <w:sz w:val="21"/>
                <w:szCs w:val="21"/>
                <w:lang w:val="en-US" w:eastAsia="zh-CN"/>
              </w:rPr>
              <w:t xml:space="preserve">。 </w:t>
            </w:r>
          </w:p>
          <w:p w14:paraId="032077B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⑤</w:t>
            </w:r>
            <w:r>
              <w:rPr>
                <w:rFonts w:hint="default" w:ascii="Times New Roman" w:hAnsi="Times New Roman" w:eastAsia="宋体" w:cs="Times New Roman"/>
                <w:color w:val="auto"/>
                <w:sz w:val="21"/>
                <w:szCs w:val="21"/>
              </w:rPr>
              <w:t>储存不同化学品时需参考对应的《化学品安全技术说明书》要求，落实好安全、环保防范措施</w:t>
            </w:r>
            <w:r>
              <w:rPr>
                <w:rFonts w:hint="default" w:ascii="Times New Roman" w:hAnsi="Times New Roman" w:eastAsia="宋体" w:cs="Times New Roman"/>
                <w:color w:val="auto"/>
                <w:sz w:val="21"/>
                <w:szCs w:val="21"/>
                <w:lang w:val="en-US" w:eastAsia="zh-CN"/>
              </w:rPr>
              <w:t xml:space="preserve">。 </w:t>
            </w:r>
          </w:p>
          <w:p w14:paraId="01D9E5F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⑥危险化学试剂、</w:t>
            </w:r>
            <w:r>
              <w:rPr>
                <w:rFonts w:hint="default" w:ascii="Times New Roman" w:hAnsi="Times New Roman" w:eastAsia="宋体" w:cs="Times New Roman"/>
                <w:color w:val="auto"/>
                <w:sz w:val="21"/>
                <w:szCs w:val="21"/>
              </w:rPr>
              <w:t>危险化学品由专人负责保管，采取使用人领用登记制度，不得向与实验室无关人员外借、使用</w:t>
            </w:r>
            <w:r>
              <w:rPr>
                <w:rFonts w:hint="default" w:ascii="Times New Roman" w:hAnsi="Times New Roman" w:eastAsia="宋体" w:cs="Times New Roman"/>
                <w:color w:val="auto"/>
                <w:sz w:val="21"/>
                <w:szCs w:val="21"/>
                <w:lang w:val="en-US" w:eastAsia="zh-CN"/>
              </w:rPr>
              <w:t xml:space="preserve">。 </w:t>
            </w:r>
          </w:p>
          <w:p w14:paraId="29E26EB1">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⑦危险化学试剂、</w:t>
            </w:r>
            <w:r>
              <w:rPr>
                <w:rFonts w:hint="default" w:ascii="Times New Roman" w:hAnsi="Times New Roman" w:eastAsia="宋体" w:cs="Times New Roman"/>
                <w:color w:val="auto"/>
                <w:sz w:val="21"/>
                <w:szCs w:val="21"/>
              </w:rPr>
              <w:t>危险化学品必须附有和危险化学品完全一致的化学品安全技术说明书</w:t>
            </w:r>
            <w:r>
              <w:rPr>
                <w:rFonts w:hint="default" w:ascii="Times New Roman" w:hAnsi="Times New Roman" w:eastAsia="宋体" w:cs="Times New Roman"/>
                <w:color w:val="auto"/>
                <w:sz w:val="21"/>
                <w:szCs w:val="21"/>
                <w:lang w:val="en-US" w:eastAsia="zh-CN"/>
              </w:rPr>
              <w:t xml:space="preserve">。 </w:t>
            </w:r>
          </w:p>
          <w:p w14:paraId="4145838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⑧</w:t>
            </w:r>
            <w:r>
              <w:rPr>
                <w:rFonts w:hint="default" w:ascii="Times New Roman" w:hAnsi="Times New Roman" w:eastAsia="宋体" w:cs="Times New Roman"/>
                <w:color w:val="auto"/>
                <w:sz w:val="21"/>
                <w:szCs w:val="21"/>
              </w:rPr>
              <w:t>储存、使用</w:t>
            </w:r>
            <w:r>
              <w:rPr>
                <w:rFonts w:hint="default" w:ascii="Times New Roman" w:hAnsi="Times New Roman" w:eastAsia="宋体" w:cs="Times New Roman"/>
                <w:color w:val="auto"/>
                <w:kern w:val="0"/>
                <w:sz w:val="21"/>
                <w:szCs w:val="21"/>
                <w:lang w:val="en-US" w:eastAsia="zh-CN" w:bidi="ar"/>
              </w:rPr>
              <w:t>危险化学试剂、</w:t>
            </w:r>
            <w:r>
              <w:rPr>
                <w:rFonts w:hint="default" w:ascii="Times New Roman" w:hAnsi="Times New Roman" w:eastAsia="宋体" w:cs="Times New Roman"/>
                <w:color w:val="auto"/>
                <w:sz w:val="21"/>
                <w:szCs w:val="21"/>
              </w:rPr>
              <w:t>危险化学品时，应当根据危险化学品的</w:t>
            </w:r>
            <w:r>
              <w:rPr>
                <w:rFonts w:hint="default" w:ascii="Times New Roman" w:hAnsi="Times New Roman" w:eastAsia="宋体" w:cs="Times New Roman"/>
                <w:color w:val="auto"/>
                <w:sz w:val="21"/>
                <w:szCs w:val="21"/>
                <w:lang w:eastAsia="zh-CN"/>
              </w:rPr>
              <w:t>种类</w:t>
            </w:r>
            <w:r>
              <w:rPr>
                <w:rFonts w:hint="default" w:ascii="Times New Roman" w:hAnsi="Times New Roman" w:eastAsia="宋体" w:cs="Times New Roman"/>
                <w:color w:val="auto"/>
                <w:sz w:val="21"/>
                <w:szCs w:val="21"/>
              </w:rPr>
              <w:t>、特性，在作业场所设置相应的通风、防晒、调温、防火、灭火、防爆、防毒或者隔离操作等安全设施、设备，并按照国家标准和相关规定进行维护、保养，保证符合安全运行</w:t>
            </w:r>
            <w:r>
              <w:rPr>
                <w:rFonts w:hint="default" w:ascii="Times New Roman" w:hAnsi="Times New Roman" w:eastAsia="宋体" w:cs="Times New Roman"/>
                <w:color w:val="auto"/>
                <w:sz w:val="21"/>
                <w:szCs w:val="21"/>
                <w:lang w:eastAsia="zh-CN"/>
              </w:rPr>
              <w:t>要求</w:t>
            </w:r>
            <w:r>
              <w:rPr>
                <w:rFonts w:hint="default" w:ascii="Times New Roman" w:hAnsi="Times New Roman" w:eastAsia="宋体" w:cs="Times New Roman"/>
                <w:color w:val="auto"/>
                <w:sz w:val="21"/>
                <w:szCs w:val="21"/>
                <w:lang w:val="en-US" w:eastAsia="zh-CN"/>
              </w:rPr>
              <w:t xml:space="preserve">。 </w:t>
            </w:r>
          </w:p>
          <w:p w14:paraId="54EC7FF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⑨</w:t>
            </w:r>
            <w:r>
              <w:rPr>
                <w:rFonts w:hint="default" w:ascii="Times New Roman" w:hAnsi="Times New Roman" w:eastAsia="宋体" w:cs="Times New Roman"/>
                <w:color w:val="auto"/>
                <w:sz w:val="21"/>
                <w:szCs w:val="21"/>
              </w:rPr>
              <w:t>超过有效期的</w:t>
            </w:r>
            <w:r>
              <w:rPr>
                <w:rFonts w:hint="default" w:ascii="Times New Roman" w:hAnsi="Times New Roman" w:eastAsia="宋体" w:cs="Times New Roman"/>
                <w:color w:val="auto"/>
                <w:kern w:val="0"/>
                <w:sz w:val="21"/>
                <w:szCs w:val="21"/>
                <w:lang w:val="en-US" w:eastAsia="zh-CN" w:bidi="ar"/>
              </w:rPr>
              <w:t>危险化学试剂、</w:t>
            </w:r>
            <w:r>
              <w:rPr>
                <w:rFonts w:hint="default" w:ascii="Times New Roman" w:hAnsi="Times New Roman" w:eastAsia="宋体" w:cs="Times New Roman"/>
                <w:color w:val="auto"/>
                <w:sz w:val="21"/>
                <w:szCs w:val="21"/>
              </w:rPr>
              <w:t>危险化学品，应依照固体废物污染环境防治法和国家有关规定执行，由实验室负责人按照“危险废物及其包装物管理”进行处理，并负责清洗容器</w:t>
            </w:r>
            <w:r>
              <w:rPr>
                <w:rFonts w:hint="default" w:ascii="Times New Roman" w:hAnsi="Times New Roman" w:eastAsia="宋体" w:cs="Times New Roman"/>
                <w:color w:val="auto"/>
                <w:sz w:val="21"/>
                <w:szCs w:val="21"/>
                <w:lang w:eastAsia="zh-CN"/>
              </w:rPr>
              <w:t>。</w:t>
            </w:r>
          </w:p>
          <w:p w14:paraId="5F8B4AD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⑩</w:t>
            </w:r>
            <w:r>
              <w:rPr>
                <w:rFonts w:hint="default" w:ascii="Times New Roman" w:hAnsi="Times New Roman" w:eastAsia="宋体" w:cs="Times New Roman"/>
                <w:color w:val="auto"/>
                <w:sz w:val="21"/>
                <w:szCs w:val="21"/>
              </w:rPr>
              <w:t>在使用</w:t>
            </w:r>
            <w:r>
              <w:rPr>
                <w:rFonts w:hint="default" w:ascii="Times New Roman" w:hAnsi="Times New Roman" w:eastAsia="宋体" w:cs="Times New Roman"/>
                <w:color w:val="auto"/>
                <w:kern w:val="0"/>
                <w:sz w:val="21"/>
                <w:szCs w:val="21"/>
                <w:lang w:val="en-US" w:eastAsia="zh-CN" w:bidi="ar"/>
              </w:rPr>
              <w:t>危险化学试剂、</w:t>
            </w:r>
            <w:r>
              <w:rPr>
                <w:rFonts w:hint="default" w:ascii="Times New Roman" w:hAnsi="Times New Roman" w:eastAsia="宋体" w:cs="Times New Roman"/>
                <w:color w:val="auto"/>
                <w:sz w:val="21"/>
                <w:szCs w:val="21"/>
              </w:rPr>
              <w:t>危险化学品过程中出现操作人员不慎</w:t>
            </w:r>
            <w:r>
              <w:rPr>
                <w:rFonts w:hint="default" w:ascii="Times New Roman" w:hAnsi="Times New Roman" w:eastAsia="宋体" w:cs="Times New Roman"/>
                <w:color w:val="auto"/>
                <w:sz w:val="21"/>
                <w:szCs w:val="21"/>
                <w:lang w:eastAsia="zh-CN"/>
              </w:rPr>
              <w:t>洒落</w:t>
            </w:r>
            <w:r>
              <w:rPr>
                <w:rFonts w:hint="default" w:ascii="Times New Roman" w:hAnsi="Times New Roman" w:eastAsia="宋体" w:cs="Times New Roman"/>
                <w:color w:val="auto"/>
                <w:sz w:val="21"/>
                <w:szCs w:val="21"/>
              </w:rPr>
              <w:t>、泄漏情况，应根据撒落化学品的性质采取不同的处置措施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由于实验室储存量有限，不会发生大量泄漏情况，例如酸性化学品泄漏，可用沙土或生石灰吸附，然后用清水冲洗；吸附品及冲洗水均按危废处置，对环境不会造成大的影响。</w:t>
            </w:r>
          </w:p>
          <w:p w14:paraId="0B454F39">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（2）危险废物</w:t>
            </w:r>
            <w:r>
              <w:rPr>
                <w:rFonts w:hint="default" w:ascii="Times New Roman" w:hAnsi="Times New Roman" w:eastAsia="宋体" w:cs="Times New Roman"/>
                <w:color w:val="auto"/>
                <w:kern w:val="0"/>
                <w:sz w:val="21"/>
                <w:szCs w:val="21"/>
                <w:lang w:val="en-US" w:eastAsia="zh-CN" w:bidi="ar"/>
              </w:rPr>
              <w:t>泄漏风险防范措施</w:t>
            </w:r>
          </w:p>
          <w:p w14:paraId="50FEADC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①</w:t>
            </w:r>
            <w:r>
              <w:rPr>
                <w:rFonts w:hint="default" w:ascii="Times New Roman" w:hAnsi="Times New Roman" w:eastAsia="宋体" w:cs="Times New Roman"/>
                <w:color w:val="auto"/>
                <w:sz w:val="21"/>
                <w:szCs w:val="21"/>
              </w:rPr>
              <w:t>各类危险废物应分类存放，液体危险废物需由密闭的专用容器收集存储，固体危险废物需由加盖的储存桶收集，</w:t>
            </w:r>
            <w:r>
              <w:rPr>
                <w:rFonts w:hint="default" w:ascii="Times New Roman" w:hAnsi="Times New Roman" w:eastAsia="宋体" w:cs="Times New Roman"/>
                <w:color w:val="auto"/>
                <w:sz w:val="21"/>
                <w:szCs w:val="21"/>
                <w:lang w:eastAsia="zh-CN"/>
              </w:rPr>
              <w:t>危废暂存间</w:t>
            </w:r>
            <w:r>
              <w:rPr>
                <w:rFonts w:hint="default" w:ascii="Times New Roman" w:hAnsi="Times New Roman" w:eastAsia="宋体" w:cs="Times New Roman"/>
                <w:color w:val="auto"/>
                <w:sz w:val="21"/>
                <w:szCs w:val="21"/>
              </w:rPr>
              <w:t>按照《危险废物贮存污染控制标准》（GB18597-2023）</w:t>
            </w:r>
            <w:r>
              <w:rPr>
                <w:rFonts w:hint="default" w:ascii="Times New Roman" w:hAnsi="Times New Roman" w:eastAsia="宋体" w:cs="Times New Roman"/>
                <w:color w:val="auto"/>
                <w:sz w:val="21"/>
                <w:szCs w:val="21"/>
                <w:lang w:val="en-US" w:eastAsia="zh-CN"/>
              </w:rPr>
              <w:t>要求建设</w:t>
            </w:r>
            <w:r>
              <w:rPr>
                <w:rFonts w:hint="default" w:ascii="Times New Roman" w:hAnsi="Times New Roman" w:eastAsia="宋体" w:cs="Times New Roman"/>
                <w:color w:val="auto"/>
                <w:sz w:val="21"/>
                <w:szCs w:val="21"/>
              </w:rPr>
              <w:t>，地面需按要求进行防腐、防渗潲，避免发生泄漏、渗</w:t>
            </w:r>
            <w:r>
              <w:rPr>
                <w:rFonts w:hint="default" w:ascii="Times New Roman" w:hAnsi="Times New Roman" w:eastAsia="宋体" w:cs="Times New Roman"/>
                <w:color w:val="auto"/>
                <w:sz w:val="21"/>
                <w:szCs w:val="21"/>
                <w:lang w:val="en-US" w:eastAsia="zh-CN"/>
              </w:rPr>
              <w:t>漏</w:t>
            </w:r>
            <w:r>
              <w:rPr>
                <w:rFonts w:hint="default" w:ascii="Times New Roman" w:hAnsi="Times New Roman" w:eastAsia="宋体" w:cs="Times New Roman"/>
                <w:color w:val="auto"/>
                <w:sz w:val="21"/>
                <w:szCs w:val="21"/>
              </w:rPr>
              <w:t>。外运过程要防止</w:t>
            </w:r>
            <w:r>
              <w:rPr>
                <w:rFonts w:hint="default" w:ascii="Times New Roman" w:hAnsi="Times New Roman" w:eastAsia="宋体" w:cs="Times New Roman"/>
                <w:color w:val="auto"/>
                <w:sz w:val="21"/>
                <w:szCs w:val="21"/>
                <w:lang w:eastAsia="zh-CN"/>
              </w:rPr>
              <w:t>抛撒</w:t>
            </w:r>
            <w:r>
              <w:rPr>
                <w:rFonts w:hint="default" w:ascii="Times New Roman" w:hAnsi="Times New Roman" w:eastAsia="宋体" w:cs="Times New Roman"/>
                <w:color w:val="auto"/>
                <w:sz w:val="21"/>
                <w:szCs w:val="21"/>
              </w:rPr>
              <w:t>、泄漏等二次污染，</w:t>
            </w:r>
            <w:r>
              <w:rPr>
                <w:rFonts w:hint="default" w:ascii="Times New Roman" w:hAnsi="Times New Roman" w:eastAsia="宋体" w:cs="Times New Roman"/>
                <w:color w:val="auto"/>
                <w:sz w:val="21"/>
                <w:szCs w:val="21"/>
                <w:lang w:val="en-US" w:eastAsia="zh-CN"/>
              </w:rPr>
              <w:t>单位</w:t>
            </w:r>
            <w:r>
              <w:rPr>
                <w:rFonts w:hint="default" w:ascii="Times New Roman" w:hAnsi="Times New Roman" w:eastAsia="宋体" w:cs="Times New Roman"/>
                <w:color w:val="auto"/>
                <w:sz w:val="21"/>
                <w:szCs w:val="21"/>
              </w:rPr>
              <w:t>内部应建立危险废物产生、储存、转移、处置的详细台账，按照《危险废物转移联单管理办法》的要求做好危险废物转移联单填报登记工作，危险废物必须交由</w:t>
            </w:r>
            <w:r>
              <w:rPr>
                <w:rFonts w:hint="default" w:ascii="Times New Roman" w:hAnsi="Times New Roman" w:eastAsia="宋体" w:cs="Times New Roman"/>
                <w:color w:val="auto"/>
                <w:sz w:val="21"/>
                <w:szCs w:val="21"/>
                <w:lang w:val="en-US" w:eastAsia="zh-CN"/>
              </w:rPr>
              <w:t>有</w:t>
            </w:r>
            <w:r>
              <w:rPr>
                <w:rFonts w:hint="default" w:ascii="Times New Roman" w:hAnsi="Times New Roman" w:eastAsia="宋体" w:cs="Times New Roman"/>
                <w:color w:val="auto"/>
                <w:sz w:val="21"/>
                <w:szCs w:val="21"/>
              </w:rPr>
              <w:t>资质</w:t>
            </w:r>
            <w:r>
              <w:rPr>
                <w:rFonts w:hint="default"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rPr>
              <w:t xml:space="preserve">单位处理。 </w:t>
            </w:r>
          </w:p>
          <w:p w14:paraId="5B473C2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②</w:t>
            </w:r>
            <w:r>
              <w:rPr>
                <w:rFonts w:hint="default" w:ascii="Times New Roman" w:hAnsi="Times New Roman" w:eastAsia="宋体" w:cs="Times New Roman"/>
                <w:color w:val="auto"/>
                <w:sz w:val="21"/>
                <w:szCs w:val="21"/>
              </w:rPr>
              <w:t>项目应根据《中华人民共和国固体废物污染环境防治法》，对危险废物的容器和包装物以及收集、贮存、运输、处置危险废物的设施、场所，必须设置危险废物识别标志；收集、贮存危险废物，必须按照危险废物特性分类进行，禁止混合收集、贮存、运输、处置性质不相容而未经安全性处置的危险废物，确保危废得到妥善处置。</w:t>
            </w:r>
          </w:p>
          <w:p w14:paraId="20624A2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vertAlign w:val="baseline"/>
                <w:lang w:val="en-US" w:eastAsia="zh-CN"/>
              </w:rPr>
              <w:t>废气事故排放防范措施</w:t>
            </w:r>
          </w:p>
          <w:p w14:paraId="06DA9CA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sz w:val="21"/>
                <w:szCs w:val="21"/>
                <w:lang w:val="en-US" w:eastAsia="zh-CN"/>
              </w:rPr>
              <w:t>本项目</w:t>
            </w:r>
            <w:r>
              <w:rPr>
                <w:rFonts w:hint="default" w:ascii="Times New Roman" w:hAnsi="Times New Roman" w:eastAsia="宋体" w:cs="Times New Roman"/>
                <w:color w:val="auto"/>
                <w:sz w:val="21"/>
                <w:szCs w:val="21"/>
                <w:highlight w:val="none"/>
                <w:vertAlign w:val="baseline"/>
                <w:lang w:val="en-US" w:eastAsia="zh-CN"/>
              </w:rPr>
              <w:t>废气处理设施</w:t>
            </w:r>
            <w:r>
              <w:rPr>
                <w:rFonts w:hint="default" w:ascii="Times New Roman" w:hAnsi="Times New Roman" w:eastAsia="宋体" w:cs="Times New Roman"/>
                <w:color w:val="auto"/>
                <w:sz w:val="21"/>
                <w:szCs w:val="21"/>
              </w:rPr>
              <w:t>活性炭吸附装置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碱液喷淋装置发生</w:t>
            </w:r>
            <w:r>
              <w:rPr>
                <w:rFonts w:hint="default" w:ascii="Times New Roman" w:hAnsi="Times New Roman" w:eastAsia="宋体" w:cs="Times New Roman"/>
                <w:color w:val="auto"/>
                <w:sz w:val="21"/>
                <w:szCs w:val="21"/>
                <w:highlight w:val="none"/>
                <w:vertAlign w:val="baseline"/>
                <w:lang w:val="en-US" w:eastAsia="zh-CN"/>
              </w:rPr>
              <w:t>故障，产生的甲醇、甲醛、非甲烷总烃、氯化氢、氨、硫酸雾、氮氧化物等</w:t>
            </w:r>
            <w:r>
              <w:rPr>
                <w:rFonts w:hint="default" w:ascii="Times New Roman" w:hAnsi="Times New Roman" w:eastAsia="宋体" w:cs="Times New Roman"/>
                <w:b w:val="0"/>
                <w:bCs w:val="0"/>
                <w:color w:val="auto"/>
                <w:sz w:val="21"/>
                <w:szCs w:val="21"/>
                <w:lang w:val="en-US" w:eastAsia="zh-CN"/>
              </w:rPr>
              <w:t>废气短时间内事故排放，上述处理系统均为整套装置，出现故障也容易发现并及时进行检修。安排专人定期对废气处理设施进行巡查维护，认真填写巡检记录，认真记录设备运行情况，若发现异样，应立即联系厂家进行处理，保证及时恢复正常运行；如出现断电等事故，应立即启动应急电源</w:t>
            </w:r>
            <w:r>
              <w:rPr>
                <w:rFonts w:hint="default" w:ascii="Times New Roman" w:hAnsi="Times New Roman" w:eastAsia="宋体" w:cs="Times New Roman"/>
                <w:b w:val="0"/>
                <w:bCs w:val="0"/>
                <w:color w:val="auto"/>
                <w:lang w:val="en-US" w:eastAsia="zh-CN"/>
              </w:rPr>
              <w:t>。</w:t>
            </w:r>
          </w:p>
          <w:p w14:paraId="45C9FC7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气瓶使用 </w:t>
            </w:r>
          </w:p>
          <w:p w14:paraId="2093652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为了保证气瓶使用过程中的安全，建设单位应落实以下管理措施：</w:t>
            </w:r>
          </w:p>
          <w:p w14:paraId="00DD001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①</w:t>
            </w:r>
            <w:r>
              <w:rPr>
                <w:rFonts w:hint="default" w:ascii="Times New Roman" w:hAnsi="Times New Roman" w:eastAsia="宋体" w:cs="Times New Roman"/>
                <w:color w:val="auto"/>
                <w:sz w:val="21"/>
                <w:szCs w:val="21"/>
              </w:rPr>
              <w:t>气瓶在使用、运输、贮存过程中，环境温度不允许有明显变化；特别是</w:t>
            </w:r>
            <w:r>
              <w:rPr>
                <w:rFonts w:hint="eastAsia" w:ascii="Times New Roman" w:hAnsi="Times New Roman" w:eastAsia="宋体" w:cs="Times New Roman"/>
                <w:color w:val="auto"/>
                <w:sz w:val="21"/>
                <w:szCs w:val="21"/>
                <w:lang w:val="en-US" w:eastAsia="zh-CN"/>
              </w:rPr>
              <w:t>氢气</w:t>
            </w:r>
            <w:r>
              <w:rPr>
                <w:rFonts w:hint="default" w:ascii="Times New Roman" w:hAnsi="Times New Roman" w:eastAsia="宋体" w:cs="Times New Roman"/>
                <w:color w:val="auto"/>
                <w:sz w:val="21"/>
                <w:szCs w:val="21"/>
              </w:rPr>
              <w:t>气瓶，其周围环境温度</w:t>
            </w:r>
            <w:r>
              <w:rPr>
                <w:rFonts w:hint="eastAsia" w:ascii="Times New Roman" w:hAnsi="Times New Roman" w:eastAsia="宋体" w:cs="Times New Roman"/>
                <w:color w:val="auto"/>
                <w:sz w:val="21"/>
                <w:szCs w:val="21"/>
                <w:lang w:val="en-US" w:eastAsia="zh-CN"/>
              </w:rPr>
              <w:t>不能</w:t>
            </w:r>
            <w:r>
              <w:rPr>
                <w:rFonts w:hint="default" w:ascii="Times New Roman" w:hAnsi="Times New Roman" w:eastAsia="宋体" w:cs="Times New Roman"/>
                <w:color w:val="auto"/>
                <w:sz w:val="21"/>
                <w:szCs w:val="21"/>
              </w:rPr>
              <w:t>超过</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w:t>
            </w:r>
          </w:p>
          <w:p w14:paraId="2B5C813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②</w:t>
            </w:r>
            <w:r>
              <w:rPr>
                <w:rFonts w:hint="default" w:ascii="Times New Roman" w:hAnsi="Times New Roman" w:eastAsia="宋体" w:cs="Times New Roman"/>
                <w:color w:val="auto"/>
                <w:sz w:val="21"/>
                <w:szCs w:val="21"/>
              </w:rPr>
              <w:t xml:space="preserve">气瓶的漆色保持完好，没有任意涂改。 </w:t>
            </w:r>
          </w:p>
          <w:p w14:paraId="6341B42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③使用前，应对钢印标记、颜色标记及安全状况进行检查，凡是不符合规定的气瓶不准使用。</w:t>
            </w:r>
          </w:p>
          <w:p w14:paraId="1A17B66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④</w:t>
            </w:r>
            <w:r>
              <w:rPr>
                <w:rFonts w:hint="default" w:ascii="Times New Roman" w:hAnsi="Times New Roman" w:eastAsia="宋体" w:cs="Times New Roman"/>
                <w:color w:val="auto"/>
                <w:sz w:val="21"/>
                <w:szCs w:val="21"/>
              </w:rPr>
              <w:t>气瓶不得靠近热源和电器设备，特别是</w:t>
            </w:r>
            <w:r>
              <w:rPr>
                <w:rFonts w:hint="default" w:ascii="Times New Roman" w:hAnsi="Times New Roman" w:eastAsia="宋体" w:cs="Times New Roman"/>
                <w:color w:val="auto"/>
                <w:sz w:val="21"/>
                <w:szCs w:val="21"/>
                <w:lang w:val="en-US" w:eastAsia="zh-CN"/>
              </w:rPr>
              <w:t>氢气</w:t>
            </w:r>
            <w:r>
              <w:rPr>
                <w:rFonts w:hint="default" w:ascii="Times New Roman" w:hAnsi="Times New Roman" w:eastAsia="宋体" w:cs="Times New Roman"/>
                <w:color w:val="auto"/>
                <w:sz w:val="21"/>
                <w:szCs w:val="21"/>
              </w:rPr>
              <w:t>瓶，与明火的距离大于</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气瓶直立放置，</w:t>
            </w:r>
            <w:r>
              <w:rPr>
                <w:rFonts w:hint="default" w:ascii="Times New Roman" w:hAnsi="Times New Roman" w:eastAsia="宋体" w:cs="Times New Roman"/>
                <w:color w:val="auto"/>
                <w:sz w:val="21"/>
                <w:szCs w:val="21"/>
                <w:lang w:val="en-US" w:eastAsia="zh-CN"/>
              </w:rPr>
              <w:t>不能</w:t>
            </w:r>
            <w:r>
              <w:rPr>
                <w:rFonts w:hint="default" w:ascii="Times New Roman" w:hAnsi="Times New Roman" w:eastAsia="宋体" w:cs="Times New Roman"/>
                <w:color w:val="auto"/>
                <w:sz w:val="21"/>
                <w:szCs w:val="21"/>
              </w:rPr>
              <w:t>和易燃品同向贮存。</w:t>
            </w:r>
          </w:p>
          <w:p w14:paraId="33A9AF2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突发火灾、爆炸事故引发的环境污染及次生污染风险防范措施</w:t>
            </w:r>
          </w:p>
          <w:p w14:paraId="50BFE79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①按照消防部门要求设置防火设施，发生燃烧、爆炸事故时及时处置，危险化学品泄漏时或发生火灾时，根据性状及时采取吸收、清洁、稀释、中和、喷淋等措施防止事故进一步扩大。</w:t>
            </w:r>
          </w:p>
          <w:p w14:paraId="0BDB2D0A">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实验室内建立动火制度，严防火灾发生。发生火灾时及时扑灭初期火灾，不能自控时，请求社会力量支援。发生事故时，对产生的消防废水进行堵、收集处理，防止外溢污染环境。加强区域环境风险联防联控，及时应对环境风险事故。事故结束后，应消除环境影响。</w:t>
            </w:r>
          </w:p>
          <w:p w14:paraId="2EAC6F7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lang w:val="en-US" w:eastAsia="zh-CN"/>
              </w:rPr>
            </w:pPr>
            <w:r>
              <w:rPr>
                <w:rFonts w:hint="eastAsia" w:cs="Times New Roman"/>
                <w:b/>
                <w:bCs/>
                <w:color w:val="auto"/>
                <w:lang w:val="en-US" w:eastAsia="zh-CN"/>
              </w:rPr>
              <w:t>7</w:t>
            </w:r>
            <w:r>
              <w:rPr>
                <w:rFonts w:hint="default" w:ascii="Times New Roman" w:hAnsi="Times New Roman" w:eastAsia="宋体" w:cs="Times New Roman"/>
                <w:b/>
                <w:bCs/>
                <w:color w:val="auto"/>
                <w:lang w:val="en-US" w:eastAsia="zh-CN"/>
              </w:rPr>
              <w:t xml:space="preserve">.7应急措施 </w:t>
            </w:r>
          </w:p>
          <w:p w14:paraId="0ED6AAA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建设单位根据《突发事件应急预案管理办法》《关于进一步加强环境影响评价管理防范环境风险的通知》（环发</w:t>
            </w:r>
            <w:r>
              <w:rPr>
                <w:rFonts w:hint="default" w:ascii="Times New Roman" w:hAnsi="Times New Roman" w:eastAsia="宋体" w:cs="Times New Roman"/>
                <w:color w:val="auto"/>
                <w:highlight w:val="none"/>
              </w:rPr>
              <w:t>〔201</w:t>
            </w:r>
            <w:r>
              <w:rPr>
                <w:rFonts w:hint="default"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lang w:val="en-US" w:eastAsia="zh-CN"/>
              </w:rPr>
              <w:t>77号）的相关要求，企业应按照可能发生的环境风险事件，编写环境突发事件应急救援预案，并且制定相应的培训计划和演练计划。企业成立安全领导小组，设专/兼职环境保护管理人员1人，负责日常环保安全监督管理工作。常见的应急处理措施如下：</w:t>
            </w:r>
          </w:p>
          <w:p w14:paraId="2C934B0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①在可燃液体燃着时，应立即移除着火区域内的一切可燃物质，关闭通风设备，防止扩大燃烧。</w:t>
            </w:r>
          </w:p>
          <w:p w14:paraId="647DDD7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②乙醇及其他可溶于水的液体着火时，可用水灭火。 </w:t>
            </w:r>
          </w:p>
          <w:p w14:paraId="774C5E54">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③甲醇等有机溶剂着火时，应用石棉布或干砂扑灭；绝对不能用水，否则反而会扩大燃烧面积。</w:t>
            </w:r>
          </w:p>
          <w:p w14:paraId="64F5109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④注意电器设备导线等着火时，不能用水及二氧化碳灭火器（泡沫灭火器），以免触电；应先切断电源，再用二氧化碳或四氯化碳灭火器灭火。 </w:t>
            </w:r>
          </w:p>
          <w:p w14:paraId="3D0808C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⑤衣服着火时，千万不要奔跑，应立即用湿棉布或厚外衣盖熄，或者迅速脱下衣服，火势较大时，应卧地打滚以扑灭火焰；</w:t>
            </w:r>
          </w:p>
          <w:p w14:paraId="571A14B7">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⑥发现烘箱有异味或冒烟时，应迅速切断电源，使其慢慢降温，并准备好灭火器备用；千万不要急于打开烘箱门，以免突然吸入空气助燃（爆），引起火灾。 </w:t>
            </w:r>
          </w:p>
          <w:p w14:paraId="3FA2C28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⑦发生火灾时应注意保护现场；较大的着火事故应立即报警；若有伤势较重者，应立即送医院。</w:t>
            </w:r>
          </w:p>
          <w:p w14:paraId="25B98FCE">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⑧实验室人员要熟悉实验室内灭火器材的位置和灭火器的使用方法。</w:t>
            </w:r>
          </w:p>
          <w:p w14:paraId="1EF46F52">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⑨液体试剂包装容器破损应急处置措施： </w:t>
            </w:r>
          </w:p>
          <w:p w14:paraId="59787FC6">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A.当泄漏发生后，首先尽可能确认是什么物质发生了泄漏，泄漏物是否可能引起其他危险；如果有必要，通知消防队和急救队，寻求他们的帮助。</w:t>
            </w:r>
          </w:p>
          <w:p w14:paraId="17FD9E5A">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B.在判断为可以自行处置的泄漏物后就要估算泄漏量，500mL以下视为小型泄漏，500ml-1500mL视为中型泄漏，超过1500mL视为大型泄漏。</w:t>
            </w:r>
          </w:p>
          <w:p w14:paraId="18F4E75D">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C.小型泄漏处置措施：可使用实验室试剂泄漏处置盒将现场泄漏物进行快速处理，用吸附剂进行吸收，吸附棉擦拭，将吸收过废物的吸收产品装入废弃物收集袋中，贴上标签以表明危险程度，交给专业机构进行处理，处置前先做好实验人员的个人防护。</w:t>
            </w:r>
          </w:p>
          <w:p w14:paraId="78882DA3">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D.中型泄漏处置措施：可使用化学品泄漏处置包先做好实验人员的个人防护，然后对泄漏物使用吸附剂吸附进行吸收，吸附棉擦拭，将吸收过废物的吸收产品装入废弃物收集袋中，贴上标签以表明危险程度，交给专业机构进行处理。 </w:t>
            </w:r>
          </w:p>
          <w:p w14:paraId="3513BA0B">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E.大型泄漏处置措施：实验室所有人员撤离所在楼层，隔离泄漏污染区（如果是易燃易爆化学品泄漏，这时一定要拨打“119”报警，请求消防专业人员救援，同时要保护、控制好现场）；实验室断电，由实验室安全员或安全责任人向相关部门、领导汇报，视情况安排本单位专业人员进行处理，处置人员严禁单独行动，须配备完善的个人防护器具：防化面屏，呼吸面罩，防护服，防护眼镜，防护手套，防护鞋套。 </w:t>
            </w:r>
          </w:p>
          <w:p w14:paraId="54CD354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处置过程：①进行气体检测，及时发现是否存在易燃易爆气体，在气体检测安全的情况下进入实验室；②打开窗户进行通风；③使用吸附棉对泄漏区域围堵；④使用吸附材料将现场泄漏物覆盖、吸收；⑤将吸收过废弃物的吸收产品装入废弃物收集袋中，贴上标签以标明危险程度，交给专业机构进行处理。</w:t>
            </w:r>
          </w:p>
          <w:p w14:paraId="65413002">
            <w:pPr>
              <w:keepNext w:val="0"/>
              <w:keepLines w:val="0"/>
              <w:widowControl/>
              <w:suppressLineNumbers w:val="0"/>
              <w:jc w:val="left"/>
              <w:rPr>
                <w:rFonts w:hint="default" w:ascii="Times New Roman" w:hAnsi="Times New Roman" w:eastAsia="宋体" w:cs="Times New Roman"/>
                <w:color w:val="auto"/>
                <w:lang w:val="en-US" w:eastAsia="zh-CN"/>
              </w:rPr>
            </w:pPr>
            <w:r>
              <w:rPr>
                <w:rFonts w:hint="eastAsia" w:cs="Times New Roman"/>
                <w:b/>
                <w:bCs/>
                <w:color w:val="auto"/>
                <w:lang w:val="en-US" w:eastAsia="zh-CN"/>
              </w:rPr>
              <w:t>7</w:t>
            </w:r>
            <w:r>
              <w:rPr>
                <w:rFonts w:hint="eastAsia" w:ascii="Times New Roman" w:hAnsi="Times New Roman" w:eastAsia="宋体" w:cs="Times New Roman"/>
                <w:b/>
                <w:bCs/>
                <w:color w:val="auto"/>
                <w:lang w:val="en-US" w:eastAsia="zh-CN"/>
              </w:rPr>
              <w:t>.8结论</w:t>
            </w:r>
          </w:p>
          <w:p w14:paraId="35617223">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具有潜在的事故风险，尽管最大可信灾害事故概率小，总体危害较轻，但建设单位一定要从生产等各个环节、各方面积极采取防护措施，这也是确保安全生产的根本措施。为了防范事故发生，减少对环境的危害，要制定事故风险应急预案。当事故发生时，要采取紧急应急措施，必要时启动社会应急措施，以控制事故和减少对环境造成危害。</w:t>
            </w:r>
          </w:p>
          <w:p w14:paraId="652B8B3A">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本环评针对可能存在的风险因素，</w:t>
            </w:r>
            <w:r>
              <w:rPr>
                <w:rFonts w:hint="default" w:ascii="Times New Roman" w:hAnsi="Times New Roman" w:eastAsia="宋体" w:cs="Times New Roman"/>
                <w:color w:val="auto"/>
                <w:sz w:val="21"/>
                <w:szCs w:val="21"/>
                <w:lang w:eastAsia="zh-CN"/>
              </w:rPr>
              <w:t>发生概率</w:t>
            </w:r>
            <w:r>
              <w:rPr>
                <w:rFonts w:hint="default" w:ascii="Times New Roman" w:hAnsi="Times New Roman" w:eastAsia="宋体" w:cs="Times New Roman"/>
                <w:color w:val="auto"/>
                <w:sz w:val="21"/>
                <w:szCs w:val="21"/>
              </w:rPr>
              <w:t>及可能造成事故危害进行了分析，并提出了相应的事故防范措施，认为造成的环境风险处于可防控水平</w:t>
            </w:r>
            <w:r>
              <w:rPr>
                <w:rFonts w:hint="eastAsia" w:ascii="宋体" w:hAnsi="宋体" w:eastAsia="宋体" w:cs="宋体"/>
                <w:color w:val="auto"/>
                <w:sz w:val="24"/>
                <w:szCs w:val="24"/>
                <w:lang w:eastAsia="zh-CN"/>
              </w:rPr>
              <w:t>。</w:t>
            </w:r>
          </w:p>
          <w:p w14:paraId="58D8CD62">
            <w:pPr>
              <w:autoSpaceDE w:val="0"/>
              <w:autoSpaceDN w:val="0"/>
              <w:adjustRightInd w:val="0"/>
              <w:snapToGrid w:val="0"/>
              <w:spacing w:line="360" w:lineRule="auto"/>
              <w:jc w:val="left"/>
              <w:rPr>
                <w:rFonts w:hint="default" w:ascii="Times New Roman" w:hAnsi="Times New Roman" w:eastAsia="宋体" w:cs="Times New Roman"/>
                <w:b/>
                <w:color w:val="auto"/>
                <w:sz w:val="21"/>
                <w:szCs w:val="21"/>
              </w:rPr>
            </w:pPr>
            <w:r>
              <w:rPr>
                <w:rFonts w:hint="eastAsia" w:cs="Times New Roman"/>
                <w:b/>
                <w:color w:val="auto"/>
                <w:sz w:val="21"/>
                <w:szCs w:val="21"/>
                <w:lang w:val="en-US" w:eastAsia="zh-CN"/>
              </w:rPr>
              <w:t>8</w:t>
            </w:r>
            <w:r>
              <w:rPr>
                <w:rFonts w:hint="default" w:ascii="Times New Roman" w:hAnsi="Times New Roman" w:eastAsia="宋体" w:cs="Times New Roman"/>
                <w:b/>
                <w:color w:val="auto"/>
                <w:sz w:val="21"/>
                <w:szCs w:val="21"/>
              </w:rPr>
              <w:t>环境管理</w:t>
            </w:r>
          </w:p>
          <w:p w14:paraId="17B466CA">
            <w:pPr>
              <w:adjustRightInd w:val="0"/>
              <w:snapToGrid w:val="0"/>
              <w:spacing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bidi="ar"/>
              </w:rPr>
              <w:t>项目建成投入运行后，其环境管理是一项长期的管理工作，必须建立完善的管理机构和体系，其环境管理制度应与项目所在区域管理制度相协调，并在此基础上建立健全各项环境监督和管理制度。建设单位应建立环境保护管理机构，指定1~2名人员负责本项目的环境保护工作，制定相关环境管理制度，认真落实各项环境保护措施，保障项目运营符合环保要求。</w:t>
            </w:r>
          </w:p>
          <w:p w14:paraId="75AD74B9">
            <w:pPr>
              <w:adjustRightInd w:val="0"/>
              <w:snapToGrid w:val="0"/>
              <w:spacing w:line="360" w:lineRule="auto"/>
              <w:ind w:firstLine="420" w:firstLineChars="20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实验室废液收集管理要求</w:t>
            </w:r>
          </w:p>
          <w:p w14:paraId="721E5484">
            <w:pPr>
              <w:adjustRightInd w:val="0"/>
              <w:snapToGrid w:val="0"/>
              <w:spacing w:line="360" w:lineRule="auto"/>
              <w:ind w:firstLine="420" w:firstLineChars="20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前述工程分析可知，项目运营过程中实验废液、实验器皿第一、二道清洗废水、涉及重金属、剧毒污染物的全部器皿清洗废水均按危险废物进行处置，为使项目运营过程中更有效的收集以上实验废液及清洗废水，本次评价要求建设单位实验过程中根据企业实际操作流程制定严格的实验废液收集管理制度，配备专人负责记录并统计实验废液、实验器皿第一、二次清洗废液、涉及重金属及剧毒污染物检测的实验废液及清洗废水的量，并制定相应的台账管理制度备查。从源头对以上实验废液及废水进行管控，严禁进入实验区污水收集管网系统。</w:t>
            </w:r>
          </w:p>
          <w:p w14:paraId="3F7A181A">
            <w:pPr>
              <w:adjustRightInd w:val="0"/>
              <w:snapToGrid w:val="0"/>
              <w:spacing w:line="360" w:lineRule="auto"/>
              <w:ind w:firstLine="420" w:firstLineChars="20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有机废气活性炭更换管理制度</w:t>
            </w:r>
          </w:p>
          <w:p w14:paraId="7366F056">
            <w:pPr>
              <w:adjustRightInd w:val="0"/>
              <w:snapToGrid w:val="0"/>
              <w:spacing w:line="360" w:lineRule="auto"/>
              <w:ind w:firstLine="420" w:firstLineChars="200"/>
              <w:jc w:val="left"/>
              <w:rPr>
                <w:rFonts w:hint="default"/>
                <w:color w:val="auto"/>
                <w:lang w:val="en-US" w:eastAsia="zh-CN"/>
              </w:rPr>
            </w:pPr>
            <w:r>
              <w:rPr>
                <w:rFonts w:hint="default" w:ascii="Times New Roman" w:hAnsi="Times New Roman" w:eastAsia="宋体" w:cs="Times New Roman"/>
                <w:color w:val="auto"/>
                <w:sz w:val="21"/>
                <w:szCs w:val="21"/>
              </w:rPr>
              <w:t>为保证本项目拟设置的三级活性炭吸附装置对本项目产生的有机废气的处理效率，本次评价要求项目运营过程中有机废气处理装置三级活性炭中的活性炭须根据使用情况及时更换，确保尾气达标排放，并制定健全的活性炭更换台账记录。更换下来的废弃活性炭暂存于危险废物暂存间内，及时委托有资质的单位清运处置。</w:t>
            </w:r>
          </w:p>
        </w:tc>
      </w:tr>
    </w:tbl>
    <w:p w14:paraId="16F0CBD3">
      <w:pPr>
        <w:bidi w:val="0"/>
        <w:rPr>
          <w:rFonts w:hint="default"/>
          <w:color w:val="auto"/>
        </w:rPr>
        <w:sectPr>
          <w:pgSz w:w="11906" w:h="16838"/>
          <w:pgMar w:top="1440" w:right="1800" w:bottom="1440" w:left="1800" w:header="851" w:footer="992" w:gutter="0"/>
          <w:pgNumType w:fmt="decimal"/>
          <w:cols w:space="425" w:num="1"/>
          <w:docGrid w:type="lines" w:linePitch="312" w:charSpace="0"/>
        </w:sectPr>
      </w:pPr>
    </w:p>
    <w:p w14:paraId="2EAA6464">
      <w:pPr>
        <w:jc w:val="center"/>
        <w:outlineLvl w:val="0"/>
        <w:rPr>
          <w:rFonts w:hint="eastAsia" w:ascii="Times New Roman" w:hAnsi="Times New Roman" w:eastAsia="宋体" w:cs="Times New Roman"/>
          <w:b/>
          <w:bCs/>
          <w:color w:val="auto"/>
          <w:sz w:val="28"/>
          <w:szCs w:val="28"/>
        </w:rPr>
      </w:pPr>
      <w:bookmarkStart w:id="8" w:name="_Toc13161"/>
      <w:bookmarkStart w:id="9" w:name="_Toc30653"/>
      <w:r>
        <w:rPr>
          <w:rFonts w:hint="eastAsia" w:ascii="Times New Roman" w:hAnsi="Times New Roman" w:eastAsia="宋体" w:cs="Times New Roman"/>
          <w:b/>
          <w:bCs/>
          <w:color w:val="auto"/>
          <w:sz w:val="28"/>
          <w:szCs w:val="28"/>
        </w:rPr>
        <w:t>五、</w:t>
      </w:r>
      <w:bookmarkStart w:id="10" w:name="_Hlk54167917"/>
      <w:r>
        <w:rPr>
          <w:rFonts w:hint="eastAsia" w:ascii="Times New Roman" w:hAnsi="Times New Roman" w:eastAsia="宋体" w:cs="Times New Roman"/>
          <w:b/>
          <w:bCs/>
          <w:color w:val="auto"/>
          <w:sz w:val="28"/>
          <w:szCs w:val="28"/>
        </w:rPr>
        <w:t>环境保护措施监督检查清单</w:t>
      </w:r>
      <w:bookmarkEnd w:id="8"/>
      <w:bookmarkEnd w:id="9"/>
      <w:bookmarkEnd w:id="10"/>
    </w:p>
    <w:tbl>
      <w:tblPr>
        <w:tblStyle w:val="2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41"/>
        <w:gridCol w:w="1501"/>
        <w:gridCol w:w="1176"/>
        <w:gridCol w:w="2082"/>
        <w:gridCol w:w="3060"/>
      </w:tblGrid>
      <w:tr w14:paraId="769CD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5" w:type="pct"/>
            <w:tcBorders>
              <w:tl2br w:val="single" w:color="auto" w:sz="4" w:space="0"/>
            </w:tcBorders>
            <w:noWrap w:val="0"/>
            <w:vAlign w:val="center"/>
          </w:tcPr>
          <w:p w14:paraId="0A62FD45">
            <w:pPr>
              <w:adjustRightInd w:val="0"/>
              <w:snapToGrid w:val="0"/>
              <w:spacing w:line="360" w:lineRule="auto"/>
              <w:ind w:firstLine="422" w:firstLineChars="200"/>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p w14:paraId="5FBF9B5C">
            <w:pPr>
              <w:adjustRightInd w:val="0"/>
              <w:snapToGrid w:val="0"/>
              <w:spacing w:line="360" w:lineRule="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要素</w:t>
            </w:r>
          </w:p>
        </w:tc>
        <w:tc>
          <w:tcPr>
            <w:tcW w:w="828" w:type="pct"/>
            <w:noWrap w:val="0"/>
            <w:vAlign w:val="center"/>
          </w:tcPr>
          <w:p w14:paraId="4B45BA3B">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p w14:paraId="23BDBB2C">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名称)/污染源</w:t>
            </w:r>
          </w:p>
        </w:tc>
        <w:tc>
          <w:tcPr>
            <w:tcW w:w="649" w:type="pct"/>
            <w:noWrap w:val="0"/>
            <w:vAlign w:val="center"/>
          </w:tcPr>
          <w:p w14:paraId="7BBB5A87">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污染物项目</w:t>
            </w:r>
          </w:p>
        </w:tc>
        <w:tc>
          <w:tcPr>
            <w:tcW w:w="1149" w:type="pct"/>
            <w:noWrap w:val="0"/>
            <w:vAlign w:val="center"/>
          </w:tcPr>
          <w:p w14:paraId="2B366824">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环境保护措施</w:t>
            </w:r>
          </w:p>
        </w:tc>
        <w:tc>
          <w:tcPr>
            <w:tcW w:w="1687" w:type="pct"/>
            <w:noWrap w:val="0"/>
            <w:vAlign w:val="center"/>
          </w:tcPr>
          <w:p w14:paraId="053CDC67">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r>
      <w:tr w14:paraId="3FE89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5" w:type="pct"/>
            <w:vMerge w:val="restart"/>
            <w:noWrap w:val="0"/>
            <w:vAlign w:val="center"/>
          </w:tcPr>
          <w:p w14:paraId="2774250A">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大气环境</w:t>
            </w:r>
          </w:p>
        </w:tc>
        <w:tc>
          <w:tcPr>
            <w:tcW w:w="828" w:type="pct"/>
            <w:vMerge w:val="restart"/>
            <w:noWrap w:val="0"/>
            <w:vAlign w:val="center"/>
          </w:tcPr>
          <w:p w14:paraId="67E4AA8A">
            <w:pPr>
              <w:adjustRightInd w:val="0"/>
              <w:snapToGrid w:val="0"/>
              <w:spacing w:line="36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排气筒（DA001）</w:t>
            </w:r>
          </w:p>
        </w:tc>
        <w:tc>
          <w:tcPr>
            <w:tcW w:w="649" w:type="pct"/>
            <w:noWrap w:val="0"/>
            <w:vAlign w:val="center"/>
          </w:tcPr>
          <w:p w14:paraId="4464D6BE">
            <w:pPr>
              <w:adjustRightInd w:val="0"/>
              <w:snapToGrid w:val="0"/>
              <w:spacing w:line="36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甲醇、甲醛</w:t>
            </w:r>
          </w:p>
        </w:tc>
        <w:tc>
          <w:tcPr>
            <w:tcW w:w="1149" w:type="pct"/>
            <w:noWrap w:val="0"/>
            <w:vAlign w:val="center"/>
          </w:tcPr>
          <w:p w14:paraId="3D470B3B">
            <w:pPr>
              <w:adjustRightInd w:val="0"/>
              <w:snapToGrid w:val="0"/>
              <w:spacing w:line="360" w:lineRule="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通风橱、集气罩+三级活性炭吸附装置+</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m高排气筒</w:t>
            </w:r>
            <w:r>
              <w:rPr>
                <w:rFonts w:hint="default" w:ascii="Times New Roman" w:hAnsi="Times New Roman" w:eastAsia="宋体" w:cs="Times New Roman"/>
                <w:color w:val="auto"/>
                <w:sz w:val="21"/>
                <w:szCs w:val="21"/>
                <w:lang w:val="en-US" w:eastAsia="zh-CN"/>
              </w:rPr>
              <w:t>排放</w:t>
            </w:r>
          </w:p>
        </w:tc>
        <w:tc>
          <w:tcPr>
            <w:tcW w:w="1687" w:type="pct"/>
            <w:vMerge w:val="restart"/>
            <w:noWrap w:val="0"/>
            <w:vAlign w:val="center"/>
          </w:tcPr>
          <w:p w14:paraId="1E352421">
            <w:pPr>
              <w:adjustRightInd w:val="0"/>
              <w:snapToGrid w:val="0"/>
              <w:spacing w:line="360" w:lineRule="auto"/>
              <w:jc w:val="left"/>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非甲烷总烃、甲醇、甲醛、氯化氢、硫酸雾、氮氧化物执行《大气污染物综合排放标准》（GB16297-1996）表2新污染源大气污染物二级排放限值；氨执行《恶臭污染物排放标准》(GB14554-1993)表2标准</w:t>
            </w:r>
          </w:p>
        </w:tc>
      </w:tr>
      <w:tr w14:paraId="7EDA38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5" w:type="pct"/>
            <w:vMerge w:val="continue"/>
            <w:noWrap w:val="0"/>
            <w:vAlign w:val="center"/>
          </w:tcPr>
          <w:p w14:paraId="33107BE1">
            <w:pPr>
              <w:adjustRightInd w:val="0"/>
              <w:snapToGrid w:val="0"/>
              <w:spacing w:line="360" w:lineRule="auto"/>
              <w:jc w:val="center"/>
              <w:outlineLvl w:val="9"/>
              <w:rPr>
                <w:rFonts w:hint="default" w:ascii="Times New Roman" w:hAnsi="Times New Roman" w:eastAsia="宋体" w:cs="Times New Roman"/>
                <w:b/>
                <w:bCs/>
                <w:color w:val="auto"/>
                <w:sz w:val="21"/>
                <w:szCs w:val="21"/>
              </w:rPr>
            </w:pPr>
          </w:p>
        </w:tc>
        <w:tc>
          <w:tcPr>
            <w:tcW w:w="828" w:type="pct"/>
            <w:vMerge w:val="continue"/>
            <w:noWrap w:val="0"/>
            <w:vAlign w:val="center"/>
          </w:tcPr>
          <w:p w14:paraId="2B5333B7">
            <w:pPr>
              <w:adjustRightInd w:val="0"/>
              <w:snapToGrid w:val="0"/>
              <w:spacing w:line="360" w:lineRule="auto"/>
              <w:jc w:val="center"/>
              <w:outlineLvl w:val="9"/>
              <w:rPr>
                <w:rFonts w:hint="default" w:ascii="Times New Roman" w:hAnsi="Times New Roman" w:eastAsia="宋体" w:cs="Times New Roman"/>
                <w:color w:val="auto"/>
                <w:sz w:val="21"/>
                <w:szCs w:val="21"/>
              </w:rPr>
            </w:pPr>
          </w:p>
        </w:tc>
        <w:tc>
          <w:tcPr>
            <w:tcW w:w="649" w:type="pct"/>
            <w:noWrap w:val="0"/>
            <w:vAlign w:val="center"/>
          </w:tcPr>
          <w:p w14:paraId="6E55EC3D">
            <w:pPr>
              <w:adjustRightInd w:val="0"/>
              <w:snapToGrid w:val="0"/>
              <w:spacing w:line="360" w:lineRule="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氯化氢、硫酸雾、硝酸雾（以NOx表征）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氨</w:t>
            </w:r>
          </w:p>
        </w:tc>
        <w:tc>
          <w:tcPr>
            <w:tcW w:w="1149" w:type="pct"/>
            <w:noWrap w:val="0"/>
            <w:vAlign w:val="center"/>
          </w:tcPr>
          <w:p w14:paraId="6A294E46">
            <w:pPr>
              <w:adjustRightInd w:val="0"/>
              <w:snapToGrid w:val="0"/>
              <w:spacing w:line="36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通风橱、集气罩+</w:t>
            </w:r>
            <w:r>
              <w:rPr>
                <w:rFonts w:hint="eastAsia" w:ascii="Times New Roman" w:hAnsi="Times New Roman" w:eastAsia="宋体" w:cs="Times New Roman"/>
                <w:color w:val="auto"/>
                <w:sz w:val="21"/>
                <w:szCs w:val="21"/>
                <w:lang w:val="en-US" w:eastAsia="zh-CN"/>
              </w:rPr>
              <w:t>碱液喷淋</w:t>
            </w:r>
            <w:r>
              <w:rPr>
                <w:rFonts w:hint="default" w:ascii="Times New Roman" w:hAnsi="Times New Roman" w:eastAsia="宋体" w:cs="Times New Roman"/>
                <w:color w:val="auto"/>
                <w:sz w:val="21"/>
                <w:szCs w:val="21"/>
              </w:rPr>
              <w:t>装置+</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m高排气筒</w:t>
            </w:r>
          </w:p>
        </w:tc>
        <w:tc>
          <w:tcPr>
            <w:tcW w:w="1687" w:type="pct"/>
            <w:vMerge w:val="continue"/>
            <w:noWrap w:val="0"/>
            <w:vAlign w:val="center"/>
          </w:tcPr>
          <w:p w14:paraId="3511DAC7">
            <w:pPr>
              <w:adjustRightInd w:val="0"/>
              <w:snapToGrid w:val="0"/>
              <w:spacing w:line="360" w:lineRule="auto"/>
              <w:jc w:val="left"/>
              <w:outlineLvl w:val="9"/>
              <w:rPr>
                <w:rFonts w:hint="default" w:ascii="Times New Roman" w:hAnsi="Times New Roman" w:eastAsia="宋体" w:cs="Times New Roman"/>
                <w:color w:val="auto"/>
                <w:sz w:val="21"/>
                <w:szCs w:val="21"/>
              </w:rPr>
            </w:pPr>
          </w:p>
        </w:tc>
      </w:tr>
      <w:tr w14:paraId="278615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5" w:type="pct"/>
            <w:vMerge w:val="continue"/>
            <w:noWrap w:val="0"/>
            <w:vAlign w:val="center"/>
          </w:tcPr>
          <w:p w14:paraId="3BA5E5E8">
            <w:pPr>
              <w:adjustRightInd w:val="0"/>
              <w:snapToGrid w:val="0"/>
              <w:spacing w:line="360" w:lineRule="auto"/>
              <w:jc w:val="center"/>
              <w:outlineLvl w:val="9"/>
              <w:rPr>
                <w:rFonts w:hint="default" w:ascii="Times New Roman" w:hAnsi="Times New Roman" w:eastAsia="宋体" w:cs="Times New Roman"/>
                <w:b/>
                <w:bCs/>
                <w:color w:val="auto"/>
                <w:sz w:val="21"/>
                <w:szCs w:val="21"/>
              </w:rPr>
            </w:pPr>
          </w:p>
        </w:tc>
        <w:tc>
          <w:tcPr>
            <w:tcW w:w="828" w:type="pct"/>
            <w:noWrap w:val="0"/>
            <w:vAlign w:val="center"/>
          </w:tcPr>
          <w:p w14:paraId="3C44CC33">
            <w:pPr>
              <w:adjustRightInd w:val="0"/>
              <w:snapToGrid w:val="0"/>
              <w:spacing w:line="36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实验区</w:t>
            </w:r>
          </w:p>
        </w:tc>
        <w:tc>
          <w:tcPr>
            <w:tcW w:w="649" w:type="pct"/>
            <w:noWrap w:val="0"/>
            <w:vAlign w:val="center"/>
          </w:tcPr>
          <w:p w14:paraId="0A68A7DA">
            <w:pPr>
              <w:adjustRightInd w:val="0"/>
              <w:snapToGrid w:val="0"/>
              <w:spacing w:line="36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甲醇、甲醛</w:t>
            </w:r>
            <w:r>
              <w:rPr>
                <w:rFonts w:hint="default" w:ascii="Times New Roman" w:hAnsi="Times New Roman" w:eastAsia="宋体" w:cs="Times New Roman"/>
                <w:color w:val="auto"/>
                <w:sz w:val="21"/>
                <w:szCs w:val="21"/>
              </w:rPr>
              <w:t>、氯化氢、硫酸雾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氮氧化物</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氨</w:t>
            </w:r>
          </w:p>
        </w:tc>
        <w:tc>
          <w:tcPr>
            <w:tcW w:w="1149" w:type="pct"/>
            <w:noWrap w:val="0"/>
            <w:vAlign w:val="center"/>
          </w:tcPr>
          <w:p w14:paraId="7A0200E5">
            <w:pPr>
              <w:adjustRightInd w:val="0"/>
              <w:snapToGrid w:val="0"/>
              <w:spacing w:line="36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实验室通风、大气扩散</w:t>
            </w:r>
          </w:p>
        </w:tc>
        <w:tc>
          <w:tcPr>
            <w:tcW w:w="1687" w:type="pct"/>
            <w:noWrap w:val="0"/>
            <w:vAlign w:val="center"/>
          </w:tcPr>
          <w:p w14:paraId="18BFD4D9">
            <w:pPr>
              <w:adjustRightInd w:val="0"/>
              <w:snapToGrid w:val="0"/>
              <w:spacing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甲醇、甲醛</w:t>
            </w:r>
            <w:r>
              <w:rPr>
                <w:rFonts w:hint="default" w:ascii="Times New Roman" w:hAnsi="Times New Roman" w:eastAsia="宋体" w:cs="Times New Roman"/>
                <w:color w:val="auto"/>
                <w:sz w:val="21"/>
                <w:szCs w:val="21"/>
              </w:rPr>
              <w:t>、氯化氢、硫酸雾</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氮氧化物</w:t>
            </w:r>
            <w:r>
              <w:rPr>
                <w:rFonts w:hint="default" w:ascii="Times New Roman" w:hAnsi="Times New Roman" w:eastAsia="宋体" w:cs="Times New Roman"/>
                <w:color w:val="auto"/>
                <w:sz w:val="21"/>
                <w:szCs w:val="21"/>
                <w:lang w:val="en-US" w:eastAsia="zh-CN"/>
              </w:rPr>
              <w:t>执行《大气污染物综合排放标准》（GB16297-1996）表2中无组织排放监控浓度限值</w:t>
            </w:r>
            <w:r>
              <w:rPr>
                <w:rFonts w:hint="default" w:ascii="Times New Roman" w:hAnsi="Times New Roman" w:eastAsia="宋体" w:cs="Times New Roman"/>
                <w:color w:val="auto"/>
                <w:sz w:val="21"/>
                <w:szCs w:val="21"/>
              </w:rPr>
              <w:t>及《挥发性有机物无组织排放控制标准》（GB37822-2019）</w:t>
            </w:r>
            <w:r>
              <w:rPr>
                <w:rFonts w:hint="default" w:ascii="Times New Roman" w:hAnsi="Times New Roman" w:eastAsia="宋体" w:cs="Times New Roman"/>
                <w:color w:val="auto"/>
                <w:sz w:val="21"/>
                <w:szCs w:val="21"/>
                <w:lang w:val="en-US" w:eastAsia="zh-CN"/>
              </w:rPr>
              <w:t>；氨执行《恶臭污染物排放标准》(GB14554-1993)表1中二级标准</w:t>
            </w:r>
          </w:p>
        </w:tc>
      </w:tr>
      <w:tr w14:paraId="1C37AF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685" w:type="pct"/>
            <w:noWrap w:val="0"/>
            <w:vAlign w:val="center"/>
          </w:tcPr>
          <w:p w14:paraId="39F62418">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地表水环境</w:t>
            </w:r>
          </w:p>
        </w:tc>
        <w:tc>
          <w:tcPr>
            <w:tcW w:w="828" w:type="pct"/>
            <w:noWrap w:val="0"/>
            <w:vAlign w:val="center"/>
          </w:tcPr>
          <w:p w14:paraId="5549124D">
            <w:pPr>
              <w:adjustRightInd w:val="0"/>
              <w:snapToGrid w:val="0"/>
              <w:spacing w:line="36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实验室清洗废水（不含实验器皿第一道、第二道清洗废水及涉及重金属及剧毒污染物检测的实验废液及清洗废水）</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纯水制备浓水</w:t>
            </w:r>
            <w:r>
              <w:rPr>
                <w:rFonts w:hint="eastAsia" w:cs="Times New Roman"/>
                <w:color w:val="auto"/>
                <w:sz w:val="21"/>
                <w:szCs w:val="21"/>
                <w:lang w:val="en-US" w:eastAsia="zh-CN"/>
              </w:rPr>
              <w:t>（DW001）</w:t>
            </w:r>
          </w:p>
        </w:tc>
        <w:tc>
          <w:tcPr>
            <w:tcW w:w="649" w:type="pct"/>
            <w:noWrap w:val="0"/>
            <w:vAlign w:val="center"/>
          </w:tcPr>
          <w:p w14:paraId="34855377">
            <w:pPr>
              <w:pStyle w:val="9"/>
              <w:tabs>
                <w:tab w:val="left" w:pos="0"/>
                <w:tab w:val="left" w:pos="1260"/>
              </w:tabs>
              <w:adjustRightInd w:val="0"/>
              <w:spacing w:before="0" w:after="0" w:line="360" w:lineRule="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pH、COD、</w:t>
            </w:r>
          </w:p>
          <w:p w14:paraId="63A855E8">
            <w:pPr>
              <w:pStyle w:val="9"/>
              <w:tabs>
                <w:tab w:val="left" w:pos="0"/>
                <w:tab w:val="left" w:pos="1260"/>
              </w:tabs>
              <w:adjustRightInd w:val="0"/>
              <w:spacing w:before="0" w:after="0" w:line="360" w:lineRule="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BOD</w:t>
            </w:r>
            <w:r>
              <w:rPr>
                <w:rFonts w:hint="default" w:ascii="Times New Roman" w:hAnsi="Times New Roman" w:eastAsia="宋体" w:cs="Times New Roman"/>
                <w:bCs/>
                <w:color w:val="auto"/>
                <w:sz w:val="21"/>
                <w:szCs w:val="21"/>
                <w:vertAlign w:val="subscript"/>
              </w:rPr>
              <w:t>5</w:t>
            </w:r>
            <w:r>
              <w:rPr>
                <w:rFonts w:hint="default" w:ascii="Times New Roman" w:hAnsi="Times New Roman" w:eastAsia="宋体" w:cs="Times New Roman"/>
                <w:bCs/>
                <w:color w:val="auto"/>
                <w:sz w:val="21"/>
                <w:szCs w:val="21"/>
              </w:rPr>
              <w:t>、SS、</w:t>
            </w:r>
          </w:p>
          <w:p w14:paraId="17BD7279">
            <w:pPr>
              <w:pStyle w:val="9"/>
              <w:tabs>
                <w:tab w:val="left" w:pos="0"/>
                <w:tab w:val="left" w:pos="1260"/>
              </w:tabs>
              <w:adjustRightInd w:val="0"/>
              <w:spacing w:before="0" w:after="0" w:line="360" w:lineRule="auto"/>
              <w:outlineLvl w:val="9"/>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氨氮、总磷</w:t>
            </w:r>
          </w:p>
          <w:p w14:paraId="58982BB4">
            <w:pPr>
              <w:adjustRightInd w:val="0"/>
              <w:snapToGrid w:val="0"/>
              <w:spacing w:line="360" w:lineRule="auto"/>
              <w:jc w:val="center"/>
              <w:outlineLvl w:val="9"/>
              <w:rPr>
                <w:rFonts w:hint="default" w:ascii="Times New Roman" w:hAnsi="Times New Roman" w:eastAsia="宋体" w:cs="Times New Roman"/>
                <w:color w:val="auto"/>
                <w:sz w:val="21"/>
                <w:szCs w:val="21"/>
              </w:rPr>
            </w:pPr>
          </w:p>
        </w:tc>
        <w:tc>
          <w:tcPr>
            <w:tcW w:w="1149" w:type="pct"/>
            <w:noWrap w:val="0"/>
            <w:vAlign w:val="center"/>
          </w:tcPr>
          <w:p w14:paraId="5956FF52">
            <w:pPr>
              <w:adjustRightInd w:val="0"/>
              <w:snapToGrid w:val="0"/>
              <w:spacing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设置实验区废水专用收集管道及中和沉淀池一个，容积</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3</w:t>
            </w:r>
            <w:r>
              <w:rPr>
                <w:rFonts w:hint="eastAsia" w:ascii="Times New Roman" w:hAnsi="Times New Roman" w:eastAsia="宋体" w:cs="Times New Roman"/>
                <w:color w:val="auto"/>
                <w:sz w:val="21"/>
                <w:szCs w:val="21"/>
                <w:vertAlign w:val="baseline"/>
                <w:lang w:eastAsia="zh-CN"/>
              </w:rPr>
              <w:t>，</w:t>
            </w:r>
            <w:r>
              <w:rPr>
                <w:rFonts w:hint="default" w:ascii="Times New Roman" w:hAnsi="Times New Roman" w:eastAsia="宋体" w:cs="Times New Roman"/>
                <w:color w:val="auto"/>
                <w:sz w:val="21"/>
                <w:szCs w:val="21"/>
              </w:rPr>
              <w:t>池体防腐防渗。</w:t>
            </w:r>
          </w:p>
        </w:tc>
        <w:tc>
          <w:tcPr>
            <w:tcW w:w="1687" w:type="pct"/>
            <w:noWrap w:val="0"/>
            <w:vAlign w:val="center"/>
          </w:tcPr>
          <w:p w14:paraId="451EEC78">
            <w:pPr>
              <w:adjustRightInd w:val="0"/>
              <w:snapToGrid w:val="0"/>
              <w:spacing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中和沉淀池出口水质达《污水排入城镇下水道水质标准》（GB/T31962-2015）表1中A等级标准后排入</w:t>
            </w:r>
            <w:r>
              <w:rPr>
                <w:rFonts w:hint="eastAsia" w:ascii="Times New Roman" w:hAnsi="Times New Roman" w:eastAsia="宋体" w:cs="Times New Roman"/>
                <w:color w:val="auto"/>
                <w:sz w:val="21"/>
                <w:szCs w:val="21"/>
                <w:lang w:val="en-US" w:eastAsia="zh-CN"/>
              </w:rPr>
              <w:t>周边</w:t>
            </w:r>
            <w:r>
              <w:rPr>
                <w:rFonts w:hint="default" w:ascii="Times New Roman" w:hAnsi="Times New Roman" w:eastAsia="宋体" w:cs="Times New Roman"/>
                <w:color w:val="auto"/>
                <w:sz w:val="21"/>
                <w:szCs w:val="21"/>
              </w:rPr>
              <w:t>市政污水管网，进入</w:t>
            </w:r>
            <w:r>
              <w:rPr>
                <w:rFonts w:hint="default" w:ascii="Times New Roman" w:hAnsi="Times New Roman" w:eastAsia="宋体" w:cs="Times New Roman"/>
                <w:color w:val="auto"/>
                <w:sz w:val="21"/>
                <w:szCs w:val="21"/>
                <w:lang w:val="en-US" w:eastAsia="zh-CN"/>
              </w:rPr>
              <w:t>昆明市第</w:t>
            </w:r>
            <w:r>
              <w:rPr>
                <w:rFonts w:hint="eastAsia" w:ascii="Times New Roman" w:hAnsi="Times New Roman" w:eastAsia="宋体" w:cs="Times New Roman"/>
                <w:color w:val="auto"/>
                <w:sz w:val="21"/>
                <w:szCs w:val="21"/>
                <w:lang w:val="en-US" w:eastAsia="zh-CN"/>
              </w:rPr>
              <w:t>十四</w:t>
            </w:r>
            <w:r>
              <w:rPr>
                <w:rFonts w:hint="default" w:ascii="Times New Roman" w:hAnsi="Times New Roman" w:eastAsia="宋体" w:cs="Times New Roman"/>
                <w:color w:val="auto"/>
                <w:sz w:val="21"/>
                <w:szCs w:val="21"/>
              </w:rPr>
              <w:t>水质净化厂。</w:t>
            </w:r>
          </w:p>
        </w:tc>
      </w:tr>
      <w:tr w14:paraId="71E8C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5" w:type="pct"/>
            <w:noWrap w:val="0"/>
            <w:vAlign w:val="center"/>
          </w:tcPr>
          <w:p w14:paraId="5DA5855E">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声环境</w:t>
            </w:r>
          </w:p>
        </w:tc>
        <w:tc>
          <w:tcPr>
            <w:tcW w:w="828" w:type="pct"/>
            <w:noWrap w:val="0"/>
            <w:vAlign w:val="center"/>
          </w:tcPr>
          <w:p w14:paraId="11970044">
            <w:pPr>
              <w:adjustRightInd w:val="0"/>
              <w:snapToGrid w:val="0"/>
              <w:spacing w:line="36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649" w:type="pct"/>
            <w:noWrap w:val="0"/>
            <w:vAlign w:val="center"/>
          </w:tcPr>
          <w:p w14:paraId="3DFF9264">
            <w:pPr>
              <w:adjustRightInd w:val="0"/>
              <w:snapToGrid w:val="0"/>
              <w:spacing w:line="36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149" w:type="pct"/>
            <w:noWrap w:val="0"/>
            <w:vAlign w:val="center"/>
          </w:tcPr>
          <w:p w14:paraId="5485534B">
            <w:pPr>
              <w:adjustRightInd w:val="0"/>
              <w:snapToGrid w:val="0"/>
              <w:spacing w:line="36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墙体阻隔、距离衰减、风机减震</w:t>
            </w:r>
          </w:p>
        </w:tc>
        <w:tc>
          <w:tcPr>
            <w:tcW w:w="1687" w:type="pct"/>
            <w:noWrap w:val="0"/>
            <w:vAlign w:val="center"/>
          </w:tcPr>
          <w:p w14:paraId="14D32EA2">
            <w:pPr>
              <w:adjustRightInd w:val="0"/>
              <w:snapToGrid w:val="0"/>
              <w:spacing w:line="360" w:lineRule="auto"/>
              <w:jc w:val="center"/>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营运期厂区北厂界、西厂界、东厂界噪声执行</w:t>
            </w:r>
            <w:r>
              <w:rPr>
                <w:rFonts w:hint="default" w:ascii="Times New Roman" w:hAnsi="Times New Roman" w:eastAsia="宋体" w:cs="Times New Roman"/>
                <w:color w:val="auto"/>
                <w:sz w:val="21"/>
                <w:szCs w:val="21"/>
              </w:rPr>
              <w:t>《工业企业厂界环境噪声排放标准》（GB12348-2008）中</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类标准值要求</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南厂界执行</w:t>
            </w:r>
            <w:r>
              <w:rPr>
                <w:rFonts w:hint="default" w:ascii="Times New Roman" w:hAnsi="Times New Roman" w:eastAsia="宋体" w:cs="Times New Roman"/>
                <w:color w:val="auto"/>
                <w:sz w:val="21"/>
                <w:szCs w:val="21"/>
              </w:rPr>
              <w:t>《工业企业厂界环境噪声排放标准》（GB12348-2008）中</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类标准值要求</w:t>
            </w:r>
          </w:p>
        </w:tc>
      </w:tr>
      <w:tr w14:paraId="699486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5" w:type="pct"/>
            <w:noWrap w:val="0"/>
            <w:vAlign w:val="center"/>
          </w:tcPr>
          <w:p w14:paraId="3091085C">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电磁辐射</w:t>
            </w:r>
          </w:p>
        </w:tc>
        <w:tc>
          <w:tcPr>
            <w:tcW w:w="828" w:type="pct"/>
            <w:noWrap w:val="0"/>
            <w:vAlign w:val="center"/>
          </w:tcPr>
          <w:p w14:paraId="5A0AA5A1">
            <w:pPr>
              <w:adjustRightInd w:val="0"/>
              <w:snapToGrid w:val="0"/>
              <w:spacing w:line="36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49" w:type="pct"/>
            <w:noWrap w:val="0"/>
            <w:vAlign w:val="center"/>
          </w:tcPr>
          <w:p w14:paraId="4AA2DD22">
            <w:pPr>
              <w:adjustRightInd w:val="0"/>
              <w:snapToGrid w:val="0"/>
              <w:spacing w:line="36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149" w:type="pct"/>
            <w:noWrap w:val="0"/>
            <w:vAlign w:val="center"/>
          </w:tcPr>
          <w:p w14:paraId="1919268B">
            <w:pPr>
              <w:adjustRightInd w:val="0"/>
              <w:snapToGrid w:val="0"/>
              <w:spacing w:line="36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687" w:type="pct"/>
            <w:noWrap w:val="0"/>
            <w:vAlign w:val="center"/>
          </w:tcPr>
          <w:p w14:paraId="21CED90E">
            <w:pPr>
              <w:adjustRightInd w:val="0"/>
              <w:snapToGrid w:val="0"/>
              <w:spacing w:line="360" w:lineRule="auto"/>
              <w:jc w:val="center"/>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38D1F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5" w:type="pct"/>
            <w:noWrap w:val="0"/>
            <w:vAlign w:val="center"/>
          </w:tcPr>
          <w:p w14:paraId="604779AC">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固体废物</w:t>
            </w:r>
          </w:p>
        </w:tc>
        <w:tc>
          <w:tcPr>
            <w:tcW w:w="4314" w:type="pct"/>
            <w:gridSpan w:val="4"/>
            <w:noWrap w:val="0"/>
            <w:vAlign w:val="center"/>
          </w:tcPr>
          <w:p w14:paraId="58DBF4DC">
            <w:pPr>
              <w:adjustRightInd w:val="0"/>
              <w:snapToGrid w:val="0"/>
              <w:spacing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①生活垃圾经</w:t>
            </w:r>
            <w:r>
              <w:rPr>
                <w:rFonts w:hint="eastAsia" w:ascii="Times New Roman" w:hAnsi="Times New Roman" w:eastAsia="宋体" w:cs="Times New Roman"/>
                <w:color w:val="auto"/>
                <w:sz w:val="21"/>
                <w:szCs w:val="21"/>
                <w:lang w:val="en-US" w:eastAsia="zh-CN"/>
              </w:rPr>
              <w:t>实验室</w:t>
            </w:r>
            <w:r>
              <w:rPr>
                <w:rFonts w:hint="default" w:ascii="Times New Roman" w:hAnsi="Times New Roman" w:eastAsia="宋体" w:cs="Times New Roman"/>
                <w:color w:val="auto"/>
                <w:sz w:val="21"/>
                <w:szCs w:val="21"/>
              </w:rPr>
              <w:t>内设置的生活垃圾桶收集后，委托环卫部门定期清运处置。</w:t>
            </w:r>
          </w:p>
          <w:p w14:paraId="45A8C31C">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②</w:t>
            </w:r>
            <w:r>
              <w:rPr>
                <w:rFonts w:hint="default" w:ascii="Times New Roman" w:hAnsi="Times New Roman" w:eastAsia="宋体" w:cs="Times New Roman"/>
                <w:color w:val="auto"/>
                <w:lang w:val="en-US" w:eastAsia="zh-CN"/>
              </w:rPr>
              <w:t>实验室一般固体废物</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破碎玻璃和废包装品，经分类收集，分类处理，可回收部分卖给废品收购站进行回收利用，不可回收部分同生活垃圾一起处理；废培养基</w:t>
            </w:r>
            <w:r>
              <w:rPr>
                <w:rFonts w:hint="eastAsia" w:ascii="Times New Roman" w:hAnsi="Times New Roman" w:eastAsia="宋体" w:cs="Times New Roman"/>
                <w:color w:val="auto"/>
                <w:lang w:val="en-US" w:eastAsia="zh-CN"/>
              </w:rPr>
              <w:t>及废弃一次性手套、口罩等一次性用品</w:t>
            </w:r>
            <w:r>
              <w:rPr>
                <w:rFonts w:hint="default" w:ascii="Times New Roman" w:hAnsi="Times New Roman" w:eastAsia="宋体" w:cs="Times New Roman"/>
                <w:color w:val="auto"/>
                <w:lang w:val="en-US" w:eastAsia="zh-CN"/>
              </w:rPr>
              <w:t>统一收集并用高温灭菌锅进行灭菌灭活处理后，同生活垃圾一起处理；超纯水机设备更换的废过滤膜、废活性炭由更换厂家直接回收处置。</w:t>
            </w:r>
          </w:p>
          <w:p w14:paraId="54DE90DD">
            <w:pPr>
              <w:adjustRightInd w:val="0"/>
              <w:snapToGrid w:val="0"/>
              <w:spacing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lang w:val="en-US" w:eastAsia="zh-CN"/>
              </w:rPr>
              <w:t>③危险废物</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项目产生的危险废物主要有报废、失效、过期的化学试剂、化学品，实验废液</w:t>
            </w:r>
            <w:r>
              <w:rPr>
                <w:rFonts w:hint="eastAsia" w:ascii="Times New Roman" w:hAnsi="Times New Roman" w:eastAsia="宋体" w:cs="Times New Roman"/>
                <w:color w:val="auto"/>
                <w:lang w:val="en-US" w:eastAsia="zh-CN"/>
              </w:rPr>
              <w:t>、废活性炭、</w:t>
            </w:r>
            <w:r>
              <w:rPr>
                <w:rFonts w:hint="default" w:ascii="Times New Roman" w:hAnsi="Times New Roman" w:eastAsia="宋体" w:cs="Times New Roman"/>
                <w:color w:val="auto"/>
                <w:lang w:val="en-US" w:eastAsia="zh-CN"/>
              </w:rPr>
              <w:t>实验室废试剂包装、中和沉淀池残渣</w:t>
            </w:r>
            <w:r>
              <w:rPr>
                <w:rFonts w:hint="eastAsia" w:ascii="Times New Roman" w:hAnsi="Times New Roman" w:eastAsia="宋体" w:cs="Times New Roman"/>
                <w:color w:val="auto"/>
                <w:lang w:val="en-US" w:eastAsia="zh-CN"/>
              </w:rPr>
              <w:t>、废紫外灯管、喷淋塔沉渣等</w:t>
            </w:r>
            <w:r>
              <w:rPr>
                <w:rFonts w:hint="default" w:ascii="Times New Roman" w:hAnsi="Times New Roman" w:eastAsia="宋体" w:cs="Times New Roman"/>
                <w:color w:val="auto"/>
                <w:lang w:val="en-US" w:eastAsia="zh-CN"/>
              </w:rPr>
              <w:t>。产生的危险废物暂存于危险废物暂存间内，定期委托有资质单位清运处置</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sz w:val="21"/>
                <w:szCs w:val="21"/>
              </w:rPr>
              <w:t>并严格按照危险废物转移联单相关要求建立危废转移联单及台账。</w:t>
            </w:r>
          </w:p>
          <w:p w14:paraId="18D12C4A">
            <w:pPr>
              <w:adjustRightInd w:val="0"/>
              <w:snapToGrid w:val="0"/>
              <w:spacing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④危险废物存放及管理：</w:t>
            </w:r>
          </w:p>
          <w:p w14:paraId="2AE4AD6A">
            <w:pPr>
              <w:adjustRightInd w:val="0"/>
              <w:snapToGrid w:val="0"/>
              <w:spacing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危废暂存间地面做防渗处理，防渗层采用2mm厚高密度聚乙烯，或至少2mm厚的其他人工材料，渗透系数≤10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w:t>
            </w:r>
          </w:p>
          <w:p w14:paraId="2EC6C64E">
            <w:pPr>
              <w:adjustRightInd w:val="0"/>
              <w:snapToGrid w:val="0"/>
              <w:spacing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制定专人管理，不得将不相容的废物混合或合并存放。</w:t>
            </w:r>
          </w:p>
          <w:p w14:paraId="00E7A78D">
            <w:pPr>
              <w:adjustRightInd w:val="0"/>
              <w:snapToGrid w:val="0"/>
              <w:spacing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做好危险废物情况记录，注明名称、来源、数量等。</w:t>
            </w:r>
          </w:p>
          <w:p w14:paraId="0BADC2A5">
            <w:pPr>
              <w:adjustRightInd w:val="0"/>
              <w:snapToGrid w:val="0"/>
              <w:spacing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存放危废的容器需按规定设置警示标志。</w:t>
            </w:r>
          </w:p>
          <w:p w14:paraId="45516563">
            <w:pPr>
              <w:adjustRightInd w:val="0"/>
              <w:snapToGrid w:val="0"/>
              <w:spacing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定期对贮存危险废物的容器及设施进行枪柄，发现破损应及时采取措施清理更换。</w:t>
            </w:r>
          </w:p>
        </w:tc>
      </w:tr>
      <w:tr w14:paraId="68166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5" w:type="pct"/>
            <w:noWrap w:val="0"/>
            <w:vAlign w:val="center"/>
          </w:tcPr>
          <w:p w14:paraId="11EF908F">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土壤及地下水污染防治措施</w:t>
            </w:r>
          </w:p>
        </w:tc>
        <w:tc>
          <w:tcPr>
            <w:tcW w:w="4314" w:type="pct"/>
            <w:gridSpan w:val="4"/>
            <w:noWrap w:val="0"/>
            <w:vAlign w:val="center"/>
          </w:tcPr>
          <w:p w14:paraId="76C72EB7">
            <w:pPr>
              <w:adjustRightInd w:val="0"/>
              <w:snapToGrid w:val="0"/>
              <w:spacing w:line="36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危废暂存间、试剂室</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危化品室</w:t>
            </w:r>
            <w:r>
              <w:rPr>
                <w:rFonts w:hint="default" w:ascii="Times New Roman" w:hAnsi="Times New Roman" w:eastAsia="宋体" w:cs="Times New Roman"/>
                <w:color w:val="auto"/>
                <w:sz w:val="21"/>
                <w:szCs w:val="21"/>
              </w:rPr>
              <w:t>所处地面均进行重点防渗处理。</w:t>
            </w:r>
          </w:p>
        </w:tc>
      </w:tr>
      <w:tr w14:paraId="7424C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5" w:type="pct"/>
            <w:noWrap w:val="0"/>
            <w:vAlign w:val="center"/>
          </w:tcPr>
          <w:p w14:paraId="0709824E">
            <w:pPr>
              <w:adjustRightInd w:val="0"/>
              <w:snapToGrid w:val="0"/>
              <w:spacing w:line="360" w:lineRule="auto"/>
              <w:jc w:val="center"/>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生态保护措施</w:t>
            </w:r>
          </w:p>
        </w:tc>
        <w:tc>
          <w:tcPr>
            <w:tcW w:w="4314" w:type="pct"/>
            <w:gridSpan w:val="4"/>
            <w:noWrap w:val="0"/>
            <w:vAlign w:val="center"/>
          </w:tcPr>
          <w:p w14:paraId="48C29223">
            <w:pPr>
              <w:adjustRightInd w:val="0"/>
              <w:snapToGrid w:val="0"/>
              <w:spacing w:line="360" w:lineRule="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项目所在区域为城市建成区，无天然植被。目前，区域内植被为人工绿化草坪和树木。</w:t>
            </w:r>
          </w:p>
        </w:tc>
      </w:tr>
      <w:tr w14:paraId="6A88F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5" w:type="pct"/>
            <w:noWrap w:val="0"/>
            <w:vAlign w:val="center"/>
          </w:tcPr>
          <w:p w14:paraId="04CB3A3C">
            <w:pPr>
              <w:adjustRightInd w:val="0"/>
              <w:snapToGrid w:val="0"/>
              <w:spacing w:line="360" w:lineRule="auto"/>
              <w:jc w:val="center"/>
              <w:outlineLvl w:val="9"/>
              <w:rPr>
                <w:rFonts w:hint="default" w:ascii="Times New Roman" w:hAnsi="Times New Roman" w:eastAsia="宋体" w:cs="Times New Roman"/>
                <w:b/>
                <w:bCs/>
                <w:color w:val="auto"/>
                <w:spacing w:val="-8"/>
                <w:sz w:val="21"/>
                <w:szCs w:val="21"/>
              </w:rPr>
            </w:pPr>
            <w:r>
              <w:rPr>
                <w:rFonts w:hint="default" w:ascii="Times New Roman" w:hAnsi="Times New Roman" w:eastAsia="宋体" w:cs="Times New Roman"/>
                <w:b/>
                <w:bCs/>
                <w:color w:val="auto"/>
                <w:spacing w:val="-8"/>
                <w:sz w:val="21"/>
                <w:szCs w:val="21"/>
              </w:rPr>
              <w:t>环境风险</w:t>
            </w:r>
          </w:p>
          <w:p w14:paraId="25ED030F">
            <w:pPr>
              <w:adjustRightInd w:val="0"/>
              <w:snapToGrid w:val="0"/>
              <w:spacing w:line="360" w:lineRule="auto"/>
              <w:jc w:val="center"/>
              <w:outlineLvl w:val="9"/>
              <w:rPr>
                <w:rFonts w:hint="default" w:ascii="Times New Roman" w:hAnsi="Times New Roman" w:eastAsia="宋体" w:cs="Times New Roman"/>
                <w:b/>
                <w:bCs/>
                <w:color w:val="auto"/>
                <w:spacing w:val="-8"/>
                <w:sz w:val="21"/>
                <w:szCs w:val="21"/>
              </w:rPr>
            </w:pPr>
            <w:r>
              <w:rPr>
                <w:rFonts w:hint="default" w:ascii="Times New Roman" w:hAnsi="Times New Roman" w:eastAsia="宋体" w:cs="Times New Roman"/>
                <w:b/>
                <w:bCs/>
                <w:color w:val="auto"/>
                <w:spacing w:val="-8"/>
                <w:sz w:val="21"/>
                <w:szCs w:val="21"/>
              </w:rPr>
              <w:t>防范措施</w:t>
            </w:r>
          </w:p>
        </w:tc>
        <w:tc>
          <w:tcPr>
            <w:tcW w:w="4314" w:type="pct"/>
            <w:gridSpan w:val="4"/>
            <w:noWrap w:val="0"/>
            <w:vAlign w:val="center"/>
          </w:tcPr>
          <w:p w14:paraId="169748B7">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kern w:val="0"/>
                <w:sz w:val="21"/>
                <w:szCs w:val="21"/>
                <w:lang w:val="en-US" w:eastAsia="zh-CN" w:bidi="ar"/>
              </w:rPr>
              <w:t>化学试剂泄漏风险防范措施</w:t>
            </w:r>
          </w:p>
          <w:p w14:paraId="74BE26DC">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对于化学试剂的购买、储存、保管、使用等需按照相关规定管理执行，实验药剂应根据需要购买，尽量减少危险化学品的储存量。本次评价提出如下风险防范措施要求。</w:t>
            </w:r>
          </w:p>
          <w:p w14:paraId="0EE4D953">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①危险化学试剂、</w:t>
            </w:r>
            <w:r>
              <w:rPr>
                <w:rFonts w:hint="default" w:ascii="Times New Roman" w:hAnsi="Times New Roman" w:eastAsia="宋体" w:cs="Times New Roman"/>
                <w:color w:val="auto"/>
                <w:sz w:val="21"/>
                <w:szCs w:val="21"/>
              </w:rPr>
              <w:t>危险化学品必须储存在</w:t>
            </w:r>
            <w:r>
              <w:rPr>
                <w:rFonts w:hint="default" w:ascii="Times New Roman" w:hAnsi="Times New Roman" w:eastAsia="宋体" w:cs="Times New Roman"/>
                <w:color w:val="auto"/>
                <w:sz w:val="21"/>
                <w:szCs w:val="21"/>
                <w:lang w:val="en-US" w:eastAsia="zh-CN"/>
              </w:rPr>
              <w:t>危化品室</w:t>
            </w:r>
            <w:r>
              <w:rPr>
                <w:rFonts w:hint="default" w:ascii="Times New Roman" w:hAnsi="Times New Roman" w:eastAsia="宋体" w:cs="Times New Roman"/>
                <w:color w:val="auto"/>
                <w:sz w:val="21"/>
                <w:szCs w:val="21"/>
              </w:rPr>
              <w:t>内，储存方式、方法与储存数量必须遵守国家规定，并由专人管理</w:t>
            </w:r>
            <w:r>
              <w:rPr>
                <w:rFonts w:hint="default" w:ascii="Times New Roman" w:hAnsi="Times New Roman" w:eastAsia="宋体" w:cs="Times New Roman"/>
                <w:color w:val="auto"/>
                <w:sz w:val="21"/>
                <w:szCs w:val="21"/>
                <w:lang w:val="en-US" w:eastAsia="zh-CN"/>
              </w:rPr>
              <w:t xml:space="preserve">。 </w:t>
            </w:r>
          </w:p>
          <w:p w14:paraId="12BCB16C">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②</w:t>
            </w:r>
            <w:r>
              <w:rPr>
                <w:rFonts w:hint="default" w:ascii="Times New Roman" w:hAnsi="Times New Roman" w:eastAsia="宋体" w:cs="Times New Roman"/>
                <w:color w:val="auto"/>
                <w:sz w:val="21"/>
                <w:szCs w:val="21"/>
                <w:lang w:val="en-US" w:eastAsia="zh-CN"/>
              </w:rPr>
              <w:t>危化品室</w:t>
            </w:r>
            <w:r>
              <w:rPr>
                <w:rFonts w:hint="default" w:ascii="Times New Roman" w:hAnsi="Times New Roman" w:eastAsia="宋体" w:cs="Times New Roman"/>
                <w:color w:val="auto"/>
                <w:sz w:val="21"/>
                <w:szCs w:val="21"/>
              </w:rPr>
              <w:t>应当符合国家标准对安全、消防的要求，设置明显标志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试剂室的储存设备和安全设施应当定期检查，一旦出现安全隐患，立即排除</w:t>
            </w:r>
            <w:r>
              <w:rPr>
                <w:rFonts w:hint="default" w:ascii="Times New Roman" w:hAnsi="Times New Roman" w:eastAsia="宋体" w:cs="Times New Roman"/>
                <w:color w:val="auto"/>
                <w:sz w:val="21"/>
                <w:szCs w:val="21"/>
                <w:lang w:eastAsia="zh-CN"/>
              </w:rPr>
              <w:t>。</w:t>
            </w:r>
          </w:p>
          <w:p w14:paraId="3E5A455D">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③实验室化学品以酸、碱、有机物的分类原则分开储存，切忌混储</w:t>
            </w:r>
            <w:r>
              <w:rPr>
                <w:rFonts w:hint="default" w:ascii="Times New Roman" w:hAnsi="Times New Roman" w:eastAsia="宋体" w:cs="Times New Roman"/>
                <w:color w:val="auto"/>
                <w:sz w:val="21"/>
                <w:szCs w:val="21"/>
                <w:lang w:val="en-US" w:eastAsia="zh-CN"/>
              </w:rPr>
              <w:t xml:space="preserve">。 </w:t>
            </w:r>
          </w:p>
          <w:p w14:paraId="51C8CED5">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④</w:t>
            </w:r>
            <w:r>
              <w:rPr>
                <w:rFonts w:hint="default" w:ascii="Times New Roman" w:hAnsi="Times New Roman" w:eastAsia="宋体" w:cs="Times New Roman"/>
                <w:color w:val="auto"/>
                <w:sz w:val="21"/>
                <w:szCs w:val="21"/>
              </w:rPr>
              <w:t>试剂室应该备有合适的材料收容泄漏物</w:t>
            </w:r>
            <w:r>
              <w:rPr>
                <w:rFonts w:hint="default" w:ascii="Times New Roman" w:hAnsi="Times New Roman" w:eastAsia="宋体" w:cs="Times New Roman"/>
                <w:color w:val="auto"/>
                <w:sz w:val="21"/>
                <w:szCs w:val="21"/>
                <w:lang w:val="en-US" w:eastAsia="zh-CN"/>
              </w:rPr>
              <w:t xml:space="preserve">。 </w:t>
            </w:r>
          </w:p>
          <w:p w14:paraId="3328F91F">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⑤</w:t>
            </w:r>
            <w:r>
              <w:rPr>
                <w:rFonts w:hint="default" w:ascii="Times New Roman" w:hAnsi="Times New Roman" w:eastAsia="宋体" w:cs="Times New Roman"/>
                <w:color w:val="auto"/>
                <w:sz w:val="21"/>
                <w:szCs w:val="21"/>
              </w:rPr>
              <w:t>储存不同化学品时需参考对应的《化学品安全技术说明书》要求，落实好安全、环保防范措施</w:t>
            </w:r>
            <w:r>
              <w:rPr>
                <w:rFonts w:hint="default" w:ascii="Times New Roman" w:hAnsi="Times New Roman" w:eastAsia="宋体" w:cs="Times New Roman"/>
                <w:color w:val="auto"/>
                <w:sz w:val="21"/>
                <w:szCs w:val="21"/>
                <w:lang w:val="en-US" w:eastAsia="zh-CN"/>
              </w:rPr>
              <w:t xml:space="preserve">。 </w:t>
            </w:r>
          </w:p>
          <w:p w14:paraId="33AAC96B">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⑥危险化学试剂、</w:t>
            </w:r>
            <w:r>
              <w:rPr>
                <w:rFonts w:hint="default" w:ascii="Times New Roman" w:hAnsi="Times New Roman" w:eastAsia="宋体" w:cs="Times New Roman"/>
                <w:color w:val="auto"/>
                <w:sz w:val="21"/>
                <w:szCs w:val="21"/>
              </w:rPr>
              <w:t>危险化学品由专人负责保管，采取使用人领用登记制度，不得向与实验室无关人员外借、使用</w:t>
            </w:r>
            <w:r>
              <w:rPr>
                <w:rFonts w:hint="default" w:ascii="Times New Roman" w:hAnsi="Times New Roman" w:eastAsia="宋体" w:cs="Times New Roman"/>
                <w:color w:val="auto"/>
                <w:sz w:val="21"/>
                <w:szCs w:val="21"/>
                <w:lang w:val="en-US" w:eastAsia="zh-CN"/>
              </w:rPr>
              <w:t xml:space="preserve">。 </w:t>
            </w:r>
          </w:p>
          <w:p w14:paraId="28656FF3">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⑦危险化学试剂、</w:t>
            </w:r>
            <w:r>
              <w:rPr>
                <w:rFonts w:hint="default" w:ascii="Times New Roman" w:hAnsi="Times New Roman" w:eastAsia="宋体" w:cs="Times New Roman"/>
                <w:color w:val="auto"/>
                <w:sz w:val="21"/>
                <w:szCs w:val="21"/>
              </w:rPr>
              <w:t>危险化学品必须附有和危险化学品完全一致的化学品安全技术说明书</w:t>
            </w:r>
            <w:r>
              <w:rPr>
                <w:rFonts w:hint="default" w:ascii="Times New Roman" w:hAnsi="Times New Roman" w:eastAsia="宋体" w:cs="Times New Roman"/>
                <w:color w:val="auto"/>
                <w:sz w:val="21"/>
                <w:szCs w:val="21"/>
                <w:lang w:val="en-US" w:eastAsia="zh-CN"/>
              </w:rPr>
              <w:t xml:space="preserve">。 </w:t>
            </w:r>
          </w:p>
          <w:p w14:paraId="2A581770">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val="en-US" w:eastAsia="zh-CN" w:bidi="ar"/>
              </w:rPr>
              <w:t>⑧</w:t>
            </w:r>
            <w:r>
              <w:rPr>
                <w:rFonts w:hint="default" w:ascii="Times New Roman" w:hAnsi="Times New Roman" w:eastAsia="宋体" w:cs="Times New Roman"/>
                <w:color w:val="auto"/>
                <w:sz w:val="21"/>
                <w:szCs w:val="21"/>
              </w:rPr>
              <w:t>储存、使用</w:t>
            </w:r>
            <w:r>
              <w:rPr>
                <w:rFonts w:hint="default" w:ascii="Times New Roman" w:hAnsi="Times New Roman" w:eastAsia="宋体" w:cs="Times New Roman"/>
                <w:color w:val="auto"/>
                <w:kern w:val="0"/>
                <w:sz w:val="21"/>
                <w:szCs w:val="21"/>
                <w:lang w:val="en-US" w:eastAsia="zh-CN" w:bidi="ar"/>
              </w:rPr>
              <w:t>危险化学试剂、</w:t>
            </w:r>
            <w:r>
              <w:rPr>
                <w:rFonts w:hint="default" w:ascii="Times New Roman" w:hAnsi="Times New Roman" w:eastAsia="宋体" w:cs="Times New Roman"/>
                <w:color w:val="auto"/>
                <w:sz w:val="21"/>
                <w:szCs w:val="21"/>
              </w:rPr>
              <w:t>危险化学品时，应当根据危险化学品的</w:t>
            </w:r>
            <w:r>
              <w:rPr>
                <w:rFonts w:hint="default" w:ascii="Times New Roman" w:hAnsi="Times New Roman" w:eastAsia="宋体" w:cs="Times New Roman"/>
                <w:color w:val="auto"/>
                <w:sz w:val="21"/>
                <w:szCs w:val="21"/>
                <w:lang w:eastAsia="zh-CN"/>
              </w:rPr>
              <w:t>种类</w:t>
            </w:r>
            <w:r>
              <w:rPr>
                <w:rFonts w:hint="default" w:ascii="Times New Roman" w:hAnsi="Times New Roman" w:eastAsia="宋体" w:cs="Times New Roman"/>
                <w:color w:val="auto"/>
                <w:sz w:val="21"/>
                <w:szCs w:val="21"/>
              </w:rPr>
              <w:t>、特性，在作业场所设置相应的通风、防晒、调温、防火、灭火、防爆、防毒或者隔离操作等安全设施、设备，并按照国家标准和相关规定进行维护、保养，保证符合安全运行</w:t>
            </w:r>
            <w:r>
              <w:rPr>
                <w:rFonts w:hint="default" w:ascii="Times New Roman" w:hAnsi="Times New Roman" w:eastAsia="宋体" w:cs="Times New Roman"/>
                <w:color w:val="auto"/>
                <w:sz w:val="21"/>
                <w:szCs w:val="21"/>
                <w:lang w:eastAsia="zh-CN"/>
              </w:rPr>
              <w:t>要求</w:t>
            </w:r>
            <w:r>
              <w:rPr>
                <w:rFonts w:hint="default" w:ascii="Times New Roman" w:hAnsi="Times New Roman" w:eastAsia="宋体" w:cs="Times New Roman"/>
                <w:color w:val="auto"/>
                <w:sz w:val="21"/>
                <w:szCs w:val="21"/>
                <w:lang w:val="en-US" w:eastAsia="zh-CN"/>
              </w:rPr>
              <w:t xml:space="preserve">。 </w:t>
            </w:r>
          </w:p>
          <w:p w14:paraId="4E0EB60D">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⑨</w:t>
            </w:r>
            <w:r>
              <w:rPr>
                <w:rFonts w:hint="default" w:ascii="Times New Roman" w:hAnsi="Times New Roman" w:eastAsia="宋体" w:cs="Times New Roman"/>
                <w:color w:val="auto"/>
                <w:sz w:val="21"/>
                <w:szCs w:val="21"/>
              </w:rPr>
              <w:t>超过有效期的</w:t>
            </w:r>
            <w:r>
              <w:rPr>
                <w:rFonts w:hint="default" w:ascii="Times New Roman" w:hAnsi="Times New Roman" w:eastAsia="宋体" w:cs="Times New Roman"/>
                <w:color w:val="auto"/>
                <w:kern w:val="0"/>
                <w:sz w:val="21"/>
                <w:szCs w:val="21"/>
                <w:lang w:val="en-US" w:eastAsia="zh-CN" w:bidi="ar"/>
              </w:rPr>
              <w:t>危险化学试剂、</w:t>
            </w:r>
            <w:r>
              <w:rPr>
                <w:rFonts w:hint="default" w:ascii="Times New Roman" w:hAnsi="Times New Roman" w:eastAsia="宋体" w:cs="Times New Roman"/>
                <w:color w:val="auto"/>
                <w:sz w:val="21"/>
                <w:szCs w:val="21"/>
              </w:rPr>
              <w:t>危险化学品，应依照固体废物污染环境防治法和国家有关规定执行，由实验室负责人按照“危险废物及其包装物管理”进行处理，并负责清洗容器</w:t>
            </w:r>
            <w:r>
              <w:rPr>
                <w:rFonts w:hint="default" w:ascii="Times New Roman" w:hAnsi="Times New Roman" w:eastAsia="宋体" w:cs="Times New Roman"/>
                <w:color w:val="auto"/>
                <w:sz w:val="21"/>
                <w:szCs w:val="21"/>
                <w:lang w:eastAsia="zh-CN"/>
              </w:rPr>
              <w:t>。</w:t>
            </w:r>
          </w:p>
          <w:p w14:paraId="63872454">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⑩</w:t>
            </w:r>
            <w:r>
              <w:rPr>
                <w:rFonts w:hint="default" w:ascii="Times New Roman" w:hAnsi="Times New Roman" w:eastAsia="宋体" w:cs="Times New Roman"/>
                <w:color w:val="auto"/>
                <w:sz w:val="21"/>
                <w:szCs w:val="21"/>
              </w:rPr>
              <w:t>在使用</w:t>
            </w:r>
            <w:r>
              <w:rPr>
                <w:rFonts w:hint="default" w:ascii="Times New Roman" w:hAnsi="Times New Roman" w:eastAsia="宋体" w:cs="Times New Roman"/>
                <w:color w:val="auto"/>
                <w:kern w:val="0"/>
                <w:sz w:val="21"/>
                <w:szCs w:val="21"/>
                <w:lang w:val="en-US" w:eastAsia="zh-CN" w:bidi="ar"/>
              </w:rPr>
              <w:t>危险化学试剂、</w:t>
            </w:r>
            <w:r>
              <w:rPr>
                <w:rFonts w:hint="default" w:ascii="Times New Roman" w:hAnsi="Times New Roman" w:eastAsia="宋体" w:cs="Times New Roman"/>
                <w:color w:val="auto"/>
                <w:sz w:val="21"/>
                <w:szCs w:val="21"/>
              </w:rPr>
              <w:t>危险化学品过程中出现操作人员不慎</w:t>
            </w:r>
            <w:r>
              <w:rPr>
                <w:rFonts w:hint="default" w:ascii="Times New Roman" w:hAnsi="Times New Roman" w:eastAsia="宋体" w:cs="Times New Roman"/>
                <w:color w:val="auto"/>
                <w:sz w:val="21"/>
                <w:szCs w:val="21"/>
                <w:lang w:eastAsia="zh-CN"/>
              </w:rPr>
              <w:t>洒落</w:t>
            </w:r>
            <w:r>
              <w:rPr>
                <w:rFonts w:hint="default" w:ascii="Times New Roman" w:hAnsi="Times New Roman" w:eastAsia="宋体" w:cs="Times New Roman"/>
                <w:color w:val="auto"/>
                <w:sz w:val="21"/>
                <w:szCs w:val="21"/>
              </w:rPr>
              <w:t>、泄漏情况，应根据撒落化学品的性质采取不同的处置措施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由于实验室储存量有限，不会发生大量泄漏情况，例如酸性化学品泄漏，可用沙土或生石灰吸附，然后用清水冲洗；吸附品及冲洗水均按危废处置，对环境不会造成大的影响。</w:t>
            </w:r>
          </w:p>
          <w:p w14:paraId="1CF1A81E">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（2）危险废物</w:t>
            </w:r>
            <w:r>
              <w:rPr>
                <w:rFonts w:hint="default" w:ascii="Times New Roman" w:hAnsi="Times New Roman" w:eastAsia="宋体" w:cs="Times New Roman"/>
                <w:color w:val="auto"/>
                <w:kern w:val="0"/>
                <w:sz w:val="21"/>
                <w:szCs w:val="21"/>
                <w:lang w:val="en-US" w:eastAsia="zh-CN" w:bidi="ar"/>
              </w:rPr>
              <w:t>泄漏风险防范措施</w:t>
            </w:r>
          </w:p>
          <w:p w14:paraId="7B885448">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①</w:t>
            </w:r>
            <w:r>
              <w:rPr>
                <w:rFonts w:hint="default" w:ascii="Times New Roman" w:hAnsi="Times New Roman" w:eastAsia="宋体" w:cs="Times New Roman"/>
                <w:color w:val="auto"/>
                <w:sz w:val="21"/>
                <w:szCs w:val="21"/>
              </w:rPr>
              <w:t>各类危险废物应分类存放，液体危险废物需由密闭的专用容器收集存储，固体危险废物需由加盖的储存桶收集，</w:t>
            </w:r>
            <w:r>
              <w:rPr>
                <w:rFonts w:hint="default" w:ascii="Times New Roman" w:hAnsi="Times New Roman" w:eastAsia="宋体" w:cs="Times New Roman"/>
                <w:color w:val="auto"/>
                <w:sz w:val="21"/>
                <w:szCs w:val="21"/>
                <w:lang w:eastAsia="zh-CN"/>
              </w:rPr>
              <w:t>危废暂存间</w:t>
            </w:r>
            <w:r>
              <w:rPr>
                <w:rFonts w:hint="default" w:ascii="Times New Roman" w:hAnsi="Times New Roman" w:eastAsia="宋体" w:cs="Times New Roman"/>
                <w:color w:val="auto"/>
                <w:sz w:val="21"/>
                <w:szCs w:val="21"/>
              </w:rPr>
              <w:t>按照《危险废物贮存污染控制标准》（GB18597-2023）</w:t>
            </w:r>
            <w:r>
              <w:rPr>
                <w:rFonts w:hint="default" w:ascii="Times New Roman" w:hAnsi="Times New Roman" w:eastAsia="宋体" w:cs="Times New Roman"/>
                <w:color w:val="auto"/>
                <w:sz w:val="21"/>
                <w:szCs w:val="21"/>
                <w:lang w:val="en-US" w:eastAsia="zh-CN"/>
              </w:rPr>
              <w:t>要求建设</w:t>
            </w:r>
            <w:r>
              <w:rPr>
                <w:rFonts w:hint="default" w:ascii="Times New Roman" w:hAnsi="Times New Roman" w:eastAsia="宋体" w:cs="Times New Roman"/>
                <w:color w:val="auto"/>
                <w:sz w:val="21"/>
                <w:szCs w:val="21"/>
              </w:rPr>
              <w:t>，地面需按要求进行防腐、防渗潲，避免发生泄漏、渗</w:t>
            </w:r>
            <w:r>
              <w:rPr>
                <w:rFonts w:hint="default" w:ascii="Times New Roman" w:hAnsi="Times New Roman" w:eastAsia="宋体" w:cs="Times New Roman"/>
                <w:color w:val="auto"/>
                <w:sz w:val="21"/>
                <w:szCs w:val="21"/>
                <w:lang w:val="en-US" w:eastAsia="zh-CN"/>
              </w:rPr>
              <w:t>漏</w:t>
            </w:r>
            <w:r>
              <w:rPr>
                <w:rFonts w:hint="default" w:ascii="Times New Roman" w:hAnsi="Times New Roman" w:eastAsia="宋体" w:cs="Times New Roman"/>
                <w:color w:val="auto"/>
                <w:sz w:val="21"/>
                <w:szCs w:val="21"/>
              </w:rPr>
              <w:t>。外运过程要防止</w:t>
            </w:r>
            <w:r>
              <w:rPr>
                <w:rFonts w:hint="default" w:ascii="Times New Roman" w:hAnsi="Times New Roman" w:eastAsia="宋体" w:cs="Times New Roman"/>
                <w:color w:val="auto"/>
                <w:sz w:val="21"/>
                <w:szCs w:val="21"/>
                <w:lang w:eastAsia="zh-CN"/>
              </w:rPr>
              <w:t>抛撒</w:t>
            </w:r>
            <w:r>
              <w:rPr>
                <w:rFonts w:hint="default" w:ascii="Times New Roman" w:hAnsi="Times New Roman" w:eastAsia="宋体" w:cs="Times New Roman"/>
                <w:color w:val="auto"/>
                <w:sz w:val="21"/>
                <w:szCs w:val="21"/>
              </w:rPr>
              <w:t>、泄漏等二次污染，</w:t>
            </w:r>
            <w:r>
              <w:rPr>
                <w:rFonts w:hint="default" w:ascii="Times New Roman" w:hAnsi="Times New Roman" w:eastAsia="宋体" w:cs="Times New Roman"/>
                <w:color w:val="auto"/>
                <w:sz w:val="21"/>
                <w:szCs w:val="21"/>
                <w:lang w:val="en-US" w:eastAsia="zh-CN"/>
              </w:rPr>
              <w:t>单位</w:t>
            </w:r>
            <w:r>
              <w:rPr>
                <w:rFonts w:hint="default" w:ascii="Times New Roman" w:hAnsi="Times New Roman" w:eastAsia="宋体" w:cs="Times New Roman"/>
                <w:color w:val="auto"/>
                <w:sz w:val="21"/>
                <w:szCs w:val="21"/>
              </w:rPr>
              <w:t>内部应建立危险废物产生、储存、转移、处置的详细台账，按照《危险废物转移联单管理办法》的要求做好危险废物转移联单填报登记工作，危险废物必须交由</w:t>
            </w:r>
            <w:r>
              <w:rPr>
                <w:rFonts w:hint="default" w:ascii="Times New Roman" w:hAnsi="Times New Roman" w:eastAsia="宋体" w:cs="Times New Roman"/>
                <w:color w:val="auto"/>
                <w:sz w:val="21"/>
                <w:szCs w:val="21"/>
                <w:lang w:val="en-US" w:eastAsia="zh-CN"/>
              </w:rPr>
              <w:t>有</w:t>
            </w:r>
            <w:r>
              <w:rPr>
                <w:rFonts w:hint="default" w:ascii="Times New Roman" w:hAnsi="Times New Roman" w:eastAsia="宋体" w:cs="Times New Roman"/>
                <w:color w:val="auto"/>
                <w:sz w:val="21"/>
                <w:szCs w:val="21"/>
              </w:rPr>
              <w:t>资质</w:t>
            </w:r>
            <w:r>
              <w:rPr>
                <w:rFonts w:hint="default" w:ascii="Times New Roman" w:hAnsi="Times New Roman" w:eastAsia="宋体" w:cs="Times New Roman"/>
                <w:color w:val="auto"/>
                <w:sz w:val="21"/>
                <w:szCs w:val="21"/>
                <w:lang w:val="en-US" w:eastAsia="zh-CN"/>
              </w:rPr>
              <w:t>的</w:t>
            </w:r>
            <w:r>
              <w:rPr>
                <w:rFonts w:hint="default" w:ascii="Times New Roman" w:hAnsi="Times New Roman" w:eastAsia="宋体" w:cs="Times New Roman"/>
                <w:color w:val="auto"/>
                <w:sz w:val="21"/>
                <w:szCs w:val="21"/>
              </w:rPr>
              <w:t xml:space="preserve">单位处理。 </w:t>
            </w:r>
          </w:p>
          <w:p w14:paraId="42506234">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②</w:t>
            </w:r>
            <w:r>
              <w:rPr>
                <w:rFonts w:hint="default" w:ascii="Times New Roman" w:hAnsi="Times New Roman" w:eastAsia="宋体" w:cs="Times New Roman"/>
                <w:color w:val="auto"/>
                <w:sz w:val="21"/>
                <w:szCs w:val="21"/>
              </w:rPr>
              <w:t>项目应根据《中华人民共和国固体废物污染环境防治法》，对危险废物的容器和包装物以及收集、贮存、运输、处置危险废物的设施、场所，必须设置危险废物识别标志；收集、贮存危险废物，必须按照危险废物特性分类进行，禁止混合收集、贮存、运输、处置性质不相容而未经安全性处置的危险废物，确保危废得到妥善处置。</w:t>
            </w:r>
          </w:p>
          <w:p w14:paraId="40E294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highlight w:val="none"/>
                <w:vertAlign w:val="baseline"/>
                <w:lang w:val="en-US" w:eastAsia="zh-CN"/>
              </w:rPr>
              <w:t>废气事故排放防范措施</w:t>
            </w:r>
          </w:p>
          <w:p w14:paraId="5B81EA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b w:val="0"/>
                <w:bCs w:val="0"/>
                <w:color w:val="auto"/>
                <w:lang w:val="en-US" w:eastAsia="zh-CN"/>
              </w:rPr>
            </w:pPr>
            <w:r>
              <w:rPr>
                <w:rFonts w:hint="default" w:ascii="Times New Roman" w:hAnsi="Times New Roman" w:eastAsia="宋体" w:cs="Times New Roman"/>
                <w:b w:val="0"/>
                <w:bCs w:val="0"/>
                <w:color w:val="auto"/>
                <w:sz w:val="21"/>
                <w:szCs w:val="21"/>
                <w:lang w:val="en-US" w:eastAsia="zh-CN"/>
              </w:rPr>
              <w:t>本项目</w:t>
            </w:r>
            <w:r>
              <w:rPr>
                <w:rFonts w:hint="default" w:ascii="Times New Roman" w:hAnsi="Times New Roman" w:eastAsia="宋体" w:cs="Times New Roman"/>
                <w:color w:val="auto"/>
                <w:sz w:val="21"/>
                <w:szCs w:val="21"/>
                <w:highlight w:val="none"/>
                <w:vertAlign w:val="baseline"/>
                <w:lang w:val="en-US" w:eastAsia="zh-CN"/>
              </w:rPr>
              <w:t>废气处理设施</w:t>
            </w:r>
            <w:r>
              <w:rPr>
                <w:rFonts w:hint="default" w:ascii="Times New Roman" w:hAnsi="Times New Roman" w:eastAsia="宋体" w:cs="Times New Roman"/>
                <w:color w:val="auto"/>
                <w:sz w:val="21"/>
                <w:szCs w:val="21"/>
              </w:rPr>
              <w:t>活性炭吸附装置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碱液喷淋装置发生</w:t>
            </w:r>
            <w:r>
              <w:rPr>
                <w:rFonts w:hint="default" w:ascii="Times New Roman" w:hAnsi="Times New Roman" w:eastAsia="宋体" w:cs="Times New Roman"/>
                <w:color w:val="auto"/>
                <w:sz w:val="21"/>
                <w:szCs w:val="21"/>
                <w:highlight w:val="none"/>
                <w:vertAlign w:val="baseline"/>
                <w:lang w:val="en-US" w:eastAsia="zh-CN"/>
              </w:rPr>
              <w:t>故障，产生的丙酮、甲醇、甲醛、非甲烷总烃、氯化氢、氨、硫酸雾、氮氧化物等</w:t>
            </w:r>
            <w:r>
              <w:rPr>
                <w:rFonts w:hint="default" w:ascii="Times New Roman" w:hAnsi="Times New Roman" w:eastAsia="宋体" w:cs="Times New Roman"/>
                <w:b w:val="0"/>
                <w:bCs w:val="0"/>
                <w:color w:val="auto"/>
                <w:sz w:val="21"/>
                <w:szCs w:val="21"/>
                <w:lang w:val="en-US" w:eastAsia="zh-CN"/>
              </w:rPr>
              <w:t>废气短时间内事故排放，上述处理系统均为整套装置，出现故障也容易发现并及时进行检修。安排专人定期对废气处理设施进行巡查维护，认真填写巡检记录，认真记录设备运行情况，若发现异样，应立即联系厂家进行处理，保证及时恢复正常运行；如出现断电等事故，应立即启动应急电源</w:t>
            </w:r>
            <w:r>
              <w:rPr>
                <w:rFonts w:hint="default" w:ascii="Times New Roman" w:hAnsi="Times New Roman" w:eastAsia="宋体" w:cs="Times New Roman"/>
                <w:b w:val="0"/>
                <w:bCs w:val="0"/>
                <w:color w:val="auto"/>
                <w:lang w:val="en-US" w:eastAsia="zh-CN"/>
              </w:rPr>
              <w:t>。</w:t>
            </w:r>
          </w:p>
          <w:p w14:paraId="4BF107C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 xml:space="preserve">气瓶使用 </w:t>
            </w:r>
          </w:p>
          <w:p w14:paraId="422DB7E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为了保证气瓶使用过程中的安全，建设单位应落实以下管理措施：</w:t>
            </w:r>
          </w:p>
          <w:p w14:paraId="57A1413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①</w:t>
            </w:r>
            <w:r>
              <w:rPr>
                <w:rFonts w:hint="default" w:ascii="Times New Roman" w:hAnsi="Times New Roman" w:eastAsia="宋体" w:cs="Times New Roman"/>
                <w:color w:val="auto"/>
                <w:sz w:val="21"/>
                <w:szCs w:val="21"/>
              </w:rPr>
              <w:t>气瓶在使用、运输、贮存过程中，环境温度不允许有明显变化；特别是</w:t>
            </w:r>
            <w:r>
              <w:rPr>
                <w:rFonts w:hint="eastAsia" w:ascii="Times New Roman" w:hAnsi="Times New Roman" w:eastAsia="宋体" w:cs="Times New Roman"/>
                <w:color w:val="auto"/>
                <w:sz w:val="21"/>
                <w:szCs w:val="21"/>
                <w:lang w:val="en-US" w:eastAsia="zh-CN"/>
              </w:rPr>
              <w:t>氢气</w:t>
            </w:r>
            <w:r>
              <w:rPr>
                <w:rFonts w:hint="default" w:ascii="Times New Roman" w:hAnsi="Times New Roman" w:eastAsia="宋体" w:cs="Times New Roman"/>
                <w:color w:val="auto"/>
                <w:sz w:val="21"/>
                <w:szCs w:val="21"/>
              </w:rPr>
              <w:t>气瓶，其周围环境温度</w:t>
            </w:r>
            <w:r>
              <w:rPr>
                <w:rFonts w:hint="eastAsia" w:ascii="Times New Roman" w:hAnsi="Times New Roman" w:eastAsia="宋体" w:cs="Times New Roman"/>
                <w:color w:val="auto"/>
                <w:sz w:val="21"/>
                <w:szCs w:val="21"/>
                <w:lang w:val="en-US" w:eastAsia="zh-CN"/>
              </w:rPr>
              <w:t>不能</w:t>
            </w:r>
            <w:r>
              <w:rPr>
                <w:rFonts w:hint="default" w:ascii="Times New Roman" w:hAnsi="Times New Roman" w:eastAsia="宋体" w:cs="Times New Roman"/>
                <w:color w:val="auto"/>
                <w:sz w:val="21"/>
                <w:szCs w:val="21"/>
              </w:rPr>
              <w:t>超过</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w:t>
            </w:r>
          </w:p>
          <w:p w14:paraId="24DA2D8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②</w:t>
            </w:r>
            <w:r>
              <w:rPr>
                <w:rFonts w:hint="default" w:ascii="Times New Roman" w:hAnsi="Times New Roman" w:eastAsia="宋体" w:cs="Times New Roman"/>
                <w:color w:val="auto"/>
                <w:sz w:val="21"/>
                <w:szCs w:val="21"/>
              </w:rPr>
              <w:t xml:space="preserve">气瓶的漆色保持完好，没有任意涂改。 </w:t>
            </w:r>
          </w:p>
          <w:p w14:paraId="4AB8B28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③使用前，应对钢印标记、颜色标记及安全状况进行检查，凡是不符合规定的气瓶不准使用。</w:t>
            </w:r>
          </w:p>
          <w:p w14:paraId="0CBE4E3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④</w:t>
            </w:r>
            <w:r>
              <w:rPr>
                <w:rFonts w:hint="default" w:ascii="Times New Roman" w:hAnsi="Times New Roman" w:eastAsia="宋体" w:cs="Times New Roman"/>
                <w:color w:val="auto"/>
                <w:sz w:val="21"/>
                <w:szCs w:val="21"/>
              </w:rPr>
              <w:t>气瓶不得靠近热源和电器设备，特别是</w:t>
            </w:r>
            <w:r>
              <w:rPr>
                <w:rFonts w:hint="default" w:ascii="Times New Roman" w:hAnsi="Times New Roman" w:eastAsia="宋体" w:cs="Times New Roman"/>
                <w:color w:val="auto"/>
                <w:sz w:val="21"/>
                <w:szCs w:val="21"/>
                <w:lang w:val="en-US" w:eastAsia="zh-CN"/>
              </w:rPr>
              <w:t>氢气</w:t>
            </w:r>
            <w:r>
              <w:rPr>
                <w:rFonts w:hint="default" w:ascii="Times New Roman" w:hAnsi="Times New Roman" w:eastAsia="宋体" w:cs="Times New Roman"/>
                <w:color w:val="auto"/>
                <w:sz w:val="21"/>
                <w:szCs w:val="21"/>
              </w:rPr>
              <w:t>瓶，与明火的距离大于</w:t>
            </w: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米</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气瓶直立放置，</w:t>
            </w:r>
            <w:r>
              <w:rPr>
                <w:rFonts w:hint="default" w:ascii="Times New Roman" w:hAnsi="Times New Roman" w:eastAsia="宋体" w:cs="Times New Roman"/>
                <w:color w:val="auto"/>
                <w:sz w:val="21"/>
                <w:szCs w:val="21"/>
                <w:lang w:val="en-US" w:eastAsia="zh-CN"/>
              </w:rPr>
              <w:t>不能</w:t>
            </w:r>
            <w:r>
              <w:rPr>
                <w:rFonts w:hint="default" w:ascii="Times New Roman" w:hAnsi="Times New Roman" w:eastAsia="宋体" w:cs="Times New Roman"/>
                <w:color w:val="auto"/>
                <w:sz w:val="21"/>
                <w:szCs w:val="21"/>
              </w:rPr>
              <w:t>和易燃品同向贮存。</w:t>
            </w:r>
          </w:p>
          <w:p w14:paraId="7A8D488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突发火灾、爆炸事故引发的环境污染及次生污染风险防范措施</w:t>
            </w:r>
          </w:p>
          <w:p w14:paraId="145D837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①按照消防部门要求设置防火设施，发生燃烧、爆炸事故时及时处置，危险化学品泄漏时或发生火灾时，根据性状及时采取吸收、清洁、稀释、中和、喷淋等措施防止事故进一步扩大。</w:t>
            </w:r>
          </w:p>
          <w:p w14:paraId="237B847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实验室内建立动火制度，严防火灾发生。发生火灾时及时扑灭初期火灾，不能自控时，请求社会力量支援。发生事故时，对产生的消防废水进行堵、收集处理，防止外溢污染环境。加强区域环境风险联防联控，及时应对环境风险事故。事故结束后，应消除环境影响。</w:t>
            </w:r>
          </w:p>
          <w:p w14:paraId="67106D51">
            <w:pPr>
              <w:adjustRightInd w:val="0"/>
              <w:snapToGrid w:val="0"/>
              <w:spacing w:line="360" w:lineRule="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6</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建设单位应按照《建设项目环境风险评价技术导则》和《突发环境事件应急预案编制导则（试行）（企业事业单位版）》的要求编制拟建项目突发环境事件应急预案。</w:t>
            </w:r>
          </w:p>
        </w:tc>
      </w:tr>
      <w:tr w14:paraId="16C703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685" w:type="pct"/>
            <w:noWrap w:val="0"/>
            <w:vAlign w:val="center"/>
          </w:tcPr>
          <w:p w14:paraId="07C610C6">
            <w:pPr>
              <w:adjustRightInd w:val="0"/>
              <w:snapToGrid w:val="0"/>
              <w:spacing w:line="360" w:lineRule="auto"/>
              <w:jc w:val="center"/>
              <w:outlineLvl w:val="9"/>
              <w:rPr>
                <w:rFonts w:hint="default" w:ascii="Times New Roman" w:hAnsi="Times New Roman" w:eastAsia="宋体" w:cs="Times New Roman"/>
                <w:b/>
                <w:bCs/>
                <w:color w:val="auto"/>
                <w:spacing w:val="-8"/>
                <w:sz w:val="21"/>
                <w:szCs w:val="21"/>
              </w:rPr>
            </w:pPr>
            <w:r>
              <w:rPr>
                <w:rFonts w:hint="default" w:ascii="Times New Roman" w:hAnsi="Times New Roman" w:eastAsia="宋体" w:cs="Times New Roman"/>
                <w:b/>
                <w:bCs/>
                <w:color w:val="auto"/>
                <w:spacing w:val="-8"/>
                <w:sz w:val="21"/>
                <w:szCs w:val="21"/>
              </w:rPr>
              <w:t>其他环境</w:t>
            </w:r>
          </w:p>
          <w:p w14:paraId="6A21948F">
            <w:pPr>
              <w:adjustRightInd w:val="0"/>
              <w:snapToGrid w:val="0"/>
              <w:spacing w:line="360" w:lineRule="auto"/>
              <w:jc w:val="center"/>
              <w:outlineLvl w:val="9"/>
              <w:rPr>
                <w:rFonts w:hint="default" w:ascii="Times New Roman" w:hAnsi="Times New Roman" w:eastAsia="宋体" w:cs="Times New Roman"/>
                <w:b/>
                <w:bCs/>
                <w:color w:val="auto"/>
                <w:spacing w:val="-8"/>
                <w:sz w:val="21"/>
                <w:szCs w:val="21"/>
              </w:rPr>
            </w:pPr>
            <w:r>
              <w:rPr>
                <w:rFonts w:hint="default" w:ascii="Times New Roman" w:hAnsi="Times New Roman" w:eastAsia="宋体" w:cs="Times New Roman"/>
                <w:b/>
                <w:bCs/>
                <w:color w:val="auto"/>
                <w:spacing w:val="-8"/>
                <w:sz w:val="21"/>
                <w:szCs w:val="21"/>
              </w:rPr>
              <w:t>管理要求</w:t>
            </w:r>
          </w:p>
        </w:tc>
        <w:tc>
          <w:tcPr>
            <w:tcW w:w="4314" w:type="pct"/>
            <w:gridSpan w:val="4"/>
            <w:noWrap w:val="0"/>
            <w:vAlign w:val="center"/>
          </w:tcPr>
          <w:p w14:paraId="280D7D16">
            <w:pPr>
              <w:pStyle w:val="32"/>
              <w:tabs>
                <w:tab w:val="left" w:pos="1257"/>
              </w:tabs>
              <w:spacing w:beforeLines="0" w:afterLines="0" w:line="360" w:lineRule="auto"/>
              <w:jc w:val="left"/>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①规范化排放口和环境保护标识要求；②加强运营管理和设备设施的日常维护工作；③加强环保设施的维护检修，保障环保设施的处理效率；④建立、健全运营环保规章制度；⑤严格在岗人员操作管理。</w:t>
            </w:r>
          </w:p>
        </w:tc>
      </w:tr>
    </w:tbl>
    <w:p w14:paraId="2A75F639">
      <w:pPr>
        <w:jc w:val="center"/>
        <w:outlineLvl w:val="0"/>
        <w:rPr>
          <w:rFonts w:ascii="黑体" w:hAnsi="黑体" w:eastAsia="黑体"/>
          <w:snapToGrid w:val="0"/>
          <w:color w:val="auto"/>
          <w:sz w:val="30"/>
          <w:szCs w:val="30"/>
        </w:rPr>
      </w:pPr>
      <w:r>
        <w:rPr>
          <w:snapToGrid w:val="0"/>
          <w:color w:val="auto"/>
        </w:rPr>
        <w:br w:type="page"/>
      </w:r>
      <w:bookmarkStart w:id="11" w:name="_Toc13491"/>
      <w:bookmarkStart w:id="12" w:name="_Toc12125"/>
      <w:r>
        <w:rPr>
          <w:rFonts w:hint="eastAsia" w:ascii="Times New Roman" w:hAnsi="Times New Roman" w:eastAsia="宋体" w:cs="Times New Roman"/>
          <w:b/>
          <w:bCs/>
          <w:color w:val="auto"/>
          <w:sz w:val="28"/>
          <w:szCs w:val="28"/>
        </w:rPr>
        <w:t>六、结论</w:t>
      </w:r>
      <w:bookmarkEnd w:id="11"/>
      <w:bookmarkEnd w:id="12"/>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764C4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7E433049">
            <w:pPr>
              <w:adjustRightInd w:val="0"/>
              <w:snapToGrid w:val="0"/>
              <w:spacing w:line="360" w:lineRule="auto"/>
              <w:ind w:firstLine="420" w:firstLineChars="200"/>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建设符合国家及地方产业政策，符合环境功能区划，选址合理可行，符合总量控制等评价原则的要求。通过对项目所在地区的环境现状以及项目产生的环境影响进行分析，废气、噪声、废水在采取环评提出的防治措施后，均可以做到达标排放，固体废弃物处置率100%，环境影响可以得到有效控制。在认真执行环评中提出的污染防治措施后，产生的污染物对环境的影响较小，从环境保护的角度分析，</w:t>
            </w:r>
            <w:r>
              <w:rPr>
                <w:rFonts w:hint="eastAsia" w:cs="Times New Roman"/>
                <w:color w:val="auto"/>
                <w:sz w:val="21"/>
                <w:szCs w:val="21"/>
                <w:lang w:val="en-US" w:eastAsia="zh-CN"/>
              </w:rPr>
              <w:t>本</w:t>
            </w:r>
            <w:r>
              <w:rPr>
                <w:rFonts w:hint="default" w:ascii="Times New Roman" w:hAnsi="Times New Roman" w:eastAsia="宋体" w:cs="Times New Roman"/>
                <w:color w:val="auto"/>
                <w:sz w:val="21"/>
                <w:szCs w:val="21"/>
              </w:rPr>
              <w:t>项目的环境影响可行。</w:t>
            </w:r>
          </w:p>
          <w:p w14:paraId="16E12A6D">
            <w:pPr>
              <w:spacing w:line="360" w:lineRule="auto"/>
              <w:outlineLvl w:val="9"/>
              <w:rPr>
                <w:rFonts w:ascii="宋体" w:cs="宋体"/>
                <w:color w:val="auto"/>
                <w:sz w:val="24"/>
              </w:rPr>
            </w:pPr>
          </w:p>
          <w:p w14:paraId="11A7FB96">
            <w:pPr>
              <w:spacing w:line="360" w:lineRule="auto"/>
              <w:outlineLvl w:val="9"/>
              <w:rPr>
                <w:rFonts w:ascii="宋体" w:cs="宋体"/>
                <w:color w:val="auto"/>
                <w:sz w:val="24"/>
              </w:rPr>
            </w:pPr>
          </w:p>
          <w:p w14:paraId="61FE0E0E">
            <w:pPr>
              <w:spacing w:line="360" w:lineRule="auto"/>
              <w:outlineLvl w:val="9"/>
              <w:rPr>
                <w:rFonts w:ascii="宋体" w:cs="宋体"/>
                <w:color w:val="auto"/>
                <w:sz w:val="24"/>
              </w:rPr>
            </w:pPr>
          </w:p>
          <w:p w14:paraId="03358086">
            <w:pPr>
              <w:spacing w:line="360" w:lineRule="auto"/>
              <w:outlineLvl w:val="9"/>
              <w:rPr>
                <w:rFonts w:ascii="宋体" w:cs="宋体"/>
                <w:color w:val="auto"/>
                <w:sz w:val="24"/>
              </w:rPr>
            </w:pPr>
          </w:p>
          <w:p w14:paraId="7E669D51">
            <w:pPr>
              <w:spacing w:line="360" w:lineRule="auto"/>
              <w:outlineLvl w:val="9"/>
              <w:rPr>
                <w:rFonts w:ascii="宋体" w:cs="宋体"/>
                <w:color w:val="auto"/>
                <w:sz w:val="24"/>
              </w:rPr>
            </w:pPr>
          </w:p>
          <w:p w14:paraId="4806709F">
            <w:pPr>
              <w:spacing w:line="360" w:lineRule="auto"/>
              <w:outlineLvl w:val="9"/>
              <w:rPr>
                <w:rFonts w:ascii="宋体" w:cs="宋体"/>
                <w:color w:val="auto"/>
                <w:sz w:val="24"/>
              </w:rPr>
            </w:pPr>
          </w:p>
          <w:p w14:paraId="0C5524F4">
            <w:pPr>
              <w:spacing w:line="360" w:lineRule="auto"/>
              <w:outlineLvl w:val="9"/>
              <w:rPr>
                <w:rFonts w:ascii="宋体" w:cs="宋体"/>
                <w:color w:val="auto"/>
                <w:sz w:val="24"/>
              </w:rPr>
            </w:pPr>
          </w:p>
          <w:p w14:paraId="12DB2ABC">
            <w:pPr>
              <w:spacing w:line="360" w:lineRule="auto"/>
              <w:outlineLvl w:val="9"/>
              <w:rPr>
                <w:rFonts w:ascii="宋体" w:cs="宋体"/>
                <w:color w:val="auto"/>
                <w:sz w:val="24"/>
              </w:rPr>
            </w:pPr>
          </w:p>
          <w:p w14:paraId="349E7C99">
            <w:pPr>
              <w:spacing w:line="360" w:lineRule="auto"/>
              <w:outlineLvl w:val="9"/>
              <w:rPr>
                <w:rFonts w:ascii="宋体" w:cs="宋体"/>
                <w:color w:val="auto"/>
                <w:sz w:val="24"/>
              </w:rPr>
            </w:pPr>
          </w:p>
          <w:p w14:paraId="649F9002">
            <w:pPr>
              <w:spacing w:line="360" w:lineRule="auto"/>
              <w:outlineLvl w:val="9"/>
              <w:rPr>
                <w:rFonts w:ascii="宋体" w:cs="宋体"/>
                <w:color w:val="auto"/>
                <w:sz w:val="24"/>
              </w:rPr>
            </w:pPr>
          </w:p>
          <w:p w14:paraId="2CF9662E">
            <w:pPr>
              <w:spacing w:line="360" w:lineRule="auto"/>
              <w:outlineLvl w:val="9"/>
              <w:rPr>
                <w:rFonts w:ascii="宋体" w:cs="宋体"/>
                <w:color w:val="auto"/>
                <w:sz w:val="24"/>
              </w:rPr>
            </w:pPr>
          </w:p>
          <w:p w14:paraId="31B413EE">
            <w:pPr>
              <w:spacing w:line="360" w:lineRule="auto"/>
              <w:outlineLvl w:val="9"/>
              <w:rPr>
                <w:rFonts w:ascii="宋体" w:cs="宋体"/>
                <w:color w:val="auto"/>
                <w:sz w:val="24"/>
              </w:rPr>
            </w:pPr>
          </w:p>
          <w:p w14:paraId="3A2E678F">
            <w:pPr>
              <w:spacing w:line="360" w:lineRule="auto"/>
              <w:outlineLvl w:val="9"/>
              <w:rPr>
                <w:rFonts w:ascii="宋体" w:cs="宋体"/>
                <w:color w:val="auto"/>
                <w:sz w:val="24"/>
              </w:rPr>
            </w:pPr>
          </w:p>
          <w:p w14:paraId="3598EC5C">
            <w:pPr>
              <w:spacing w:line="360" w:lineRule="auto"/>
              <w:outlineLvl w:val="9"/>
              <w:rPr>
                <w:rFonts w:ascii="宋体" w:cs="宋体"/>
                <w:color w:val="auto"/>
                <w:sz w:val="24"/>
              </w:rPr>
            </w:pPr>
          </w:p>
          <w:p w14:paraId="7D80A375">
            <w:pPr>
              <w:spacing w:line="360" w:lineRule="auto"/>
              <w:outlineLvl w:val="9"/>
              <w:rPr>
                <w:rFonts w:ascii="宋体" w:cs="宋体"/>
                <w:color w:val="auto"/>
                <w:sz w:val="24"/>
              </w:rPr>
            </w:pPr>
          </w:p>
          <w:p w14:paraId="1BA412DD">
            <w:pPr>
              <w:spacing w:line="360" w:lineRule="auto"/>
              <w:outlineLvl w:val="9"/>
              <w:rPr>
                <w:rFonts w:ascii="宋体" w:cs="宋体"/>
                <w:color w:val="auto"/>
                <w:sz w:val="24"/>
              </w:rPr>
            </w:pPr>
          </w:p>
          <w:p w14:paraId="18BC3F04">
            <w:pPr>
              <w:spacing w:line="360" w:lineRule="auto"/>
              <w:outlineLvl w:val="9"/>
              <w:rPr>
                <w:rFonts w:ascii="宋体" w:cs="宋体"/>
                <w:color w:val="auto"/>
                <w:sz w:val="24"/>
              </w:rPr>
            </w:pPr>
          </w:p>
          <w:p w14:paraId="48C88837">
            <w:pPr>
              <w:spacing w:line="360" w:lineRule="auto"/>
              <w:outlineLvl w:val="9"/>
              <w:rPr>
                <w:rFonts w:hint="eastAsia" w:ascii="宋体" w:cs="宋体"/>
                <w:color w:val="auto"/>
                <w:sz w:val="24"/>
              </w:rPr>
            </w:pPr>
          </w:p>
        </w:tc>
      </w:tr>
    </w:tbl>
    <w:p w14:paraId="7EAEC469">
      <w:pPr>
        <w:rPr>
          <w:rFonts w:ascii="宋体"/>
          <w:color w:val="auto"/>
        </w:rPr>
        <w:sectPr>
          <w:pgSz w:w="11906" w:h="16838"/>
          <w:pgMar w:top="1701" w:right="1531" w:bottom="1701" w:left="1531" w:header="851" w:footer="851" w:gutter="0"/>
          <w:pgNumType w:fmt="decimal"/>
          <w:cols w:space="720" w:num="1"/>
          <w:docGrid w:linePitch="312" w:charSpace="0"/>
        </w:sectPr>
      </w:pPr>
    </w:p>
    <w:p w14:paraId="6BDBC371">
      <w:pPr>
        <w:pStyle w:val="17"/>
        <w:adjustRightInd w:val="0"/>
        <w:snapToGrid w:val="0"/>
        <w:spacing w:before="0" w:beforeAutospacing="0" w:after="0" w:afterAutospacing="0"/>
        <w:outlineLvl w:val="0"/>
        <w:rPr>
          <w:rFonts w:ascii="黑体" w:hAnsi="黑体" w:eastAsia="黑体"/>
          <w:snapToGrid w:val="0"/>
          <w:color w:val="auto"/>
          <w:sz w:val="28"/>
          <w:szCs w:val="32"/>
        </w:rPr>
      </w:pPr>
      <w:bookmarkStart w:id="13" w:name="_Toc18233"/>
      <w:bookmarkStart w:id="14" w:name="_Toc5677"/>
      <w:bookmarkStart w:id="15" w:name="_Toc5722"/>
      <w:r>
        <w:rPr>
          <w:rFonts w:hint="eastAsia" w:ascii="黑体" w:hAnsi="黑体" w:eastAsia="黑体"/>
          <w:snapToGrid w:val="0"/>
          <w:color w:val="auto"/>
          <w:sz w:val="28"/>
          <w:szCs w:val="32"/>
        </w:rPr>
        <w:t>附表</w:t>
      </w:r>
      <w:bookmarkEnd w:id="13"/>
      <w:bookmarkEnd w:id="14"/>
      <w:bookmarkEnd w:id="15"/>
    </w:p>
    <w:p w14:paraId="4261D423">
      <w:pPr>
        <w:pStyle w:val="17"/>
        <w:adjustRightInd w:val="0"/>
        <w:snapToGrid w:val="0"/>
        <w:spacing w:before="0" w:beforeAutospacing="0" w:after="0" w:afterAutospacing="0"/>
        <w:jc w:val="center"/>
        <w:outlineLvl w:val="9"/>
        <w:rPr>
          <w:rFonts w:ascii="Times New Roman" w:hAnsi="Times New Roman"/>
          <w:b/>
          <w:snapToGrid w:val="0"/>
          <w:color w:val="auto"/>
          <w:sz w:val="28"/>
          <w:szCs w:val="38"/>
        </w:rPr>
      </w:pPr>
      <w:bookmarkStart w:id="16" w:name="_Toc31197"/>
      <w:bookmarkStart w:id="17" w:name="_Toc28380"/>
      <w:r>
        <w:rPr>
          <w:rFonts w:ascii="Times New Roman" w:hAnsi="Times New Roman"/>
          <w:b/>
          <w:snapToGrid w:val="0"/>
          <w:color w:val="auto"/>
          <w:sz w:val="28"/>
          <w:szCs w:val="38"/>
        </w:rPr>
        <w:t>建设项目污染物排放量汇总表</w:t>
      </w:r>
      <w:bookmarkEnd w:id="16"/>
      <w:bookmarkEnd w:id="17"/>
    </w:p>
    <w:tbl>
      <w:tblPr>
        <w:tblStyle w:val="20"/>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3080"/>
        <w:gridCol w:w="1383"/>
        <w:gridCol w:w="1321"/>
        <w:gridCol w:w="1445"/>
        <w:gridCol w:w="1472"/>
        <w:gridCol w:w="1240"/>
        <w:gridCol w:w="1537"/>
        <w:gridCol w:w="705"/>
      </w:tblGrid>
      <w:tr w14:paraId="10A202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tcBorders>
              <w:tl2br w:val="single" w:color="auto" w:sz="4" w:space="0"/>
            </w:tcBorders>
            <w:noWrap w:val="0"/>
            <w:tcMar>
              <w:left w:w="28" w:type="dxa"/>
              <w:right w:w="28" w:type="dxa"/>
            </w:tcMar>
            <w:vAlign w:val="center"/>
          </w:tcPr>
          <w:p w14:paraId="63EA62A5">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eastAsia" w:ascii="Times New Roman" w:hAnsi="Times New Roman" w:eastAsia="宋体" w:cs="Times New Roman"/>
                <w:b/>
                <w:bCs/>
                <w:snapToGrid w:val="0"/>
                <w:color w:val="auto"/>
                <w:spacing w:val="-6"/>
                <w:kern w:val="21"/>
                <w:sz w:val="21"/>
                <w:szCs w:val="21"/>
                <w:lang w:val="en-US" w:eastAsia="zh-CN"/>
              </w:rPr>
              <w:t xml:space="preserve">     </w:t>
            </w:r>
            <w:r>
              <w:rPr>
                <w:rFonts w:hint="default" w:ascii="Times New Roman" w:hAnsi="Times New Roman" w:eastAsia="宋体" w:cs="Times New Roman"/>
                <w:b/>
                <w:bCs/>
                <w:snapToGrid w:val="0"/>
                <w:color w:val="auto"/>
                <w:spacing w:val="-6"/>
                <w:kern w:val="21"/>
                <w:sz w:val="21"/>
                <w:szCs w:val="21"/>
              </w:rPr>
              <w:t>项目</w:t>
            </w:r>
          </w:p>
          <w:p w14:paraId="493B40C0">
            <w:pPr>
              <w:pStyle w:val="32"/>
              <w:spacing w:beforeLines="0" w:afterLines="0" w:line="240" w:lineRule="auto"/>
              <w:ind w:firstLine="199" w:firstLineChars="100"/>
              <w:jc w:val="both"/>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分类</w:t>
            </w:r>
          </w:p>
        </w:tc>
        <w:tc>
          <w:tcPr>
            <w:tcW w:w="1141" w:type="pct"/>
            <w:noWrap w:val="0"/>
            <w:tcMar>
              <w:left w:w="28" w:type="dxa"/>
              <w:right w:w="28" w:type="dxa"/>
            </w:tcMar>
            <w:vAlign w:val="center"/>
          </w:tcPr>
          <w:p w14:paraId="2370ECDE">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污染物名称</w:t>
            </w:r>
          </w:p>
        </w:tc>
        <w:tc>
          <w:tcPr>
            <w:tcW w:w="512" w:type="pct"/>
            <w:noWrap w:val="0"/>
            <w:tcMar>
              <w:left w:w="28" w:type="dxa"/>
              <w:right w:w="28" w:type="dxa"/>
            </w:tcMar>
            <w:vAlign w:val="center"/>
          </w:tcPr>
          <w:p w14:paraId="152D3E68">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w:t>
            </w:r>
          </w:p>
          <w:p w14:paraId="27AE0D10">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1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①</w:t>
            </w:r>
            <w:r>
              <w:rPr>
                <w:rFonts w:hint="default" w:ascii="Times New Roman" w:hAnsi="Times New Roman" w:eastAsia="宋体" w:cs="Times New Roman"/>
                <w:b/>
                <w:bCs/>
                <w:snapToGrid w:val="0"/>
                <w:color w:val="auto"/>
                <w:spacing w:val="-6"/>
                <w:kern w:val="21"/>
                <w:sz w:val="21"/>
                <w:szCs w:val="21"/>
              </w:rPr>
              <w:fldChar w:fldCharType="end"/>
            </w:r>
          </w:p>
        </w:tc>
        <w:tc>
          <w:tcPr>
            <w:tcW w:w="489" w:type="pct"/>
            <w:noWrap w:val="0"/>
            <w:tcMar>
              <w:left w:w="28" w:type="dxa"/>
              <w:right w:w="28" w:type="dxa"/>
            </w:tcMar>
            <w:vAlign w:val="center"/>
          </w:tcPr>
          <w:p w14:paraId="60C6539E">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w:t>
            </w:r>
          </w:p>
          <w:p w14:paraId="66EB3756">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许可排放量</w:t>
            </w:r>
          </w:p>
          <w:p w14:paraId="7547CEF8">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2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snapToGrid w:val="0"/>
                <w:color w:val="auto"/>
                <w:spacing w:val="-6"/>
                <w:kern w:val="21"/>
                <w:sz w:val="21"/>
                <w:szCs w:val="21"/>
              </w:rPr>
              <w:t>②</w:t>
            </w:r>
            <w:r>
              <w:rPr>
                <w:rFonts w:hint="default" w:ascii="Times New Roman" w:hAnsi="Times New Roman" w:eastAsia="宋体" w:cs="Times New Roman"/>
                <w:b/>
                <w:bCs/>
                <w:snapToGrid w:val="0"/>
                <w:color w:val="auto"/>
                <w:spacing w:val="-6"/>
                <w:kern w:val="21"/>
                <w:sz w:val="21"/>
                <w:szCs w:val="21"/>
              </w:rPr>
              <w:fldChar w:fldCharType="end"/>
            </w:r>
          </w:p>
        </w:tc>
        <w:tc>
          <w:tcPr>
            <w:tcW w:w="535" w:type="pct"/>
            <w:noWrap w:val="0"/>
            <w:tcMar>
              <w:left w:w="28" w:type="dxa"/>
              <w:right w:w="28" w:type="dxa"/>
            </w:tcMar>
            <w:vAlign w:val="center"/>
          </w:tcPr>
          <w:p w14:paraId="084E1E15">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在建工程</w:t>
            </w:r>
          </w:p>
          <w:p w14:paraId="7B0BACD1">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3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③</w:t>
            </w:r>
            <w:r>
              <w:rPr>
                <w:rFonts w:hint="default" w:ascii="Times New Roman" w:hAnsi="Times New Roman" w:eastAsia="宋体" w:cs="Times New Roman"/>
                <w:b/>
                <w:bCs/>
                <w:snapToGrid w:val="0"/>
                <w:color w:val="auto"/>
                <w:spacing w:val="-6"/>
                <w:kern w:val="21"/>
                <w:sz w:val="21"/>
                <w:szCs w:val="21"/>
              </w:rPr>
              <w:fldChar w:fldCharType="end"/>
            </w:r>
          </w:p>
        </w:tc>
        <w:tc>
          <w:tcPr>
            <w:tcW w:w="545" w:type="pct"/>
            <w:noWrap w:val="0"/>
            <w:tcMar>
              <w:left w:w="28" w:type="dxa"/>
              <w:right w:w="28" w:type="dxa"/>
            </w:tcMar>
            <w:vAlign w:val="center"/>
          </w:tcPr>
          <w:p w14:paraId="1E8E0C44">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本项目</w:t>
            </w:r>
          </w:p>
          <w:p w14:paraId="5152B47F">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4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④</w:t>
            </w:r>
            <w:r>
              <w:rPr>
                <w:rFonts w:hint="default" w:ascii="Times New Roman" w:hAnsi="Times New Roman" w:eastAsia="宋体" w:cs="Times New Roman"/>
                <w:b/>
                <w:bCs/>
                <w:snapToGrid w:val="0"/>
                <w:color w:val="auto"/>
                <w:spacing w:val="-6"/>
                <w:kern w:val="21"/>
                <w:sz w:val="21"/>
                <w:szCs w:val="21"/>
              </w:rPr>
              <w:fldChar w:fldCharType="end"/>
            </w:r>
          </w:p>
        </w:tc>
        <w:tc>
          <w:tcPr>
            <w:tcW w:w="459" w:type="pct"/>
            <w:noWrap w:val="0"/>
            <w:tcMar>
              <w:left w:w="28" w:type="dxa"/>
              <w:right w:w="28" w:type="dxa"/>
            </w:tcMar>
            <w:vAlign w:val="center"/>
          </w:tcPr>
          <w:p w14:paraId="1C79EC8F">
            <w:pPr>
              <w:pStyle w:val="32"/>
              <w:spacing w:beforeLines="0" w:afterLines="0" w:line="240" w:lineRule="auto"/>
              <w:jc w:val="center"/>
              <w:outlineLvl w:val="9"/>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以新带老削减量（新建项目不填）</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5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sz w:val="21"/>
                <w:szCs w:val="21"/>
              </w:rPr>
              <w:t>⑤</w:t>
            </w:r>
            <w:r>
              <w:rPr>
                <w:rFonts w:hint="default" w:ascii="Times New Roman" w:hAnsi="Times New Roman" w:eastAsia="宋体" w:cs="Times New Roman"/>
                <w:b/>
                <w:bCs/>
                <w:snapToGrid w:val="0"/>
                <w:color w:val="auto"/>
                <w:spacing w:val="-16"/>
                <w:kern w:val="21"/>
                <w:sz w:val="21"/>
                <w:szCs w:val="21"/>
              </w:rPr>
              <w:fldChar w:fldCharType="end"/>
            </w:r>
          </w:p>
        </w:tc>
        <w:tc>
          <w:tcPr>
            <w:tcW w:w="569" w:type="pct"/>
            <w:noWrap w:val="0"/>
            <w:tcMar>
              <w:left w:w="28" w:type="dxa"/>
              <w:right w:w="28" w:type="dxa"/>
            </w:tcMar>
            <w:vAlign w:val="center"/>
          </w:tcPr>
          <w:p w14:paraId="203718BF">
            <w:pPr>
              <w:pStyle w:val="32"/>
              <w:spacing w:beforeLines="0" w:afterLines="0" w:line="240" w:lineRule="auto"/>
              <w:jc w:val="center"/>
              <w:outlineLvl w:val="9"/>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本项目建成后</w:t>
            </w:r>
          </w:p>
          <w:p w14:paraId="6BB727E8">
            <w:pPr>
              <w:pStyle w:val="32"/>
              <w:spacing w:beforeLines="0" w:afterLines="0" w:line="240" w:lineRule="auto"/>
              <w:jc w:val="center"/>
              <w:outlineLvl w:val="9"/>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全厂排放量（固体废物产生量）</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6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sz w:val="21"/>
                <w:szCs w:val="21"/>
              </w:rPr>
              <w:t>⑥</w:t>
            </w:r>
            <w:r>
              <w:rPr>
                <w:rFonts w:hint="default" w:ascii="Times New Roman" w:hAnsi="Times New Roman" w:eastAsia="宋体" w:cs="Times New Roman"/>
                <w:b/>
                <w:bCs/>
                <w:snapToGrid w:val="0"/>
                <w:color w:val="auto"/>
                <w:spacing w:val="-16"/>
                <w:kern w:val="21"/>
                <w:sz w:val="21"/>
                <w:szCs w:val="21"/>
              </w:rPr>
              <w:fldChar w:fldCharType="end"/>
            </w:r>
          </w:p>
        </w:tc>
        <w:tc>
          <w:tcPr>
            <w:tcW w:w="261" w:type="pct"/>
            <w:noWrap w:val="0"/>
            <w:tcMar>
              <w:left w:w="28" w:type="dxa"/>
              <w:right w:w="28" w:type="dxa"/>
            </w:tcMar>
            <w:vAlign w:val="center"/>
          </w:tcPr>
          <w:p w14:paraId="27F29BD4">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变化量</w:t>
            </w:r>
          </w:p>
          <w:p w14:paraId="3C30B291">
            <w:pPr>
              <w:pStyle w:val="32"/>
              <w:spacing w:beforeLines="0" w:afterLines="0" w:line="240" w:lineRule="auto"/>
              <w:jc w:val="center"/>
              <w:outlineLvl w:val="9"/>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7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⑦</w:t>
            </w:r>
            <w:r>
              <w:rPr>
                <w:rFonts w:hint="default" w:ascii="Times New Roman" w:hAnsi="Times New Roman" w:eastAsia="宋体" w:cs="Times New Roman"/>
                <w:b/>
                <w:bCs/>
                <w:snapToGrid w:val="0"/>
                <w:color w:val="auto"/>
                <w:spacing w:val="-6"/>
                <w:kern w:val="21"/>
                <w:sz w:val="21"/>
                <w:szCs w:val="21"/>
              </w:rPr>
              <w:fldChar w:fldCharType="end"/>
            </w:r>
          </w:p>
        </w:tc>
      </w:tr>
      <w:tr w14:paraId="6FBD8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restart"/>
            <w:noWrap w:val="0"/>
            <w:vAlign w:val="center"/>
          </w:tcPr>
          <w:p w14:paraId="0E0F9004">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1141" w:type="pct"/>
            <w:noWrap w:val="0"/>
            <w:vAlign w:val="center"/>
          </w:tcPr>
          <w:p w14:paraId="1F63AD74">
            <w:pPr>
              <w:pStyle w:val="32"/>
              <w:spacing w:beforeLines="0" w:afterLines="0" w:line="240" w:lineRule="auto"/>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非甲烷总烃</w:t>
            </w:r>
          </w:p>
        </w:tc>
        <w:tc>
          <w:tcPr>
            <w:tcW w:w="512" w:type="pct"/>
            <w:noWrap w:val="0"/>
            <w:vAlign w:val="center"/>
          </w:tcPr>
          <w:p w14:paraId="241EDF50">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7EEC4A62">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5B7FA15B">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717C1B8A">
            <w:pPr>
              <w:keepNext w:val="0"/>
              <w:keepLines w:val="0"/>
              <w:widowControl/>
              <w:suppressLineNumbers w:val="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7.9217</w:t>
            </w:r>
            <w:r>
              <w:rPr>
                <w:rFonts w:hint="default" w:ascii="Times New Roman" w:hAnsi="Times New Roman" w:eastAsia="宋体" w:cs="Times New Roman"/>
                <w:color w:val="auto"/>
                <w:sz w:val="21"/>
                <w:szCs w:val="21"/>
              </w:rPr>
              <w:t>kg/a</w:t>
            </w:r>
          </w:p>
        </w:tc>
        <w:tc>
          <w:tcPr>
            <w:tcW w:w="459" w:type="pct"/>
            <w:noWrap w:val="0"/>
            <w:vAlign w:val="center"/>
          </w:tcPr>
          <w:p w14:paraId="3C4AAC78">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12AC1801">
            <w:pPr>
              <w:keepNext w:val="0"/>
              <w:keepLines w:val="0"/>
              <w:widowControl/>
              <w:suppressLineNumbers w:val="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7.9217</w:t>
            </w:r>
            <w:r>
              <w:rPr>
                <w:rFonts w:hint="default" w:ascii="Times New Roman" w:hAnsi="Times New Roman" w:eastAsia="宋体" w:cs="Times New Roman"/>
                <w:color w:val="auto"/>
                <w:sz w:val="21"/>
                <w:szCs w:val="21"/>
              </w:rPr>
              <w:t>kg/a</w:t>
            </w:r>
          </w:p>
        </w:tc>
        <w:tc>
          <w:tcPr>
            <w:tcW w:w="261" w:type="pct"/>
            <w:noWrap w:val="0"/>
            <w:vAlign w:val="center"/>
          </w:tcPr>
          <w:p w14:paraId="1FD324CE">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424DF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3EAE3EA5">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1ED18A12">
            <w:pPr>
              <w:keepNext w:val="0"/>
              <w:keepLines w:val="0"/>
              <w:widowControl/>
              <w:suppressLineNumbers w:val="0"/>
              <w:jc w:val="center"/>
              <w:textAlignment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甲醇</w:t>
            </w:r>
          </w:p>
        </w:tc>
        <w:tc>
          <w:tcPr>
            <w:tcW w:w="512" w:type="pct"/>
            <w:noWrap w:val="0"/>
            <w:vAlign w:val="center"/>
          </w:tcPr>
          <w:p w14:paraId="1305F56A">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5EC57AEF">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35AE5756">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57B98941">
            <w:pPr>
              <w:keepNext w:val="0"/>
              <w:keepLines w:val="0"/>
              <w:widowControl/>
              <w:suppressLineNumbers w:val="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0.817</w:t>
            </w:r>
            <w:r>
              <w:rPr>
                <w:rFonts w:hint="default" w:ascii="Times New Roman" w:hAnsi="Times New Roman" w:eastAsia="宋体" w:cs="Times New Roman"/>
                <w:color w:val="auto"/>
                <w:sz w:val="21"/>
                <w:szCs w:val="21"/>
              </w:rPr>
              <w:t>kg/a</w:t>
            </w:r>
          </w:p>
        </w:tc>
        <w:tc>
          <w:tcPr>
            <w:tcW w:w="459" w:type="pct"/>
            <w:noWrap w:val="0"/>
            <w:vAlign w:val="center"/>
          </w:tcPr>
          <w:p w14:paraId="072C7FFB">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5245E2E2">
            <w:pPr>
              <w:keepNext w:val="0"/>
              <w:keepLines w:val="0"/>
              <w:widowControl/>
              <w:suppressLineNumbers w:val="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0.817</w:t>
            </w:r>
            <w:r>
              <w:rPr>
                <w:rFonts w:hint="default" w:ascii="Times New Roman" w:hAnsi="Times New Roman" w:eastAsia="宋体" w:cs="Times New Roman"/>
                <w:color w:val="auto"/>
                <w:sz w:val="21"/>
                <w:szCs w:val="21"/>
              </w:rPr>
              <w:t>kg/a</w:t>
            </w:r>
          </w:p>
        </w:tc>
        <w:tc>
          <w:tcPr>
            <w:tcW w:w="261" w:type="pct"/>
            <w:noWrap w:val="0"/>
            <w:vAlign w:val="center"/>
          </w:tcPr>
          <w:p w14:paraId="436F8359">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47C3C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06327A82">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2F1341E3">
            <w:pPr>
              <w:keepNext w:val="0"/>
              <w:keepLines w:val="0"/>
              <w:widowControl/>
              <w:suppressLineNumbers w:val="0"/>
              <w:jc w:val="center"/>
              <w:textAlignment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甲醛</w:t>
            </w:r>
          </w:p>
        </w:tc>
        <w:tc>
          <w:tcPr>
            <w:tcW w:w="512" w:type="pct"/>
            <w:noWrap w:val="0"/>
            <w:vAlign w:val="center"/>
          </w:tcPr>
          <w:p w14:paraId="5099084E">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0B31251A">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1635ED75">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5999896D">
            <w:pPr>
              <w:keepNext w:val="0"/>
              <w:keepLines w:val="0"/>
              <w:widowControl/>
              <w:suppressLineNumbers w:val="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0.0927</w:t>
            </w:r>
            <w:r>
              <w:rPr>
                <w:rFonts w:hint="default" w:ascii="Times New Roman" w:hAnsi="Times New Roman" w:eastAsia="宋体" w:cs="Times New Roman"/>
                <w:color w:val="auto"/>
                <w:sz w:val="21"/>
                <w:szCs w:val="21"/>
              </w:rPr>
              <w:t>kg/a</w:t>
            </w:r>
          </w:p>
        </w:tc>
        <w:tc>
          <w:tcPr>
            <w:tcW w:w="459" w:type="pct"/>
            <w:noWrap w:val="0"/>
            <w:vAlign w:val="center"/>
          </w:tcPr>
          <w:p w14:paraId="42675953">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3340845E">
            <w:pPr>
              <w:keepNext w:val="0"/>
              <w:keepLines w:val="0"/>
              <w:widowControl/>
              <w:suppressLineNumbers w:val="0"/>
              <w:jc w:val="center"/>
              <w:textAlignment w:val="center"/>
              <w:outlineLvl w:val="9"/>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0.0927</w:t>
            </w:r>
            <w:r>
              <w:rPr>
                <w:rFonts w:hint="default" w:ascii="Times New Roman" w:hAnsi="Times New Roman" w:eastAsia="宋体" w:cs="Times New Roman"/>
                <w:color w:val="auto"/>
                <w:sz w:val="21"/>
                <w:szCs w:val="21"/>
              </w:rPr>
              <w:t>kg/a</w:t>
            </w:r>
          </w:p>
        </w:tc>
        <w:tc>
          <w:tcPr>
            <w:tcW w:w="261" w:type="pct"/>
            <w:noWrap w:val="0"/>
            <w:vAlign w:val="center"/>
          </w:tcPr>
          <w:p w14:paraId="2C66208C">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3A68C5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2BF8EB10">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4F077B1C">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color w:val="auto"/>
                <w:sz w:val="21"/>
                <w:szCs w:val="21"/>
              </w:rPr>
              <w:t>HCL</w:t>
            </w:r>
          </w:p>
        </w:tc>
        <w:tc>
          <w:tcPr>
            <w:tcW w:w="512" w:type="pct"/>
            <w:noWrap w:val="0"/>
            <w:vAlign w:val="center"/>
          </w:tcPr>
          <w:p w14:paraId="5A3AED9D">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0F8B7441">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031858A1">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10DB0EF7">
            <w:pPr>
              <w:keepNext w:val="0"/>
              <w:keepLines w:val="0"/>
              <w:widowControl/>
              <w:suppressLineNumbers w:val="0"/>
              <w:jc w:val="center"/>
              <w:textAlignment w:val="center"/>
              <w:outlineLvl w:val="9"/>
              <w:rPr>
                <w:rFonts w:hint="default" w:ascii="Times New Roman" w:hAnsi="Times New Roman" w:eastAsia="宋体" w:cs="Times New Roman"/>
                <w:snapToGrid w:val="0"/>
                <w:color w:val="auto"/>
                <w:kern w:val="21"/>
                <w:sz w:val="21"/>
                <w:szCs w:val="21"/>
                <w:vertAlign w:val="superscript"/>
              </w:rPr>
            </w:pPr>
            <w:r>
              <w:rPr>
                <w:rFonts w:hint="eastAsia" w:cs="Times New Roman"/>
                <w:i w:val="0"/>
                <w:iCs w:val="0"/>
                <w:color w:val="auto"/>
                <w:kern w:val="0"/>
                <w:sz w:val="21"/>
                <w:szCs w:val="21"/>
                <w:u w:val="none"/>
                <w:lang w:val="en-US" w:eastAsia="zh-CN" w:bidi="ar"/>
              </w:rPr>
              <w:t>1.2054</w:t>
            </w:r>
            <w:r>
              <w:rPr>
                <w:rFonts w:hint="default" w:ascii="Times New Roman" w:hAnsi="Times New Roman" w:eastAsia="宋体" w:cs="Times New Roman"/>
                <w:color w:val="auto"/>
                <w:sz w:val="21"/>
                <w:szCs w:val="21"/>
              </w:rPr>
              <w:t>kg/a</w:t>
            </w:r>
          </w:p>
        </w:tc>
        <w:tc>
          <w:tcPr>
            <w:tcW w:w="459" w:type="pct"/>
            <w:noWrap w:val="0"/>
            <w:vAlign w:val="center"/>
          </w:tcPr>
          <w:p w14:paraId="2DA70762">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10DABB63">
            <w:pPr>
              <w:keepNext w:val="0"/>
              <w:keepLines w:val="0"/>
              <w:widowControl/>
              <w:suppressLineNumbers w:val="0"/>
              <w:jc w:val="center"/>
              <w:textAlignment w:val="center"/>
              <w:outlineLvl w:val="9"/>
              <w:rPr>
                <w:rFonts w:hint="default" w:ascii="Times New Roman" w:hAnsi="Times New Roman" w:eastAsia="宋体" w:cs="Times New Roman"/>
                <w:snapToGrid w:val="0"/>
                <w:color w:val="auto"/>
                <w:kern w:val="21"/>
                <w:sz w:val="21"/>
                <w:szCs w:val="21"/>
                <w:vertAlign w:val="superscript"/>
              </w:rPr>
            </w:pPr>
            <w:r>
              <w:rPr>
                <w:rFonts w:hint="eastAsia" w:cs="Times New Roman"/>
                <w:i w:val="0"/>
                <w:iCs w:val="0"/>
                <w:color w:val="auto"/>
                <w:kern w:val="0"/>
                <w:sz w:val="21"/>
                <w:szCs w:val="21"/>
                <w:u w:val="none"/>
                <w:lang w:val="en-US" w:eastAsia="zh-CN" w:bidi="ar"/>
              </w:rPr>
              <w:t>1.2054</w:t>
            </w:r>
            <w:r>
              <w:rPr>
                <w:rFonts w:hint="default" w:ascii="Times New Roman" w:hAnsi="Times New Roman" w:eastAsia="宋体" w:cs="Times New Roman"/>
                <w:color w:val="auto"/>
                <w:sz w:val="21"/>
                <w:szCs w:val="21"/>
              </w:rPr>
              <w:t>kg/a</w:t>
            </w:r>
          </w:p>
        </w:tc>
        <w:tc>
          <w:tcPr>
            <w:tcW w:w="261" w:type="pct"/>
            <w:noWrap w:val="0"/>
            <w:vAlign w:val="center"/>
          </w:tcPr>
          <w:p w14:paraId="0451C85F">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669323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610E2942">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1943F569">
            <w:pPr>
              <w:pStyle w:val="32"/>
              <w:spacing w:beforeLines="0" w:afterLines="0" w:line="240" w:lineRule="auto"/>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硫酸雾</w:t>
            </w:r>
          </w:p>
        </w:tc>
        <w:tc>
          <w:tcPr>
            <w:tcW w:w="512" w:type="pct"/>
            <w:noWrap w:val="0"/>
            <w:vAlign w:val="center"/>
          </w:tcPr>
          <w:p w14:paraId="44F0DD0D">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1086B33F">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38CDE7AE">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5BD94E27">
            <w:pPr>
              <w:keepNext w:val="0"/>
              <w:keepLines w:val="0"/>
              <w:widowControl/>
              <w:suppressLineNumbers w:val="0"/>
              <w:jc w:val="center"/>
              <w:textAlignment w:val="center"/>
              <w:outlineLvl w:val="9"/>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4.5448</w:t>
            </w:r>
            <w:r>
              <w:rPr>
                <w:rFonts w:hint="default" w:ascii="Times New Roman" w:hAnsi="Times New Roman" w:eastAsia="宋体" w:cs="Times New Roman"/>
                <w:color w:val="auto"/>
                <w:sz w:val="21"/>
                <w:szCs w:val="21"/>
              </w:rPr>
              <w:t>kg/a</w:t>
            </w:r>
          </w:p>
        </w:tc>
        <w:tc>
          <w:tcPr>
            <w:tcW w:w="459" w:type="pct"/>
            <w:noWrap w:val="0"/>
            <w:vAlign w:val="center"/>
          </w:tcPr>
          <w:p w14:paraId="57877BD4">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433041FF">
            <w:pPr>
              <w:keepNext w:val="0"/>
              <w:keepLines w:val="0"/>
              <w:widowControl/>
              <w:suppressLineNumbers w:val="0"/>
              <w:jc w:val="center"/>
              <w:textAlignment w:val="center"/>
              <w:outlineLvl w:val="9"/>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4.5448</w:t>
            </w:r>
            <w:r>
              <w:rPr>
                <w:rFonts w:hint="default" w:ascii="Times New Roman" w:hAnsi="Times New Roman" w:eastAsia="宋体" w:cs="Times New Roman"/>
                <w:color w:val="auto"/>
                <w:sz w:val="21"/>
                <w:szCs w:val="21"/>
              </w:rPr>
              <w:t>kg/a</w:t>
            </w:r>
          </w:p>
        </w:tc>
        <w:tc>
          <w:tcPr>
            <w:tcW w:w="261" w:type="pct"/>
            <w:noWrap w:val="0"/>
            <w:vAlign w:val="center"/>
          </w:tcPr>
          <w:p w14:paraId="47AE1AD1">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62D8CA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368C1AAE">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18A97A1A">
            <w:pPr>
              <w:pStyle w:val="32"/>
              <w:spacing w:beforeLines="0" w:afterLines="0" w:line="240" w:lineRule="auto"/>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color w:val="auto"/>
                <w:sz w:val="21"/>
                <w:szCs w:val="21"/>
              </w:rPr>
              <w:t>硝酸雾（以NOx表征）</w:t>
            </w:r>
          </w:p>
        </w:tc>
        <w:tc>
          <w:tcPr>
            <w:tcW w:w="512" w:type="pct"/>
            <w:noWrap w:val="0"/>
            <w:vAlign w:val="center"/>
          </w:tcPr>
          <w:p w14:paraId="34F64CFB">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27A6318D">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50CDD5C5">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3F20C28C">
            <w:pPr>
              <w:keepNext w:val="0"/>
              <w:keepLines w:val="0"/>
              <w:widowControl/>
              <w:suppressLineNumbers w:val="0"/>
              <w:jc w:val="center"/>
              <w:textAlignment w:val="center"/>
              <w:outlineLvl w:val="9"/>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3.9</w:t>
            </w:r>
            <w:r>
              <w:rPr>
                <w:rFonts w:hint="default" w:ascii="Times New Roman" w:hAnsi="Times New Roman" w:eastAsia="宋体" w:cs="Times New Roman"/>
                <w:color w:val="auto"/>
                <w:sz w:val="21"/>
                <w:szCs w:val="21"/>
              </w:rPr>
              <w:t>kg/a</w:t>
            </w:r>
          </w:p>
        </w:tc>
        <w:tc>
          <w:tcPr>
            <w:tcW w:w="459" w:type="pct"/>
            <w:noWrap w:val="0"/>
            <w:vAlign w:val="center"/>
          </w:tcPr>
          <w:p w14:paraId="0546F28E">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7C46E52A">
            <w:pPr>
              <w:keepNext w:val="0"/>
              <w:keepLines w:val="0"/>
              <w:widowControl/>
              <w:suppressLineNumbers w:val="0"/>
              <w:jc w:val="center"/>
              <w:textAlignment w:val="center"/>
              <w:outlineLvl w:val="9"/>
              <w:rPr>
                <w:rFonts w:hint="default" w:ascii="Times New Roman" w:hAnsi="Times New Roman" w:eastAsia="宋体" w:cs="Times New Roman"/>
                <w:color w:val="auto"/>
                <w:sz w:val="21"/>
                <w:szCs w:val="21"/>
              </w:rPr>
            </w:pPr>
            <w:r>
              <w:rPr>
                <w:rFonts w:hint="eastAsia" w:cs="Times New Roman"/>
                <w:i w:val="0"/>
                <w:iCs w:val="0"/>
                <w:color w:val="auto"/>
                <w:kern w:val="0"/>
                <w:sz w:val="21"/>
                <w:szCs w:val="21"/>
                <w:u w:val="none"/>
                <w:lang w:val="en-US" w:eastAsia="zh-CN" w:bidi="ar"/>
              </w:rPr>
              <w:t>3.9</w:t>
            </w:r>
            <w:r>
              <w:rPr>
                <w:rFonts w:hint="default" w:ascii="Times New Roman" w:hAnsi="Times New Roman" w:eastAsia="宋体" w:cs="Times New Roman"/>
                <w:color w:val="auto"/>
                <w:sz w:val="21"/>
                <w:szCs w:val="21"/>
              </w:rPr>
              <w:t>kg/a</w:t>
            </w:r>
          </w:p>
        </w:tc>
        <w:tc>
          <w:tcPr>
            <w:tcW w:w="261" w:type="pct"/>
            <w:noWrap w:val="0"/>
            <w:vAlign w:val="center"/>
          </w:tcPr>
          <w:p w14:paraId="7CC37FA1">
            <w:pPr>
              <w:pStyle w:val="32"/>
              <w:spacing w:beforeLines="0" w:afterLines="0" w:line="240" w:lineRule="auto"/>
              <w:ind w:firstLine="0" w:firstLineChars="0"/>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2FF3C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2D13AD91">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6E8A6EFF">
            <w:pPr>
              <w:pStyle w:val="32"/>
              <w:spacing w:beforeLines="0" w:afterLines="0" w:line="240" w:lineRule="auto"/>
              <w:jc w:val="center"/>
              <w:outlineLvl w:val="9"/>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氨</w:t>
            </w:r>
          </w:p>
        </w:tc>
        <w:tc>
          <w:tcPr>
            <w:tcW w:w="512" w:type="pct"/>
            <w:noWrap w:val="0"/>
            <w:vAlign w:val="center"/>
          </w:tcPr>
          <w:p w14:paraId="5901C32B">
            <w:pPr>
              <w:pStyle w:val="32"/>
              <w:spacing w:beforeLines="0" w:afterLines="0" w:line="240" w:lineRule="auto"/>
              <w:ind w:firstLine="0" w:firstLineChars="0"/>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489" w:type="pct"/>
            <w:noWrap w:val="0"/>
            <w:vAlign w:val="center"/>
          </w:tcPr>
          <w:p w14:paraId="1A8009DF">
            <w:pPr>
              <w:pStyle w:val="32"/>
              <w:spacing w:beforeLines="0" w:afterLines="0" w:line="240" w:lineRule="auto"/>
              <w:ind w:firstLine="0" w:firstLineChars="0"/>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535" w:type="pct"/>
            <w:noWrap w:val="0"/>
            <w:vAlign w:val="center"/>
          </w:tcPr>
          <w:p w14:paraId="13550015">
            <w:pPr>
              <w:pStyle w:val="32"/>
              <w:spacing w:beforeLines="0" w:afterLines="0" w:line="240" w:lineRule="auto"/>
              <w:ind w:firstLine="0" w:firstLineChars="0"/>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545" w:type="pct"/>
            <w:noWrap w:val="0"/>
            <w:vAlign w:val="center"/>
          </w:tcPr>
          <w:p w14:paraId="3B2C9E34">
            <w:pPr>
              <w:keepNext w:val="0"/>
              <w:keepLines w:val="0"/>
              <w:widowControl/>
              <w:suppressLineNumbers w:val="0"/>
              <w:jc w:val="center"/>
              <w:textAlignment w:val="center"/>
              <w:outlineLvl w:val="9"/>
              <w:rPr>
                <w:rFonts w:hint="default" w:ascii="Times New Roman" w:hAnsi="Times New Roman" w:eastAsia="宋体" w:cs="Times New Roman"/>
                <w:b w:val="0"/>
                <w:bCs/>
                <w:color w:val="auto"/>
                <w:sz w:val="21"/>
                <w:szCs w:val="21"/>
                <w:lang w:val="en-US" w:eastAsia="zh-CN"/>
              </w:rPr>
            </w:pPr>
            <w:r>
              <w:rPr>
                <w:rFonts w:hint="eastAsia" w:cs="Times New Roman"/>
                <w:b w:val="0"/>
                <w:bCs/>
                <w:i w:val="0"/>
                <w:iCs w:val="0"/>
                <w:color w:val="auto"/>
                <w:kern w:val="0"/>
                <w:sz w:val="21"/>
                <w:szCs w:val="21"/>
                <w:u w:val="none"/>
                <w:lang w:val="en-US" w:eastAsia="zh-CN" w:bidi="ar"/>
              </w:rPr>
              <w:t>3.7856</w:t>
            </w:r>
            <w:r>
              <w:rPr>
                <w:rFonts w:hint="default" w:ascii="Times New Roman" w:hAnsi="Times New Roman" w:eastAsia="宋体" w:cs="Times New Roman"/>
                <w:b w:val="0"/>
                <w:bCs/>
                <w:color w:val="auto"/>
                <w:sz w:val="21"/>
                <w:szCs w:val="21"/>
              </w:rPr>
              <w:t>kg/a</w:t>
            </w:r>
          </w:p>
        </w:tc>
        <w:tc>
          <w:tcPr>
            <w:tcW w:w="459" w:type="pct"/>
            <w:noWrap w:val="0"/>
            <w:vAlign w:val="center"/>
          </w:tcPr>
          <w:p w14:paraId="49853769">
            <w:pPr>
              <w:pStyle w:val="32"/>
              <w:spacing w:beforeLines="0" w:afterLines="0" w:line="240" w:lineRule="auto"/>
              <w:ind w:firstLine="0" w:firstLineChars="0"/>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569" w:type="pct"/>
            <w:noWrap w:val="0"/>
            <w:vAlign w:val="center"/>
          </w:tcPr>
          <w:p w14:paraId="680E7FE3">
            <w:pPr>
              <w:keepNext w:val="0"/>
              <w:keepLines w:val="0"/>
              <w:widowControl/>
              <w:suppressLineNumbers w:val="0"/>
              <w:jc w:val="center"/>
              <w:textAlignment w:val="center"/>
              <w:outlineLvl w:val="9"/>
              <w:rPr>
                <w:rFonts w:hint="default" w:ascii="Times New Roman" w:hAnsi="Times New Roman" w:eastAsia="宋体" w:cs="Times New Roman"/>
                <w:b w:val="0"/>
                <w:bCs/>
                <w:color w:val="auto"/>
                <w:sz w:val="21"/>
                <w:szCs w:val="21"/>
                <w:lang w:val="en-US" w:eastAsia="zh-CN"/>
              </w:rPr>
            </w:pPr>
            <w:r>
              <w:rPr>
                <w:rFonts w:hint="eastAsia" w:cs="Times New Roman"/>
                <w:b w:val="0"/>
                <w:bCs/>
                <w:i w:val="0"/>
                <w:iCs w:val="0"/>
                <w:color w:val="auto"/>
                <w:kern w:val="0"/>
                <w:sz w:val="21"/>
                <w:szCs w:val="21"/>
                <w:u w:val="none"/>
                <w:lang w:val="en-US" w:eastAsia="zh-CN" w:bidi="ar"/>
              </w:rPr>
              <w:t>3.7856</w:t>
            </w:r>
            <w:r>
              <w:rPr>
                <w:rFonts w:hint="default" w:ascii="Times New Roman" w:hAnsi="Times New Roman" w:eastAsia="宋体" w:cs="Times New Roman"/>
                <w:b w:val="0"/>
                <w:bCs/>
                <w:color w:val="auto"/>
                <w:sz w:val="21"/>
                <w:szCs w:val="21"/>
              </w:rPr>
              <w:t>kg/a</w:t>
            </w:r>
          </w:p>
        </w:tc>
        <w:tc>
          <w:tcPr>
            <w:tcW w:w="261" w:type="pct"/>
            <w:noWrap w:val="0"/>
            <w:vAlign w:val="center"/>
          </w:tcPr>
          <w:p w14:paraId="1211027F">
            <w:pPr>
              <w:pStyle w:val="32"/>
              <w:spacing w:beforeLines="0" w:afterLines="0" w:line="240" w:lineRule="auto"/>
              <w:ind w:firstLine="0" w:firstLineChars="0"/>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r>
      <w:tr w14:paraId="420591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restart"/>
            <w:noWrap w:val="0"/>
            <w:vAlign w:val="center"/>
          </w:tcPr>
          <w:p w14:paraId="2E3468DC">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141" w:type="pct"/>
            <w:noWrap w:val="0"/>
            <w:vAlign w:val="center"/>
          </w:tcPr>
          <w:p w14:paraId="238E4485">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废水量</w:t>
            </w:r>
          </w:p>
        </w:tc>
        <w:tc>
          <w:tcPr>
            <w:tcW w:w="512" w:type="pct"/>
            <w:noWrap w:val="0"/>
            <w:vAlign w:val="center"/>
          </w:tcPr>
          <w:p w14:paraId="648E4BB7">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489" w:type="pct"/>
            <w:noWrap w:val="0"/>
            <w:vAlign w:val="center"/>
          </w:tcPr>
          <w:p w14:paraId="07641B9A">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535" w:type="pct"/>
            <w:noWrap w:val="0"/>
            <w:vAlign w:val="center"/>
          </w:tcPr>
          <w:p w14:paraId="0D48D92A">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545" w:type="pct"/>
            <w:noWrap w:val="0"/>
            <w:vAlign w:val="center"/>
          </w:tcPr>
          <w:p w14:paraId="22D3DC91">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color w:val="auto"/>
                <w:sz w:val="21"/>
                <w:szCs w:val="21"/>
                <w:vertAlign w:val="baseline"/>
                <w:lang w:val="en-US" w:eastAsia="zh-CN"/>
              </w:rPr>
              <w:t>20.365</w:t>
            </w:r>
            <w:r>
              <w:rPr>
                <w:rFonts w:hint="default" w:ascii="Times New Roman" w:hAnsi="Times New Roman" w:eastAsia="宋体" w:cs="Times New Roman"/>
                <w:b w:val="0"/>
                <w:bCs/>
                <w:color w:val="auto"/>
                <w:sz w:val="21"/>
                <w:szCs w:val="21"/>
              </w:rPr>
              <w:t>t/a</w:t>
            </w:r>
          </w:p>
        </w:tc>
        <w:tc>
          <w:tcPr>
            <w:tcW w:w="459" w:type="pct"/>
            <w:noWrap w:val="0"/>
            <w:vAlign w:val="center"/>
          </w:tcPr>
          <w:p w14:paraId="3ECD34DC">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569" w:type="pct"/>
            <w:noWrap w:val="0"/>
            <w:vAlign w:val="center"/>
          </w:tcPr>
          <w:p w14:paraId="41616F8A">
            <w:pPr>
              <w:pStyle w:val="32"/>
              <w:spacing w:beforeLines="0" w:afterLines="0" w:line="240" w:lineRule="auto"/>
              <w:ind w:firstLine="0" w:firstLineChars="0"/>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color w:val="auto"/>
                <w:sz w:val="21"/>
                <w:szCs w:val="21"/>
                <w:vertAlign w:val="baseline"/>
                <w:lang w:val="en-US" w:eastAsia="zh-CN"/>
              </w:rPr>
              <w:t>20.365</w:t>
            </w:r>
            <w:r>
              <w:rPr>
                <w:rFonts w:hint="default" w:ascii="Times New Roman" w:hAnsi="Times New Roman" w:eastAsia="宋体" w:cs="Times New Roman"/>
                <w:b w:val="0"/>
                <w:bCs/>
                <w:color w:val="auto"/>
                <w:sz w:val="21"/>
                <w:szCs w:val="21"/>
              </w:rPr>
              <w:t>t/a</w:t>
            </w:r>
          </w:p>
        </w:tc>
        <w:tc>
          <w:tcPr>
            <w:tcW w:w="261" w:type="pct"/>
            <w:noWrap w:val="0"/>
            <w:vAlign w:val="center"/>
          </w:tcPr>
          <w:p w14:paraId="605DC863">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r>
      <w:tr w14:paraId="0B3514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75B384CD">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3668E055">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COD</w:t>
            </w:r>
          </w:p>
        </w:tc>
        <w:tc>
          <w:tcPr>
            <w:tcW w:w="512" w:type="pct"/>
            <w:noWrap w:val="0"/>
            <w:vAlign w:val="center"/>
          </w:tcPr>
          <w:p w14:paraId="7B5BEAF4">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489" w:type="pct"/>
            <w:noWrap w:val="0"/>
            <w:vAlign w:val="center"/>
          </w:tcPr>
          <w:p w14:paraId="3E8D8922">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535" w:type="pct"/>
            <w:noWrap w:val="0"/>
            <w:vAlign w:val="center"/>
          </w:tcPr>
          <w:p w14:paraId="26ED6ACC">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545" w:type="pct"/>
            <w:noWrap w:val="0"/>
            <w:vAlign w:val="center"/>
          </w:tcPr>
          <w:p w14:paraId="0D503B28">
            <w:pPr>
              <w:pStyle w:val="32"/>
              <w:spacing w:beforeLines="0" w:afterLines="0" w:line="240" w:lineRule="auto"/>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0.00065</w:t>
            </w:r>
            <w:r>
              <w:rPr>
                <w:rFonts w:hint="default" w:ascii="Times New Roman" w:hAnsi="Times New Roman" w:eastAsia="宋体" w:cs="Times New Roman"/>
                <w:b w:val="0"/>
                <w:bCs/>
                <w:color w:val="auto"/>
                <w:sz w:val="21"/>
                <w:szCs w:val="21"/>
              </w:rPr>
              <w:t>t/a</w:t>
            </w:r>
          </w:p>
        </w:tc>
        <w:tc>
          <w:tcPr>
            <w:tcW w:w="459" w:type="pct"/>
            <w:noWrap w:val="0"/>
            <w:vAlign w:val="center"/>
          </w:tcPr>
          <w:p w14:paraId="6B5CA1B9">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569" w:type="pct"/>
            <w:noWrap w:val="0"/>
            <w:vAlign w:val="center"/>
          </w:tcPr>
          <w:p w14:paraId="41D1A4A3">
            <w:pPr>
              <w:pStyle w:val="32"/>
              <w:spacing w:beforeLines="0" w:afterLines="0" w:line="240" w:lineRule="auto"/>
              <w:ind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0.00065</w:t>
            </w:r>
            <w:r>
              <w:rPr>
                <w:rFonts w:hint="default" w:ascii="Times New Roman" w:hAnsi="Times New Roman" w:eastAsia="宋体" w:cs="Times New Roman"/>
                <w:b w:val="0"/>
                <w:bCs/>
                <w:color w:val="auto"/>
                <w:sz w:val="21"/>
                <w:szCs w:val="21"/>
              </w:rPr>
              <w:t>t/a</w:t>
            </w:r>
          </w:p>
        </w:tc>
        <w:tc>
          <w:tcPr>
            <w:tcW w:w="261" w:type="pct"/>
            <w:noWrap w:val="0"/>
            <w:vAlign w:val="center"/>
          </w:tcPr>
          <w:p w14:paraId="43F696C4">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r>
      <w:tr w14:paraId="0A068C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6C2E4CE2">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27924264">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lang w:val="en-US" w:eastAsia="zh-CN"/>
              </w:rPr>
            </w:pPr>
            <w:r>
              <w:rPr>
                <w:rFonts w:hint="default" w:ascii="Times New Roman" w:hAnsi="Times New Roman" w:eastAsia="宋体" w:cs="Times New Roman"/>
                <w:b w:val="0"/>
                <w:bCs/>
                <w:snapToGrid w:val="0"/>
                <w:color w:val="auto"/>
                <w:kern w:val="21"/>
                <w:sz w:val="21"/>
                <w:szCs w:val="21"/>
                <w:lang w:val="en-US" w:eastAsia="zh-CN"/>
              </w:rPr>
              <w:t>BOD</w:t>
            </w:r>
            <w:r>
              <w:rPr>
                <w:rFonts w:hint="default" w:ascii="Times New Roman" w:hAnsi="Times New Roman" w:eastAsia="宋体" w:cs="Times New Roman"/>
                <w:b w:val="0"/>
                <w:bCs/>
                <w:snapToGrid w:val="0"/>
                <w:color w:val="auto"/>
                <w:kern w:val="21"/>
                <w:sz w:val="21"/>
                <w:szCs w:val="21"/>
                <w:vertAlign w:val="subscript"/>
                <w:lang w:val="en-US" w:eastAsia="zh-CN"/>
              </w:rPr>
              <w:t>5</w:t>
            </w:r>
          </w:p>
        </w:tc>
        <w:tc>
          <w:tcPr>
            <w:tcW w:w="512" w:type="pct"/>
            <w:noWrap w:val="0"/>
            <w:vAlign w:val="center"/>
          </w:tcPr>
          <w:p w14:paraId="1F13FE39">
            <w:pPr>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7218E671">
            <w:pPr>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69FA7310">
            <w:pPr>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4A8B6501">
            <w:pPr>
              <w:pStyle w:val="32"/>
              <w:spacing w:beforeLines="0" w:afterLines="0" w:line="240" w:lineRule="auto"/>
              <w:jc w:val="center"/>
              <w:outlineLvl w:val="9"/>
              <w:rPr>
                <w:rFonts w:hint="default" w:ascii="Times New Roman" w:hAnsi="Times New Roman" w:eastAsia="宋体" w:cs="Times New Roman"/>
                <w:b w:val="0"/>
                <w:bCs/>
                <w:i w:val="0"/>
                <w:iCs w:val="0"/>
                <w:color w:val="auto"/>
                <w:kern w:val="0"/>
                <w:sz w:val="21"/>
                <w:szCs w:val="21"/>
                <w:u w:val="none"/>
                <w:lang w:val="en-US" w:eastAsia="zh-CN" w:bidi="ar"/>
              </w:rPr>
            </w:pPr>
            <w:r>
              <w:rPr>
                <w:rFonts w:hint="default" w:ascii="Times New Roman" w:hAnsi="Times New Roman" w:eastAsia="宋体" w:cs="Times New Roman"/>
                <w:b w:val="0"/>
                <w:bCs/>
                <w:i w:val="0"/>
                <w:iCs w:val="0"/>
                <w:color w:val="auto"/>
                <w:kern w:val="0"/>
                <w:sz w:val="21"/>
                <w:szCs w:val="21"/>
                <w:u w:val="none"/>
                <w:lang w:val="en-US" w:eastAsia="zh-CN" w:bidi="ar"/>
              </w:rPr>
              <w:t>0.0003</w:t>
            </w:r>
            <w:r>
              <w:rPr>
                <w:rFonts w:hint="default" w:ascii="Times New Roman" w:hAnsi="Times New Roman" w:eastAsia="宋体" w:cs="Times New Roman"/>
                <w:b w:val="0"/>
                <w:bCs/>
                <w:color w:val="auto"/>
                <w:sz w:val="21"/>
                <w:szCs w:val="21"/>
              </w:rPr>
              <w:t>t/a</w:t>
            </w:r>
          </w:p>
        </w:tc>
        <w:tc>
          <w:tcPr>
            <w:tcW w:w="459" w:type="pct"/>
            <w:noWrap w:val="0"/>
            <w:vAlign w:val="center"/>
          </w:tcPr>
          <w:p w14:paraId="417B5D18">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p>
        </w:tc>
        <w:tc>
          <w:tcPr>
            <w:tcW w:w="569" w:type="pct"/>
            <w:noWrap w:val="0"/>
            <w:vAlign w:val="center"/>
          </w:tcPr>
          <w:p w14:paraId="1A4B5752">
            <w:pPr>
              <w:pStyle w:val="32"/>
              <w:spacing w:beforeLines="0" w:afterLines="0" w:line="240" w:lineRule="auto"/>
              <w:ind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0.0003</w:t>
            </w:r>
            <w:r>
              <w:rPr>
                <w:rFonts w:hint="default" w:ascii="Times New Roman" w:hAnsi="Times New Roman" w:eastAsia="宋体" w:cs="Times New Roman"/>
                <w:b w:val="0"/>
                <w:bCs/>
                <w:color w:val="auto"/>
                <w:sz w:val="21"/>
                <w:szCs w:val="21"/>
              </w:rPr>
              <w:t>t/a</w:t>
            </w:r>
          </w:p>
        </w:tc>
        <w:tc>
          <w:tcPr>
            <w:tcW w:w="261" w:type="pct"/>
            <w:noWrap w:val="0"/>
            <w:vAlign w:val="center"/>
          </w:tcPr>
          <w:p w14:paraId="0AAFB12D">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p>
        </w:tc>
      </w:tr>
      <w:tr w14:paraId="34276D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06CC9CB8">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78889F3F">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氨氮</w:t>
            </w:r>
          </w:p>
        </w:tc>
        <w:tc>
          <w:tcPr>
            <w:tcW w:w="512" w:type="pct"/>
            <w:noWrap w:val="0"/>
            <w:vAlign w:val="center"/>
          </w:tcPr>
          <w:p w14:paraId="2FEC4119">
            <w:pPr>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41A9E350">
            <w:pPr>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2BE8215A">
            <w:pPr>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46BAFCEA">
            <w:pPr>
              <w:pStyle w:val="32"/>
              <w:spacing w:beforeLines="0" w:afterLines="0" w:line="240" w:lineRule="auto"/>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0.000012</w:t>
            </w:r>
            <w:r>
              <w:rPr>
                <w:rFonts w:hint="default" w:ascii="Times New Roman" w:hAnsi="Times New Roman" w:eastAsia="宋体" w:cs="Times New Roman"/>
                <w:b w:val="0"/>
                <w:bCs/>
                <w:color w:val="auto"/>
                <w:sz w:val="21"/>
                <w:szCs w:val="21"/>
              </w:rPr>
              <w:t>t/a</w:t>
            </w:r>
          </w:p>
        </w:tc>
        <w:tc>
          <w:tcPr>
            <w:tcW w:w="459" w:type="pct"/>
            <w:noWrap w:val="0"/>
            <w:vAlign w:val="center"/>
          </w:tcPr>
          <w:p w14:paraId="19CB6C37">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c>
          <w:tcPr>
            <w:tcW w:w="569" w:type="pct"/>
            <w:noWrap w:val="0"/>
            <w:vAlign w:val="center"/>
          </w:tcPr>
          <w:p w14:paraId="309B00EC">
            <w:pPr>
              <w:pStyle w:val="32"/>
              <w:spacing w:beforeLines="0" w:afterLines="0" w:line="240" w:lineRule="auto"/>
              <w:ind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0.000012</w:t>
            </w:r>
            <w:r>
              <w:rPr>
                <w:rFonts w:hint="default" w:ascii="Times New Roman" w:hAnsi="Times New Roman" w:eastAsia="宋体" w:cs="Times New Roman"/>
                <w:b w:val="0"/>
                <w:bCs/>
                <w:color w:val="auto"/>
                <w:sz w:val="21"/>
                <w:szCs w:val="21"/>
              </w:rPr>
              <w:t>t/a</w:t>
            </w:r>
          </w:p>
        </w:tc>
        <w:tc>
          <w:tcPr>
            <w:tcW w:w="261" w:type="pct"/>
            <w:noWrap w:val="0"/>
            <w:vAlign w:val="center"/>
          </w:tcPr>
          <w:p w14:paraId="50B6EB6A">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r>
      <w:tr w14:paraId="10C2A0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43965996">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58B387B7">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总磷</w:t>
            </w:r>
          </w:p>
        </w:tc>
        <w:tc>
          <w:tcPr>
            <w:tcW w:w="512" w:type="pct"/>
            <w:noWrap w:val="0"/>
            <w:vAlign w:val="center"/>
          </w:tcPr>
          <w:p w14:paraId="61E6B721">
            <w:pPr>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194A158E">
            <w:pPr>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46475093">
            <w:pPr>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3DDE18AB">
            <w:pPr>
              <w:pStyle w:val="32"/>
              <w:spacing w:beforeLines="0" w:afterLines="0" w:line="240" w:lineRule="auto"/>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 xml:space="preserve">0.000005 </w:t>
            </w:r>
            <w:r>
              <w:rPr>
                <w:rFonts w:hint="default" w:ascii="Times New Roman" w:hAnsi="Times New Roman" w:eastAsia="宋体" w:cs="Times New Roman"/>
                <w:b w:val="0"/>
                <w:bCs/>
                <w:color w:val="auto"/>
                <w:sz w:val="21"/>
                <w:szCs w:val="21"/>
              </w:rPr>
              <w:t>t/a</w:t>
            </w:r>
          </w:p>
        </w:tc>
        <w:tc>
          <w:tcPr>
            <w:tcW w:w="459" w:type="pct"/>
            <w:noWrap w:val="0"/>
            <w:vAlign w:val="center"/>
          </w:tcPr>
          <w:p w14:paraId="3DFFA512">
            <w:pPr>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3926D3C4">
            <w:pPr>
              <w:pStyle w:val="32"/>
              <w:spacing w:beforeLines="0" w:afterLines="0" w:line="240" w:lineRule="auto"/>
              <w:ind w:firstLine="0" w:firstLineChars="0"/>
              <w:jc w:val="center"/>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b w:val="0"/>
                <w:bCs/>
                <w:i w:val="0"/>
                <w:iCs w:val="0"/>
                <w:color w:val="auto"/>
                <w:kern w:val="0"/>
                <w:sz w:val="21"/>
                <w:szCs w:val="21"/>
                <w:u w:val="none"/>
                <w:lang w:val="en-US" w:eastAsia="zh-CN" w:bidi="ar"/>
              </w:rPr>
              <w:t xml:space="preserve">0.000005 </w:t>
            </w:r>
            <w:r>
              <w:rPr>
                <w:rFonts w:hint="default" w:ascii="Times New Roman" w:hAnsi="Times New Roman" w:eastAsia="宋体" w:cs="Times New Roman"/>
                <w:b w:val="0"/>
                <w:bCs/>
                <w:color w:val="auto"/>
                <w:sz w:val="21"/>
                <w:szCs w:val="21"/>
              </w:rPr>
              <w:t>t/a</w:t>
            </w:r>
          </w:p>
        </w:tc>
        <w:tc>
          <w:tcPr>
            <w:tcW w:w="261" w:type="pct"/>
            <w:noWrap w:val="0"/>
            <w:vAlign w:val="center"/>
          </w:tcPr>
          <w:p w14:paraId="3AF48E6A">
            <w:pPr>
              <w:pStyle w:val="32"/>
              <w:spacing w:beforeLines="0" w:afterLines="0" w:line="240" w:lineRule="auto"/>
              <w:jc w:val="center"/>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b w:val="0"/>
                <w:bCs/>
                <w:snapToGrid w:val="0"/>
                <w:color w:val="auto"/>
                <w:kern w:val="21"/>
                <w:sz w:val="21"/>
                <w:szCs w:val="21"/>
              </w:rPr>
              <w:t>/</w:t>
            </w:r>
          </w:p>
        </w:tc>
      </w:tr>
      <w:tr w14:paraId="24EF8D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restart"/>
            <w:noWrap w:val="0"/>
            <w:vAlign w:val="center"/>
          </w:tcPr>
          <w:p w14:paraId="7D36AB57">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w:t>
            </w:r>
          </w:p>
          <w:p w14:paraId="68EAB643">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固体废物</w:t>
            </w:r>
          </w:p>
        </w:tc>
        <w:tc>
          <w:tcPr>
            <w:tcW w:w="1141" w:type="pct"/>
            <w:noWrap w:val="0"/>
            <w:vAlign w:val="center"/>
          </w:tcPr>
          <w:p w14:paraId="3D296AD2">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 w:val="0"/>
                <w:bCs/>
                <w:color w:val="auto"/>
                <w:sz w:val="21"/>
                <w:szCs w:val="21"/>
              </w:rPr>
            </w:pPr>
            <w:r>
              <w:rPr>
                <w:rFonts w:hint="default" w:ascii="Times New Roman" w:hAnsi="Times New Roman" w:eastAsia="宋体" w:cs="Times New Roman"/>
                <w:color w:val="auto"/>
                <w:sz w:val="21"/>
                <w:szCs w:val="21"/>
              </w:rPr>
              <w:t>生活垃圾</w:t>
            </w:r>
          </w:p>
        </w:tc>
        <w:tc>
          <w:tcPr>
            <w:tcW w:w="512" w:type="pct"/>
            <w:noWrap w:val="0"/>
            <w:vAlign w:val="center"/>
          </w:tcPr>
          <w:p w14:paraId="4CCDEEF9">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1A10DAEF">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545E81E9">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6C0D14F1">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val="en-US" w:eastAsia="zh-CN"/>
              </w:rPr>
              <w:t>1.375</w:t>
            </w: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val="en-US" w:eastAsia="zh-CN"/>
              </w:rPr>
              <w:t>/a</w:t>
            </w:r>
          </w:p>
        </w:tc>
        <w:tc>
          <w:tcPr>
            <w:tcW w:w="459" w:type="pct"/>
            <w:noWrap w:val="0"/>
            <w:vAlign w:val="center"/>
          </w:tcPr>
          <w:p w14:paraId="59CC2C0C">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47E523E3">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val="en-US" w:eastAsia="zh-CN"/>
              </w:rPr>
              <w:t>1.375</w:t>
            </w:r>
            <w:r>
              <w:rPr>
                <w:rFonts w:hint="default" w:ascii="Times New Roman" w:hAnsi="Times New Roman" w:eastAsia="宋体" w:cs="Times New Roman"/>
                <w:color w:val="auto"/>
                <w:sz w:val="21"/>
                <w:szCs w:val="21"/>
              </w:rPr>
              <w:t>t</w:t>
            </w:r>
            <w:r>
              <w:rPr>
                <w:rFonts w:hint="default" w:ascii="Times New Roman" w:hAnsi="Times New Roman" w:eastAsia="宋体" w:cs="Times New Roman"/>
                <w:color w:val="auto"/>
                <w:sz w:val="21"/>
                <w:szCs w:val="21"/>
                <w:lang w:val="en-US" w:eastAsia="zh-CN"/>
              </w:rPr>
              <w:t>/a</w:t>
            </w:r>
          </w:p>
        </w:tc>
        <w:tc>
          <w:tcPr>
            <w:tcW w:w="261" w:type="pct"/>
            <w:noWrap w:val="0"/>
            <w:vAlign w:val="center"/>
          </w:tcPr>
          <w:p w14:paraId="51D66EC8">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54B56D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41E51AD8">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2DD38881">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color w:val="auto"/>
                <w:sz w:val="21"/>
                <w:szCs w:val="21"/>
              </w:rPr>
              <w:t>破碎玻璃、一般废包装品</w:t>
            </w:r>
          </w:p>
        </w:tc>
        <w:tc>
          <w:tcPr>
            <w:tcW w:w="512" w:type="pct"/>
            <w:noWrap w:val="0"/>
            <w:vAlign w:val="center"/>
          </w:tcPr>
          <w:p w14:paraId="07D1E512">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08DEA0A4">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322F0A6D">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3790CD72">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t/a</w:t>
            </w:r>
          </w:p>
        </w:tc>
        <w:tc>
          <w:tcPr>
            <w:tcW w:w="459" w:type="pct"/>
            <w:noWrap w:val="0"/>
            <w:vAlign w:val="center"/>
          </w:tcPr>
          <w:p w14:paraId="22E74300">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046642E6">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t/a</w:t>
            </w:r>
          </w:p>
        </w:tc>
        <w:tc>
          <w:tcPr>
            <w:tcW w:w="261" w:type="pct"/>
            <w:noWrap w:val="0"/>
            <w:vAlign w:val="center"/>
          </w:tcPr>
          <w:p w14:paraId="3F764618">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6008CB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265432A6">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191F5A1E">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color w:val="auto"/>
                <w:sz w:val="21"/>
                <w:szCs w:val="21"/>
              </w:rPr>
              <w:t>废培养基</w:t>
            </w:r>
          </w:p>
        </w:tc>
        <w:tc>
          <w:tcPr>
            <w:tcW w:w="512" w:type="pct"/>
            <w:noWrap w:val="0"/>
            <w:vAlign w:val="center"/>
          </w:tcPr>
          <w:p w14:paraId="737841E3">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66EAF743">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224799F6">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32E4AC5B">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t/a</w:t>
            </w:r>
          </w:p>
        </w:tc>
        <w:tc>
          <w:tcPr>
            <w:tcW w:w="459" w:type="pct"/>
            <w:noWrap w:val="0"/>
            <w:vAlign w:val="center"/>
          </w:tcPr>
          <w:p w14:paraId="0BC512DD">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48367899">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0.1</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t/a</w:t>
            </w:r>
          </w:p>
        </w:tc>
        <w:tc>
          <w:tcPr>
            <w:tcW w:w="261" w:type="pct"/>
            <w:noWrap w:val="0"/>
            <w:vAlign w:val="center"/>
          </w:tcPr>
          <w:p w14:paraId="440550DF">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64ABF9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5E02B1A0">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22AA20BD">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color w:val="auto"/>
                <w:sz w:val="21"/>
                <w:szCs w:val="21"/>
                <w:lang w:val="en-US" w:eastAsia="zh-CN"/>
              </w:rPr>
              <w:t>超</w:t>
            </w:r>
            <w:r>
              <w:rPr>
                <w:rFonts w:hint="default" w:ascii="Times New Roman" w:hAnsi="Times New Roman" w:eastAsia="宋体" w:cs="Times New Roman"/>
                <w:color w:val="auto"/>
                <w:sz w:val="21"/>
                <w:szCs w:val="21"/>
              </w:rPr>
              <w:t>纯水机设备更换的废过滤膜、废活性炭</w:t>
            </w:r>
          </w:p>
        </w:tc>
        <w:tc>
          <w:tcPr>
            <w:tcW w:w="512" w:type="pct"/>
            <w:noWrap w:val="0"/>
            <w:vAlign w:val="center"/>
          </w:tcPr>
          <w:p w14:paraId="7AA78A83">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56DDAE3E">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65E7D99B">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1D2BA654">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t/a</w:t>
            </w:r>
          </w:p>
        </w:tc>
        <w:tc>
          <w:tcPr>
            <w:tcW w:w="459" w:type="pct"/>
            <w:noWrap w:val="0"/>
            <w:vAlign w:val="center"/>
          </w:tcPr>
          <w:p w14:paraId="5B8B96FB">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3A7CD3A5">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t/a</w:t>
            </w:r>
          </w:p>
        </w:tc>
        <w:tc>
          <w:tcPr>
            <w:tcW w:w="261" w:type="pct"/>
            <w:noWrap w:val="0"/>
            <w:vAlign w:val="center"/>
          </w:tcPr>
          <w:p w14:paraId="1C9A48BA">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75666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76B950DA">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p>
        </w:tc>
        <w:tc>
          <w:tcPr>
            <w:tcW w:w="1141" w:type="pct"/>
            <w:noWrap w:val="0"/>
            <w:vAlign w:val="center"/>
          </w:tcPr>
          <w:p w14:paraId="0B912510">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color w:val="auto"/>
                <w:sz w:val="21"/>
                <w:szCs w:val="21"/>
                <w:lang w:val="en-US" w:eastAsia="zh-CN"/>
              </w:rPr>
              <w:t>废弃</w:t>
            </w:r>
            <w:r>
              <w:rPr>
                <w:rFonts w:hint="default" w:ascii="Times New Roman" w:hAnsi="Times New Roman" w:eastAsia="宋体" w:cs="Times New Roman"/>
                <w:color w:val="auto"/>
                <w:sz w:val="21"/>
                <w:szCs w:val="21"/>
              </w:rPr>
              <w:t>一次性手套</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口罩</w:t>
            </w:r>
            <w:r>
              <w:rPr>
                <w:rFonts w:hint="default" w:ascii="Times New Roman" w:hAnsi="Times New Roman" w:eastAsia="宋体" w:cs="Times New Roman"/>
                <w:color w:val="auto"/>
                <w:sz w:val="21"/>
                <w:szCs w:val="21"/>
              </w:rPr>
              <w:t>等一次性用品</w:t>
            </w:r>
          </w:p>
        </w:tc>
        <w:tc>
          <w:tcPr>
            <w:tcW w:w="512" w:type="pct"/>
            <w:noWrap w:val="0"/>
            <w:vAlign w:val="center"/>
          </w:tcPr>
          <w:p w14:paraId="10E8B427">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258C0F72">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21409CB0">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45" w:type="pct"/>
            <w:noWrap w:val="0"/>
            <w:vAlign w:val="center"/>
          </w:tcPr>
          <w:p w14:paraId="467DFC88">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t/a</w:t>
            </w:r>
          </w:p>
        </w:tc>
        <w:tc>
          <w:tcPr>
            <w:tcW w:w="459" w:type="pct"/>
            <w:noWrap w:val="0"/>
            <w:vAlign w:val="center"/>
          </w:tcPr>
          <w:p w14:paraId="3F3DD685">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69" w:type="pct"/>
            <w:noWrap w:val="0"/>
            <w:vAlign w:val="center"/>
          </w:tcPr>
          <w:p w14:paraId="5147907D">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t/a</w:t>
            </w:r>
          </w:p>
        </w:tc>
        <w:tc>
          <w:tcPr>
            <w:tcW w:w="261" w:type="pct"/>
            <w:noWrap w:val="0"/>
            <w:vAlign w:val="center"/>
          </w:tcPr>
          <w:p w14:paraId="466157D1">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0E555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restart"/>
            <w:noWrap w:val="0"/>
            <w:vAlign w:val="center"/>
          </w:tcPr>
          <w:p w14:paraId="205D9F3B">
            <w:pPr>
              <w:pStyle w:val="32"/>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危险废物</w:t>
            </w:r>
          </w:p>
        </w:tc>
        <w:tc>
          <w:tcPr>
            <w:tcW w:w="3080" w:type="dxa"/>
            <w:noWrap w:val="0"/>
            <w:vAlign w:val="center"/>
          </w:tcPr>
          <w:p w14:paraId="3958F2B1">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color w:val="auto"/>
                <w:sz w:val="21"/>
                <w:szCs w:val="21"/>
              </w:rPr>
              <w:t>报废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失效、</w:t>
            </w:r>
            <w:r>
              <w:rPr>
                <w:rFonts w:hint="default" w:ascii="Times New Roman" w:hAnsi="Times New Roman" w:eastAsia="宋体" w:cs="Times New Roman"/>
                <w:color w:val="auto"/>
                <w:sz w:val="21"/>
                <w:szCs w:val="21"/>
              </w:rPr>
              <w:t>过期化学试剂</w:t>
            </w:r>
          </w:p>
        </w:tc>
        <w:tc>
          <w:tcPr>
            <w:tcW w:w="512" w:type="pct"/>
            <w:noWrap w:val="0"/>
            <w:vAlign w:val="center"/>
          </w:tcPr>
          <w:p w14:paraId="05D0BD08">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6A84C3FE">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2E5291BA">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72" w:type="dxa"/>
            <w:noWrap w:val="0"/>
            <w:vAlign w:val="center"/>
          </w:tcPr>
          <w:p w14:paraId="59DCD908">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0.01t/a</w:t>
            </w:r>
          </w:p>
        </w:tc>
        <w:tc>
          <w:tcPr>
            <w:tcW w:w="459" w:type="pct"/>
            <w:noWrap w:val="0"/>
            <w:vAlign w:val="center"/>
          </w:tcPr>
          <w:p w14:paraId="1ABA341C">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7" w:type="dxa"/>
            <w:noWrap w:val="0"/>
            <w:vAlign w:val="center"/>
          </w:tcPr>
          <w:p w14:paraId="21942137">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0.01t/a</w:t>
            </w:r>
          </w:p>
        </w:tc>
        <w:tc>
          <w:tcPr>
            <w:tcW w:w="261" w:type="pct"/>
            <w:noWrap w:val="0"/>
            <w:vAlign w:val="center"/>
          </w:tcPr>
          <w:p w14:paraId="10A2D972">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638D52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12E64B08">
            <w:pPr>
              <w:pStyle w:val="32"/>
              <w:spacing w:beforeLines="0" w:afterLines="0" w:line="240" w:lineRule="auto"/>
              <w:outlineLvl w:val="9"/>
              <w:rPr>
                <w:rFonts w:hint="default" w:ascii="Times New Roman" w:hAnsi="Times New Roman" w:eastAsia="宋体" w:cs="Times New Roman"/>
                <w:snapToGrid w:val="0"/>
                <w:color w:val="auto"/>
                <w:kern w:val="21"/>
                <w:sz w:val="21"/>
                <w:szCs w:val="21"/>
              </w:rPr>
            </w:pPr>
          </w:p>
        </w:tc>
        <w:tc>
          <w:tcPr>
            <w:tcW w:w="3080" w:type="dxa"/>
            <w:noWrap w:val="0"/>
            <w:vAlign w:val="center"/>
          </w:tcPr>
          <w:p w14:paraId="7275442D">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color w:val="auto"/>
                <w:sz w:val="21"/>
                <w:szCs w:val="21"/>
              </w:rPr>
              <w:t>实验废液</w:t>
            </w:r>
          </w:p>
        </w:tc>
        <w:tc>
          <w:tcPr>
            <w:tcW w:w="512" w:type="pct"/>
            <w:noWrap w:val="0"/>
            <w:vAlign w:val="center"/>
          </w:tcPr>
          <w:p w14:paraId="6559DAF5">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596ADEA9">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1473385F">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72" w:type="dxa"/>
            <w:noWrap w:val="0"/>
            <w:vAlign w:val="center"/>
          </w:tcPr>
          <w:p w14:paraId="04DA8F83">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t/a</w:t>
            </w:r>
          </w:p>
        </w:tc>
        <w:tc>
          <w:tcPr>
            <w:tcW w:w="459" w:type="pct"/>
            <w:noWrap w:val="0"/>
            <w:vAlign w:val="center"/>
          </w:tcPr>
          <w:p w14:paraId="77C2B60F">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7" w:type="dxa"/>
            <w:noWrap w:val="0"/>
            <w:vAlign w:val="center"/>
          </w:tcPr>
          <w:p w14:paraId="4524D128">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t/a</w:t>
            </w:r>
          </w:p>
        </w:tc>
        <w:tc>
          <w:tcPr>
            <w:tcW w:w="261" w:type="pct"/>
            <w:noWrap w:val="0"/>
            <w:vAlign w:val="center"/>
          </w:tcPr>
          <w:p w14:paraId="79D35EA9">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1412F4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1CD4C8A5">
            <w:pPr>
              <w:pStyle w:val="32"/>
              <w:spacing w:beforeLines="0" w:afterLines="0" w:line="240" w:lineRule="auto"/>
              <w:outlineLvl w:val="9"/>
              <w:rPr>
                <w:rFonts w:hint="default" w:ascii="Times New Roman" w:hAnsi="Times New Roman" w:eastAsia="宋体" w:cs="Times New Roman"/>
                <w:snapToGrid w:val="0"/>
                <w:color w:val="auto"/>
                <w:kern w:val="21"/>
                <w:sz w:val="21"/>
                <w:szCs w:val="21"/>
              </w:rPr>
            </w:pPr>
          </w:p>
        </w:tc>
        <w:tc>
          <w:tcPr>
            <w:tcW w:w="3080" w:type="dxa"/>
            <w:noWrap w:val="0"/>
            <w:vAlign w:val="center"/>
          </w:tcPr>
          <w:p w14:paraId="11D5E909">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b w:val="0"/>
                <w:bCs/>
                <w:snapToGrid w:val="0"/>
                <w:color w:val="auto"/>
                <w:kern w:val="21"/>
                <w:sz w:val="21"/>
                <w:szCs w:val="21"/>
              </w:rPr>
            </w:pPr>
            <w:r>
              <w:rPr>
                <w:rFonts w:hint="default" w:ascii="Times New Roman" w:hAnsi="Times New Roman" w:eastAsia="宋体" w:cs="Times New Roman"/>
                <w:color w:val="auto"/>
                <w:sz w:val="21"/>
                <w:szCs w:val="21"/>
              </w:rPr>
              <w:t>废活性炭</w:t>
            </w:r>
          </w:p>
        </w:tc>
        <w:tc>
          <w:tcPr>
            <w:tcW w:w="512" w:type="pct"/>
            <w:noWrap w:val="0"/>
            <w:vAlign w:val="center"/>
          </w:tcPr>
          <w:p w14:paraId="627DE0E2">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0A9F2212">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3A7216B8">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72" w:type="dxa"/>
            <w:noWrap w:val="0"/>
            <w:vAlign w:val="center"/>
          </w:tcPr>
          <w:p w14:paraId="009039C1">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eastAsia" w:cs="Times New Roman"/>
                <w:color w:val="auto"/>
                <w:sz w:val="21"/>
                <w:szCs w:val="21"/>
                <w:lang w:val="en-US" w:eastAsia="zh-CN"/>
              </w:rPr>
              <w:t>0.4051t/a</w:t>
            </w:r>
          </w:p>
        </w:tc>
        <w:tc>
          <w:tcPr>
            <w:tcW w:w="459" w:type="pct"/>
            <w:noWrap w:val="0"/>
            <w:vAlign w:val="center"/>
          </w:tcPr>
          <w:p w14:paraId="41620B8F">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7" w:type="dxa"/>
            <w:noWrap w:val="0"/>
            <w:vAlign w:val="center"/>
          </w:tcPr>
          <w:p w14:paraId="26EB4BC3">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eastAsia" w:cs="Times New Roman"/>
                <w:color w:val="auto"/>
                <w:sz w:val="21"/>
                <w:szCs w:val="21"/>
                <w:lang w:val="en-US" w:eastAsia="zh-CN"/>
              </w:rPr>
              <w:t>0.4051t/a</w:t>
            </w:r>
          </w:p>
        </w:tc>
        <w:tc>
          <w:tcPr>
            <w:tcW w:w="261" w:type="pct"/>
            <w:noWrap w:val="0"/>
            <w:vAlign w:val="center"/>
          </w:tcPr>
          <w:p w14:paraId="1CC781FA">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14FA19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74BC0B4E">
            <w:pPr>
              <w:pStyle w:val="32"/>
              <w:spacing w:beforeLines="0" w:afterLines="0" w:line="240" w:lineRule="auto"/>
              <w:outlineLvl w:val="9"/>
              <w:rPr>
                <w:rFonts w:hint="default" w:ascii="Times New Roman" w:hAnsi="Times New Roman" w:eastAsia="宋体" w:cs="Times New Roman"/>
                <w:snapToGrid w:val="0"/>
                <w:color w:val="auto"/>
                <w:kern w:val="21"/>
                <w:sz w:val="21"/>
                <w:szCs w:val="21"/>
              </w:rPr>
            </w:pPr>
          </w:p>
        </w:tc>
        <w:tc>
          <w:tcPr>
            <w:tcW w:w="3080" w:type="dxa"/>
            <w:noWrap w:val="0"/>
            <w:vAlign w:val="center"/>
          </w:tcPr>
          <w:p w14:paraId="19CBA647">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实验室废试剂包装</w:t>
            </w:r>
          </w:p>
        </w:tc>
        <w:tc>
          <w:tcPr>
            <w:tcW w:w="512" w:type="pct"/>
            <w:noWrap w:val="0"/>
            <w:vAlign w:val="center"/>
          </w:tcPr>
          <w:p w14:paraId="45475B23">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6B608288">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19F34E7E">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72" w:type="dxa"/>
            <w:noWrap w:val="0"/>
            <w:vAlign w:val="center"/>
          </w:tcPr>
          <w:p w14:paraId="000568DC">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t/a</w:t>
            </w:r>
          </w:p>
        </w:tc>
        <w:tc>
          <w:tcPr>
            <w:tcW w:w="459" w:type="pct"/>
            <w:noWrap w:val="0"/>
            <w:vAlign w:val="center"/>
          </w:tcPr>
          <w:p w14:paraId="33363142">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7" w:type="dxa"/>
            <w:noWrap w:val="0"/>
            <w:vAlign w:val="center"/>
          </w:tcPr>
          <w:p w14:paraId="3E905C97">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t/a</w:t>
            </w:r>
          </w:p>
        </w:tc>
        <w:tc>
          <w:tcPr>
            <w:tcW w:w="261" w:type="pct"/>
            <w:noWrap w:val="0"/>
            <w:vAlign w:val="center"/>
          </w:tcPr>
          <w:p w14:paraId="69CA4E63">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556448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vMerge w:val="continue"/>
            <w:noWrap w:val="0"/>
            <w:vAlign w:val="center"/>
          </w:tcPr>
          <w:p w14:paraId="1F7980A2">
            <w:pPr>
              <w:pStyle w:val="32"/>
              <w:spacing w:beforeLines="0" w:afterLines="0" w:line="240" w:lineRule="auto"/>
              <w:outlineLvl w:val="9"/>
              <w:rPr>
                <w:rFonts w:hint="default" w:ascii="Times New Roman" w:hAnsi="Times New Roman" w:eastAsia="宋体" w:cs="Times New Roman"/>
                <w:snapToGrid w:val="0"/>
                <w:color w:val="auto"/>
                <w:kern w:val="21"/>
                <w:sz w:val="21"/>
                <w:szCs w:val="21"/>
              </w:rPr>
            </w:pPr>
          </w:p>
        </w:tc>
        <w:tc>
          <w:tcPr>
            <w:tcW w:w="3080" w:type="dxa"/>
            <w:noWrap w:val="0"/>
            <w:vAlign w:val="center"/>
          </w:tcPr>
          <w:p w14:paraId="3712BCBF">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中和沉淀池残渣</w:t>
            </w:r>
          </w:p>
        </w:tc>
        <w:tc>
          <w:tcPr>
            <w:tcW w:w="512" w:type="pct"/>
            <w:noWrap w:val="0"/>
            <w:vAlign w:val="center"/>
          </w:tcPr>
          <w:p w14:paraId="573F2879">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1FF3078B">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0E779CC0">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72" w:type="dxa"/>
            <w:noWrap w:val="0"/>
            <w:vAlign w:val="center"/>
          </w:tcPr>
          <w:p w14:paraId="4B3DF6AF">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0.01t/a</w:t>
            </w:r>
          </w:p>
        </w:tc>
        <w:tc>
          <w:tcPr>
            <w:tcW w:w="459" w:type="pct"/>
            <w:noWrap w:val="0"/>
            <w:vAlign w:val="center"/>
          </w:tcPr>
          <w:p w14:paraId="5D8938F1">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7" w:type="dxa"/>
            <w:noWrap w:val="0"/>
            <w:vAlign w:val="center"/>
          </w:tcPr>
          <w:p w14:paraId="2EEC7BFE">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0.01t/a</w:t>
            </w:r>
          </w:p>
        </w:tc>
        <w:tc>
          <w:tcPr>
            <w:tcW w:w="261" w:type="pct"/>
            <w:noWrap w:val="0"/>
            <w:vAlign w:val="center"/>
          </w:tcPr>
          <w:p w14:paraId="173FEAF6">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67C91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noWrap w:val="0"/>
            <w:vAlign w:val="center"/>
          </w:tcPr>
          <w:p w14:paraId="1077828A">
            <w:pPr>
              <w:pStyle w:val="32"/>
              <w:spacing w:beforeLines="0" w:afterLines="0" w:line="240" w:lineRule="auto"/>
              <w:outlineLvl w:val="9"/>
              <w:rPr>
                <w:rFonts w:hint="default" w:ascii="Times New Roman" w:hAnsi="Times New Roman" w:eastAsia="宋体" w:cs="Times New Roman"/>
                <w:snapToGrid w:val="0"/>
                <w:color w:val="auto"/>
                <w:kern w:val="21"/>
                <w:sz w:val="21"/>
                <w:szCs w:val="21"/>
              </w:rPr>
            </w:pPr>
            <w:bookmarkStart w:id="18" w:name="_Toc20549"/>
            <w:bookmarkStart w:id="19" w:name="_Toc23274"/>
          </w:p>
        </w:tc>
        <w:tc>
          <w:tcPr>
            <w:tcW w:w="3080" w:type="dxa"/>
            <w:noWrap w:val="0"/>
            <w:vAlign w:val="center"/>
          </w:tcPr>
          <w:p w14:paraId="26A44A79">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val="en-US" w:eastAsia="zh-CN"/>
              </w:rPr>
              <w:t>废紫外灯管</w:t>
            </w:r>
          </w:p>
        </w:tc>
        <w:tc>
          <w:tcPr>
            <w:tcW w:w="512" w:type="pct"/>
            <w:noWrap w:val="0"/>
            <w:vAlign w:val="center"/>
          </w:tcPr>
          <w:p w14:paraId="2D5CBA16">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386516A4">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0D8357C2">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72" w:type="dxa"/>
            <w:noWrap w:val="0"/>
            <w:vAlign w:val="center"/>
          </w:tcPr>
          <w:p w14:paraId="144E376C">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0.01t/a</w:t>
            </w:r>
          </w:p>
        </w:tc>
        <w:tc>
          <w:tcPr>
            <w:tcW w:w="459" w:type="pct"/>
            <w:noWrap w:val="0"/>
            <w:vAlign w:val="center"/>
          </w:tcPr>
          <w:p w14:paraId="3D621247">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7" w:type="dxa"/>
            <w:noWrap w:val="0"/>
            <w:vAlign w:val="center"/>
          </w:tcPr>
          <w:p w14:paraId="1E463B8C">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0.01t/a</w:t>
            </w:r>
          </w:p>
        </w:tc>
        <w:tc>
          <w:tcPr>
            <w:tcW w:w="261" w:type="pct"/>
            <w:noWrap w:val="0"/>
            <w:vAlign w:val="center"/>
          </w:tcPr>
          <w:p w14:paraId="08D1BC63">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r w14:paraId="04531C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485" w:type="pct"/>
            <w:noWrap w:val="0"/>
            <w:vAlign w:val="center"/>
          </w:tcPr>
          <w:p w14:paraId="714AF71C">
            <w:pPr>
              <w:pStyle w:val="32"/>
              <w:spacing w:beforeLines="0" w:afterLines="0" w:line="240" w:lineRule="auto"/>
              <w:outlineLvl w:val="9"/>
              <w:rPr>
                <w:rFonts w:hint="default" w:ascii="Times New Roman" w:hAnsi="Times New Roman" w:eastAsia="宋体" w:cs="Times New Roman"/>
                <w:snapToGrid w:val="0"/>
                <w:color w:val="auto"/>
                <w:kern w:val="21"/>
                <w:sz w:val="21"/>
                <w:szCs w:val="21"/>
              </w:rPr>
            </w:pPr>
          </w:p>
        </w:tc>
        <w:tc>
          <w:tcPr>
            <w:tcW w:w="3080" w:type="dxa"/>
            <w:noWrap w:val="0"/>
            <w:vAlign w:val="center"/>
          </w:tcPr>
          <w:p w14:paraId="36B85ACD">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val="en-US" w:eastAsia="zh-CN"/>
              </w:rPr>
              <w:t>喷淋塔沉渣</w:t>
            </w:r>
          </w:p>
        </w:tc>
        <w:tc>
          <w:tcPr>
            <w:tcW w:w="512" w:type="pct"/>
            <w:noWrap w:val="0"/>
            <w:vAlign w:val="center"/>
          </w:tcPr>
          <w:p w14:paraId="57B49CF8">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489" w:type="pct"/>
            <w:noWrap w:val="0"/>
            <w:vAlign w:val="center"/>
          </w:tcPr>
          <w:p w14:paraId="1D07D427">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535" w:type="pct"/>
            <w:noWrap w:val="0"/>
            <w:vAlign w:val="center"/>
          </w:tcPr>
          <w:p w14:paraId="63B53B6E">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472" w:type="dxa"/>
            <w:noWrap w:val="0"/>
            <w:vAlign w:val="center"/>
          </w:tcPr>
          <w:p w14:paraId="719F3E15">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0.008t/a</w:t>
            </w:r>
          </w:p>
        </w:tc>
        <w:tc>
          <w:tcPr>
            <w:tcW w:w="459" w:type="pct"/>
            <w:noWrap w:val="0"/>
            <w:vAlign w:val="center"/>
          </w:tcPr>
          <w:p w14:paraId="068DC9BD">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c>
          <w:tcPr>
            <w:tcW w:w="1537" w:type="dxa"/>
            <w:noWrap w:val="0"/>
            <w:vAlign w:val="center"/>
          </w:tcPr>
          <w:p w14:paraId="2C1B0CC7">
            <w:pPr>
              <w:keepLines w:val="0"/>
              <w:pageBreakBefore w:val="0"/>
              <w:widowControl w:val="0"/>
              <w:kinsoku/>
              <w:wordWrap/>
              <w:overflowPunct/>
              <w:topLinePunct w:val="0"/>
              <w:autoSpaceDE/>
              <w:autoSpaceDN/>
              <w:bidi w:val="0"/>
              <w:spacing w:line="360" w:lineRule="exact"/>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0.008t/a</w:t>
            </w:r>
          </w:p>
        </w:tc>
        <w:tc>
          <w:tcPr>
            <w:tcW w:w="261" w:type="pct"/>
            <w:noWrap w:val="0"/>
            <w:vAlign w:val="center"/>
          </w:tcPr>
          <w:p w14:paraId="27C4ABD7">
            <w:pPr>
              <w:spacing w:beforeLines="0" w:afterLines="0" w:line="240" w:lineRule="auto"/>
              <w:jc w:val="center"/>
              <w:outlineLvl w:val="9"/>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w:t>
            </w:r>
          </w:p>
        </w:tc>
      </w:tr>
    </w:tbl>
    <w:p w14:paraId="51B33F0B">
      <w:pPr>
        <w:pStyle w:val="32"/>
        <w:spacing w:before="192" w:beforeLines="80" w:after="24"/>
        <w:jc w:val="left"/>
        <w:outlineLvl w:val="9"/>
        <w:rPr>
          <w:rFonts w:hint="eastAsia"/>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bookmarkEnd w:id="18"/>
      <w:bookmarkEnd w:id="19"/>
    </w:p>
    <w:p w14:paraId="6F2752F8">
      <w:pPr>
        <w:bidi w:val="0"/>
        <w:rPr>
          <w:rFonts w:hint="default"/>
          <w:color w:val="auto"/>
        </w:rPr>
      </w:pPr>
    </w:p>
    <w:sectPr>
      <w:footerReference r:id="rId6" w:type="default"/>
      <w:pgSz w:w="16838" w:h="11906" w:orient="landscape"/>
      <w:pgMar w:top="1531" w:right="1701" w:bottom="1531" w:left="170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2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5A3CC">
    <w:pPr>
      <w:pStyle w:val="1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3D714">
    <w:pPr>
      <w:pStyle w:val="11"/>
      <w:framePr w:wrap="around" w:vAnchor="text" w:hAnchor="margin" w:xAlign="center" w:y="1"/>
      <w:rPr>
        <w:rStyle w:val="23"/>
      </w:rPr>
    </w:pPr>
    <w:r>
      <w:fldChar w:fldCharType="begin"/>
    </w:r>
    <w:r>
      <w:rPr>
        <w:rStyle w:val="23"/>
      </w:rPr>
      <w:instrText xml:space="preserve">PAGE  </w:instrText>
    </w:r>
    <w:r>
      <w:fldChar w:fldCharType="end"/>
    </w:r>
  </w:p>
  <w:p w14:paraId="4B5FAACB">
    <w:pPr>
      <w:pStyle w:val="1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A87C2">
    <w:pPr>
      <w:pStyle w:val="11"/>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A03B9A">
                          <w:pPr>
                            <w:pStyle w:val="11"/>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A03B9A">
                    <w:pPr>
                      <w:pStyle w:val="11"/>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AF02D">
    <w:pPr>
      <w:pStyle w:val="11"/>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EF1322">
                          <w:pPr>
                            <w:pStyle w:val="11"/>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Style w:val="23"/>
                              <w:rFonts w:ascii="宋体" w:hAnsi="宋体"/>
                              <w:sz w:val="26"/>
                              <w:szCs w:val="26"/>
                            </w:rPr>
                            <w:fldChar w:fldCharType="begin"/>
                          </w:r>
                          <w:r>
                            <w:rPr>
                              <w:rStyle w:val="23"/>
                              <w:rFonts w:ascii="宋体" w:hAnsi="宋体"/>
                              <w:sz w:val="26"/>
                              <w:szCs w:val="26"/>
                            </w:rPr>
                            <w:instrText xml:space="preserve">PAGE  </w:instrText>
                          </w:r>
                          <w:r>
                            <w:rPr>
                              <w:rStyle w:val="23"/>
                              <w:rFonts w:ascii="宋体" w:hAnsi="宋体"/>
                              <w:sz w:val="26"/>
                              <w:szCs w:val="26"/>
                            </w:rPr>
                            <w:fldChar w:fldCharType="separate"/>
                          </w:r>
                          <w:r>
                            <w:rPr>
                              <w:rStyle w:val="23"/>
                              <w:rFonts w:ascii="宋体" w:hAnsi="宋体"/>
                              <w:sz w:val="26"/>
                              <w:szCs w:val="26"/>
                            </w:rPr>
                            <w:t>108</w:t>
                          </w:r>
                          <w:r>
                            <w:rPr>
                              <w:rStyle w:val="23"/>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EF1322">
                    <w:pPr>
                      <w:pStyle w:val="11"/>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Style w:val="23"/>
                        <w:rFonts w:ascii="宋体" w:hAnsi="宋体"/>
                        <w:sz w:val="26"/>
                        <w:szCs w:val="26"/>
                      </w:rPr>
                      <w:fldChar w:fldCharType="begin"/>
                    </w:r>
                    <w:r>
                      <w:rPr>
                        <w:rStyle w:val="23"/>
                        <w:rFonts w:ascii="宋体" w:hAnsi="宋体"/>
                        <w:sz w:val="26"/>
                        <w:szCs w:val="26"/>
                      </w:rPr>
                      <w:instrText xml:space="preserve">PAGE  </w:instrText>
                    </w:r>
                    <w:r>
                      <w:rPr>
                        <w:rStyle w:val="23"/>
                        <w:rFonts w:ascii="宋体" w:hAnsi="宋体"/>
                        <w:sz w:val="26"/>
                        <w:szCs w:val="26"/>
                      </w:rPr>
                      <w:fldChar w:fldCharType="separate"/>
                    </w:r>
                    <w:r>
                      <w:rPr>
                        <w:rStyle w:val="23"/>
                        <w:rFonts w:ascii="宋体" w:hAnsi="宋体"/>
                        <w:sz w:val="26"/>
                        <w:szCs w:val="26"/>
                      </w:rPr>
                      <w:t>108</w:t>
                    </w:r>
                    <w:r>
                      <w:rPr>
                        <w:rStyle w:val="23"/>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84ACCA"/>
    <w:multiLevelType w:val="singleLevel"/>
    <w:tmpl w:val="4384ACCA"/>
    <w:lvl w:ilvl="0" w:tentative="0">
      <w:start w:val="2"/>
      <w:numFmt w:val="decimal"/>
      <w:suff w:val="nothing"/>
      <w:lvlText w:val="（%1）"/>
      <w:lvlJc w:val="left"/>
    </w:lvl>
  </w:abstractNum>
  <w:abstractNum w:abstractNumId="1">
    <w:nsid w:val="71227845"/>
    <w:multiLevelType w:val="singleLevel"/>
    <w:tmpl w:val="71227845"/>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940F6D"/>
    <w:rsid w:val="000A0221"/>
    <w:rsid w:val="005A0FB6"/>
    <w:rsid w:val="006203FB"/>
    <w:rsid w:val="006601E1"/>
    <w:rsid w:val="00B06E28"/>
    <w:rsid w:val="00D2438C"/>
    <w:rsid w:val="00E73562"/>
    <w:rsid w:val="01221C92"/>
    <w:rsid w:val="016320EC"/>
    <w:rsid w:val="019A07BB"/>
    <w:rsid w:val="019D73AC"/>
    <w:rsid w:val="01AD65BC"/>
    <w:rsid w:val="01E33E38"/>
    <w:rsid w:val="021E1109"/>
    <w:rsid w:val="02286390"/>
    <w:rsid w:val="030B3033"/>
    <w:rsid w:val="03247A14"/>
    <w:rsid w:val="032B6C3A"/>
    <w:rsid w:val="036A7762"/>
    <w:rsid w:val="03704807"/>
    <w:rsid w:val="03DF1EFE"/>
    <w:rsid w:val="03F50E91"/>
    <w:rsid w:val="044C0C16"/>
    <w:rsid w:val="04506958"/>
    <w:rsid w:val="048B0EE1"/>
    <w:rsid w:val="04B51C08"/>
    <w:rsid w:val="04DA4474"/>
    <w:rsid w:val="05347033"/>
    <w:rsid w:val="05F27978"/>
    <w:rsid w:val="062B7C06"/>
    <w:rsid w:val="06496BB3"/>
    <w:rsid w:val="06821A3C"/>
    <w:rsid w:val="06A67925"/>
    <w:rsid w:val="06AB431A"/>
    <w:rsid w:val="07161514"/>
    <w:rsid w:val="07283F3A"/>
    <w:rsid w:val="072B49BE"/>
    <w:rsid w:val="076961BA"/>
    <w:rsid w:val="076F3599"/>
    <w:rsid w:val="07B94814"/>
    <w:rsid w:val="07EA2C20"/>
    <w:rsid w:val="08B2198B"/>
    <w:rsid w:val="08E644B3"/>
    <w:rsid w:val="08F656E9"/>
    <w:rsid w:val="0920650C"/>
    <w:rsid w:val="094F6FFD"/>
    <w:rsid w:val="0956342B"/>
    <w:rsid w:val="0963168C"/>
    <w:rsid w:val="09B810A2"/>
    <w:rsid w:val="0A093270"/>
    <w:rsid w:val="0A662C3E"/>
    <w:rsid w:val="0A894972"/>
    <w:rsid w:val="0A95663D"/>
    <w:rsid w:val="0B544B8A"/>
    <w:rsid w:val="0B6415EF"/>
    <w:rsid w:val="0B7368BE"/>
    <w:rsid w:val="0B7C268F"/>
    <w:rsid w:val="0BAB0252"/>
    <w:rsid w:val="0BC02E5C"/>
    <w:rsid w:val="0C097083"/>
    <w:rsid w:val="0C573AB6"/>
    <w:rsid w:val="0C5808EB"/>
    <w:rsid w:val="0C62191E"/>
    <w:rsid w:val="0C8E6E4B"/>
    <w:rsid w:val="0CF57D32"/>
    <w:rsid w:val="0D1418BD"/>
    <w:rsid w:val="0D467862"/>
    <w:rsid w:val="0D910C0E"/>
    <w:rsid w:val="0DDF1D7D"/>
    <w:rsid w:val="0E35096D"/>
    <w:rsid w:val="0E934C8B"/>
    <w:rsid w:val="0ED66531"/>
    <w:rsid w:val="0EE24651"/>
    <w:rsid w:val="0EFF1A94"/>
    <w:rsid w:val="0F0C479E"/>
    <w:rsid w:val="0FA7589A"/>
    <w:rsid w:val="0FD73B7D"/>
    <w:rsid w:val="0FFC7697"/>
    <w:rsid w:val="10AB6002"/>
    <w:rsid w:val="10CA4D17"/>
    <w:rsid w:val="10DD673D"/>
    <w:rsid w:val="11110811"/>
    <w:rsid w:val="117D448D"/>
    <w:rsid w:val="11DC7251"/>
    <w:rsid w:val="129048C8"/>
    <w:rsid w:val="12A8112B"/>
    <w:rsid w:val="12E2371F"/>
    <w:rsid w:val="130565B9"/>
    <w:rsid w:val="131D046B"/>
    <w:rsid w:val="1336169A"/>
    <w:rsid w:val="1343665D"/>
    <w:rsid w:val="13922263"/>
    <w:rsid w:val="139D4A0A"/>
    <w:rsid w:val="13B81E24"/>
    <w:rsid w:val="13EE6440"/>
    <w:rsid w:val="142923F2"/>
    <w:rsid w:val="145F4995"/>
    <w:rsid w:val="14974431"/>
    <w:rsid w:val="14EC6637"/>
    <w:rsid w:val="15793835"/>
    <w:rsid w:val="15B10EEE"/>
    <w:rsid w:val="15B529C4"/>
    <w:rsid w:val="15DA0356"/>
    <w:rsid w:val="161672D6"/>
    <w:rsid w:val="16312C55"/>
    <w:rsid w:val="16552657"/>
    <w:rsid w:val="167B356F"/>
    <w:rsid w:val="167D0169"/>
    <w:rsid w:val="16DE532A"/>
    <w:rsid w:val="173552D9"/>
    <w:rsid w:val="17F57103"/>
    <w:rsid w:val="182B7548"/>
    <w:rsid w:val="188D18AA"/>
    <w:rsid w:val="18C63235"/>
    <w:rsid w:val="18C748B7"/>
    <w:rsid w:val="19153A47"/>
    <w:rsid w:val="199E7D0E"/>
    <w:rsid w:val="19AB1272"/>
    <w:rsid w:val="19EF40C6"/>
    <w:rsid w:val="19FE07AD"/>
    <w:rsid w:val="1A8C60C4"/>
    <w:rsid w:val="1AFB6C51"/>
    <w:rsid w:val="1B043076"/>
    <w:rsid w:val="1B397CEE"/>
    <w:rsid w:val="1BD704C0"/>
    <w:rsid w:val="1C0F01A9"/>
    <w:rsid w:val="1C983002"/>
    <w:rsid w:val="1CBA09BB"/>
    <w:rsid w:val="1CC55E83"/>
    <w:rsid w:val="1CCB706C"/>
    <w:rsid w:val="1CF71C0F"/>
    <w:rsid w:val="1D0404BA"/>
    <w:rsid w:val="1D59497A"/>
    <w:rsid w:val="1E254AFD"/>
    <w:rsid w:val="1E404360"/>
    <w:rsid w:val="1E5D1F46"/>
    <w:rsid w:val="1E5D6F6E"/>
    <w:rsid w:val="1EA720AE"/>
    <w:rsid w:val="1EA843C0"/>
    <w:rsid w:val="1EE230D6"/>
    <w:rsid w:val="1EF53F2C"/>
    <w:rsid w:val="1EF75ED7"/>
    <w:rsid w:val="1F7335D3"/>
    <w:rsid w:val="1F761250"/>
    <w:rsid w:val="1F7D3FE0"/>
    <w:rsid w:val="1FB57B5F"/>
    <w:rsid w:val="1FBE0892"/>
    <w:rsid w:val="1FC67D19"/>
    <w:rsid w:val="20052057"/>
    <w:rsid w:val="20082D60"/>
    <w:rsid w:val="20117C39"/>
    <w:rsid w:val="20187D89"/>
    <w:rsid w:val="208A1105"/>
    <w:rsid w:val="208D1D8F"/>
    <w:rsid w:val="20A30DBB"/>
    <w:rsid w:val="20D71487"/>
    <w:rsid w:val="20E71119"/>
    <w:rsid w:val="21007463"/>
    <w:rsid w:val="211F1734"/>
    <w:rsid w:val="2223013C"/>
    <w:rsid w:val="22433200"/>
    <w:rsid w:val="228909CC"/>
    <w:rsid w:val="22941CAE"/>
    <w:rsid w:val="22AD2D70"/>
    <w:rsid w:val="2322375E"/>
    <w:rsid w:val="233D573E"/>
    <w:rsid w:val="23405992"/>
    <w:rsid w:val="23457C09"/>
    <w:rsid w:val="23751ADF"/>
    <w:rsid w:val="23DC2236"/>
    <w:rsid w:val="23DF632B"/>
    <w:rsid w:val="23ED5F4A"/>
    <w:rsid w:val="240603DE"/>
    <w:rsid w:val="241D46B8"/>
    <w:rsid w:val="242A56ED"/>
    <w:rsid w:val="243F4DDB"/>
    <w:rsid w:val="24583790"/>
    <w:rsid w:val="24C226BB"/>
    <w:rsid w:val="24CD0F21"/>
    <w:rsid w:val="24E336DF"/>
    <w:rsid w:val="25425AB7"/>
    <w:rsid w:val="254479BB"/>
    <w:rsid w:val="255A1965"/>
    <w:rsid w:val="26015894"/>
    <w:rsid w:val="26502764"/>
    <w:rsid w:val="266371B1"/>
    <w:rsid w:val="2685028B"/>
    <w:rsid w:val="26981334"/>
    <w:rsid w:val="269B09D1"/>
    <w:rsid w:val="26CD578F"/>
    <w:rsid w:val="26D057A2"/>
    <w:rsid w:val="26D5378C"/>
    <w:rsid w:val="26FE1DEC"/>
    <w:rsid w:val="27A5762B"/>
    <w:rsid w:val="27C62F55"/>
    <w:rsid w:val="27E014F2"/>
    <w:rsid w:val="28245882"/>
    <w:rsid w:val="28D5670F"/>
    <w:rsid w:val="28E365D3"/>
    <w:rsid w:val="2918650E"/>
    <w:rsid w:val="292850B8"/>
    <w:rsid w:val="292F7689"/>
    <w:rsid w:val="298F0366"/>
    <w:rsid w:val="29EA7E96"/>
    <w:rsid w:val="2A200B10"/>
    <w:rsid w:val="2A275B88"/>
    <w:rsid w:val="2A3F5517"/>
    <w:rsid w:val="2A44220C"/>
    <w:rsid w:val="2A5A558B"/>
    <w:rsid w:val="2A5A77E7"/>
    <w:rsid w:val="2A9343D5"/>
    <w:rsid w:val="2B9C1580"/>
    <w:rsid w:val="2BD61589"/>
    <w:rsid w:val="2BDA18ED"/>
    <w:rsid w:val="2BEB1DD2"/>
    <w:rsid w:val="2C31667D"/>
    <w:rsid w:val="2C350350"/>
    <w:rsid w:val="2C514863"/>
    <w:rsid w:val="2C8160AB"/>
    <w:rsid w:val="2C9B486B"/>
    <w:rsid w:val="2D3A39D9"/>
    <w:rsid w:val="2D5423F7"/>
    <w:rsid w:val="2D5866EF"/>
    <w:rsid w:val="2D707F51"/>
    <w:rsid w:val="2D937732"/>
    <w:rsid w:val="2DD1479E"/>
    <w:rsid w:val="2DE33AEA"/>
    <w:rsid w:val="2E1A2542"/>
    <w:rsid w:val="2E217F77"/>
    <w:rsid w:val="2E2A1718"/>
    <w:rsid w:val="2E436351"/>
    <w:rsid w:val="2EA96AE1"/>
    <w:rsid w:val="2EB21E3A"/>
    <w:rsid w:val="2ED27D08"/>
    <w:rsid w:val="2EEA6149"/>
    <w:rsid w:val="2F10259A"/>
    <w:rsid w:val="2F4F64C1"/>
    <w:rsid w:val="2F560A17"/>
    <w:rsid w:val="2F8C268B"/>
    <w:rsid w:val="2F8F217B"/>
    <w:rsid w:val="2FA75394"/>
    <w:rsid w:val="2FAD0853"/>
    <w:rsid w:val="2FF65D56"/>
    <w:rsid w:val="308E57E5"/>
    <w:rsid w:val="30B571C9"/>
    <w:rsid w:val="310D534A"/>
    <w:rsid w:val="311C7A3E"/>
    <w:rsid w:val="3150740D"/>
    <w:rsid w:val="315C3A9E"/>
    <w:rsid w:val="31695AD3"/>
    <w:rsid w:val="31705658"/>
    <w:rsid w:val="31BF1971"/>
    <w:rsid w:val="31E862CE"/>
    <w:rsid w:val="31F113E7"/>
    <w:rsid w:val="31F70924"/>
    <w:rsid w:val="324B7680"/>
    <w:rsid w:val="32A001FB"/>
    <w:rsid w:val="331A142E"/>
    <w:rsid w:val="33C56B18"/>
    <w:rsid w:val="33DD35DD"/>
    <w:rsid w:val="33F452E2"/>
    <w:rsid w:val="344A041F"/>
    <w:rsid w:val="347532E3"/>
    <w:rsid w:val="34B32468"/>
    <w:rsid w:val="34FF383A"/>
    <w:rsid w:val="35110C1B"/>
    <w:rsid w:val="35793549"/>
    <w:rsid w:val="35B53FBD"/>
    <w:rsid w:val="35FD4DCB"/>
    <w:rsid w:val="361B54F6"/>
    <w:rsid w:val="36863E08"/>
    <w:rsid w:val="369A21D0"/>
    <w:rsid w:val="36AC3612"/>
    <w:rsid w:val="374E6478"/>
    <w:rsid w:val="376F4297"/>
    <w:rsid w:val="37747517"/>
    <w:rsid w:val="37787B8D"/>
    <w:rsid w:val="377F7941"/>
    <w:rsid w:val="3810197F"/>
    <w:rsid w:val="38264F6E"/>
    <w:rsid w:val="38857FCE"/>
    <w:rsid w:val="38871C41"/>
    <w:rsid w:val="38CE301C"/>
    <w:rsid w:val="38D20AF6"/>
    <w:rsid w:val="38D329E8"/>
    <w:rsid w:val="38D94467"/>
    <w:rsid w:val="38DB1F8D"/>
    <w:rsid w:val="390414E4"/>
    <w:rsid w:val="393610E2"/>
    <w:rsid w:val="393C1129"/>
    <w:rsid w:val="395B7C68"/>
    <w:rsid w:val="39B650D2"/>
    <w:rsid w:val="3A077362"/>
    <w:rsid w:val="3A1C6AB6"/>
    <w:rsid w:val="3A1D06F9"/>
    <w:rsid w:val="3A3616F7"/>
    <w:rsid w:val="3A3C0EF1"/>
    <w:rsid w:val="3A81300B"/>
    <w:rsid w:val="3AA464CF"/>
    <w:rsid w:val="3B181276"/>
    <w:rsid w:val="3B4B362F"/>
    <w:rsid w:val="3C440CDA"/>
    <w:rsid w:val="3C563913"/>
    <w:rsid w:val="3C706E90"/>
    <w:rsid w:val="3CB11983"/>
    <w:rsid w:val="3CBC2B33"/>
    <w:rsid w:val="3CC7774D"/>
    <w:rsid w:val="3CE63C5B"/>
    <w:rsid w:val="3CEC4769"/>
    <w:rsid w:val="3CF03B2D"/>
    <w:rsid w:val="3D007A0A"/>
    <w:rsid w:val="3D031AB2"/>
    <w:rsid w:val="3D4B6B9B"/>
    <w:rsid w:val="3D8E047F"/>
    <w:rsid w:val="3DDA5EB7"/>
    <w:rsid w:val="3E66679D"/>
    <w:rsid w:val="3E807EF2"/>
    <w:rsid w:val="3E9C2639"/>
    <w:rsid w:val="3EA41FAD"/>
    <w:rsid w:val="3EE576C2"/>
    <w:rsid w:val="3EF96345"/>
    <w:rsid w:val="3F1B5131"/>
    <w:rsid w:val="3F1B7587"/>
    <w:rsid w:val="3F342088"/>
    <w:rsid w:val="3FCC0881"/>
    <w:rsid w:val="401E5433"/>
    <w:rsid w:val="40434EFD"/>
    <w:rsid w:val="40486C2B"/>
    <w:rsid w:val="404F1F2A"/>
    <w:rsid w:val="4093541D"/>
    <w:rsid w:val="40FC52AF"/>
    <w:rsid w:val="415A27CE"/>
    <w:rsid w:val="41CF4659"/>
    <w:rsid w:val="42462B6D"/>
    <w:rsid w:val="42745E1C"/>
    <w:rsid w:val="42DD6210"/>
    <w:rsid w:val="42E72249"/>
    <w:rsid w:val="431023E4"/>
    <w:rsid w:val="434A043B"/>
    <w:rsid w:val="437A4463"/>
    <w:rsid w:val="43864785"/>
    <w:rsid w:val="439F21EB"/>
    <w:rsid w:val="43AE19C5"/>
    <w:rsid w:val="43DD305D"/>
    <w:rsid w:val="43F263DD"/>
    <w:rsid w:val="44445EFA"/>
    <w:rsid w:val="445E512A"/>
    <w:rsid w:val="44676AFA"/>
    <w:rsid w:val="446B745A"/>
    <w:rsid w:val="44AF4AE1"/>
    <w:rsid w:val="44DC1D3A"/>
    <w:rsid w:val="44E52B80"/>
    <w:rsid w:val="451A3711"/>
    <w:rsid w:val="456F4826"/>
    <w:rsid w:val="458B3DA8"/>
    <w:rsid w:val="45A91B1B"/>
    <w:rsid w:val="45C927E6"/>
    <w:rsid w:val="46563F1C"/>
    <w:rsid w:val="4679289A"/>
    <w:rsid w:val="46F223C9"/>
    <w:rsid w:val="473003E9"/>
    <w:rsid w:val="47B16CDB"/>
    <w:rsid w:val="47E62BEC"/>
    <w:rsid w:val="47FA2664"/>
    <w:rsid w:val="481315DA"/>
    <w:rsid w:val="48366316"/>
    <w:rsid w:val="48C11553"/>
    <w:rsid w:val="490C1CEF"/>
    <w:rsid w:val="491C63D6"/>
    <w:rsid w:val="49650C3B"/>
    <w:rsid w:val="49FF6259"/>
    <w:rsid w:val="4A111CB3"/>
    <w:rsid w:val="4A203CA4"/>
    <w:rsid w:val="4A2D27B7"/>
    <w:rsid w:val="4A396B13"/>
    <w:rsid w:val="4A5F3FA0"/>
    <w:rsid w:val="4A70005F"/>
    <w:rsid w:val="4A9032DC"/>
    <w:rsid w:val="4AAC583E"/>
    <w:rsid w:val="4AD14F9E"/>
    <w:rsid w:val="4AE3727F"/>
    <w:rsid w:val="4B2C48CA"/>
    <w:rsid w:val="4B690DAD"/>
    <w:rsid w:val="4B76256A"/>
    <w:rsid w:val="4B97074E"/>
    <w:rsid w:val="4BEC7B31"/>
    <w:rsid w:val="4C0616C9"/>
    <w:rsid w:val="4C1246DA"/>
    <w:rsid w:val="4C2A0E0A"/>
    <w:rsid w:val="4CB6269D"/>
    <w:rsid w:val="4D0E24D9"/>
    <w:rsid w:val="4D5C7A41"/>
    <w:rsid w:val="4D857B15"/>
    <w:rsid w:val="4D9D54CA"/>
    <w:rsid w:val="4DE80F7C"/>
    <w:rsid w:val="4E233D62"/>
    <w:rsid w:val="4E6057CF"/>
    <w:rsid w:val="4E8C04CD"/>
    <w:rsid w:val="4EEC35E9"/>
    <w:rsid w:val="4F064B7D"/>
    <w:rsid w:val="4F164109"/>
    <w:rsid w:val="4F1D2E5C"/>
    <w:rsid w:val="4F302BDB"/>
    <w:rsid w:val="4F4375EB"/>
    <w:rsid w:val="4F4D3A6F"/>
    <w:rsid w:val="4F4F5BD5"/>
    <w:rsid w:val="4F807919"/>
    <w:rsid w:val="4F93316A"/>
    <w:rsid w:val="4F9A0054"/>
    <w:rsid w:val="500E7477"/>
    <w:rsid w:val="505A77E4"/>
    <w:rsid w:val="505B229C"/>
    <w:rsid w:val="50636531"/>
    <w:rsid w:val="50A977D7"/>
    <w:rsid w:val="50BC2C40"/>
    <w:rsid w:val="50EA6715"/>
    <w:rsid w:val="50F504E0"/>
    <w:rsid w:val="50FB5A2C"/>
    <w:rsid w:val="510C6462"/>
    <w:rsid w:val="510E618A"/>
    <w:rsid w:val="511C3A6C"/>
    <w:rsid w:val="51412842"/>
    <w:rsid w:val="517843C5"/>
    <w:rsid w:val="51984A67"/>
    <w:rsid w:val="51C10D31"/>
    <w:rsid w:val="52244F19"/>
    <w:rsid w:val="525558FA"/>
    <w:rsid w:val="526B5CD8"/>
    <w:rsid w:val="526D59A8"/>
    <w:rsid w:val="529E1C09"/>
    <w:rsid w:val="52FA1AB6"/>
    <w:rsid w:val="53001104"/>
    <w:rsid w:val="533B1B4E"/>
    <w:rsid w:val="535A37FF"/>
    <w:rsid w:val="541D74A6"/>
    <w:rsid w:val="541F7EC6"/>
    <w:rsid w:val="5438608E"/>
    <w:rsid w:val="549074AE"/>
    <w:rsid w:val="54CB5A27"/>
    <w:rsid w:val="54D63807"/>
    <w:rsid w:val="54E63994"/>
    <w:rsid w:val="555D3FFE"/>
    <w:rsid w:val="556829A3"/>
    <w:rsid w:val="558E2A4D"/>
    <w:rsid w:val="559D43FC"/>
    <w:rsid w:val="55C20A1B"/>
    <w:rsid w:val="55DF5FFC"/>
    <w:rsid w:val="5608742E"/>
    <w:rsid w:val="562703DD"/>
    <w:rsid w:val="562763BA"/>
    <w:rsid w:val="56434CD8"/>
    <w:rsid w:val="56905D0D"/>
    <w:rsid w:val="57114EA2"/>
    <w:rsid w:val="573E2CA2"/>
    <w:rsid w:val="579D6934"/>
    <w:rsid w:val="57B849D9"/>
    <w:rsid w:val="57CD3936"/>
    <w:rsid w:val="57E31A40"/>
    <w:rsid w:val="580C5867"/>
    <w:rsid w:val="58207565"/>
    <w:rsid w:val="58597996"/>
    <w:rsid w:val="58B26F9F"/>
    <w:rsid w:val="58EA204C"/>
    <w:rsid w:val="58F528D8"/>
    <w:rsid w:val="59505C8D"/>
    <w:rsid w:val="59830B6B"/>
    <w:rsid w:val="59940F6D"/>
    <w:rsid w:val="599F73C0"/>
    <w:rsid w:val="59B218F4"/>
    <w:rsid w:val="59CF13FA"/>
    <w:rsid w:val="5A027ED1"/>
    <w:rsid w:val="5A3E3E76"/>
    <w:rsid w:val="5A424CA6"/>
    <w:rsid w:val="5A7B609B"/>
    <w:rsid w:val="5A821E11"/>
    <w:rsid w:val="5AF86BDB"/>
    <w:rsid w:val="5B0F5D9A"/>
    <w:rsid w:val="5B3D3F8A"/>
    <w:rsid w:val="5B445318"/>
    <w:rsid w:val="5BB9421A"/>
    <w:rsid w:val="5C2018E1"/>
    <w:rsid w:val="5C321615"/>
    <w:rsid w:val="5C8903AB"/>
    <w:rsid w:val="5CC901CB"/>
    <w:rsid w:val="5D0134C1"/>
    <w:rsid w:val="5D063A3C"/>
    <w:rsid w:val="5D1B3E6D"/>
    <w:rsid w:val="5D375134"/>
    <w:rsid w:val="5D4918EC"/>
    <w:rsid w:val="5D504448"/>
    <w:rsid w:val="5DB749AA"/>
    <w:rsid w:val="5E3E6CDE"/>
    <w:rsid w:val="5E413D91"/>
    <w:rsid w:val="5E46367B"/>
    <w:rsid w:val="5EB33D61"/>
    <w:rsid w:val="5F086196"/>
    <w:rsid w:val="5F2636B2"/>
    <w:rsid w:val="5F9A386B"/>
    <w:rsid w:val="5F9B6A96"/>
    <w:rsid w:val="5FA665A1"/>
    <w:rsid w:val="5FAD7930"/>
    <w:rsid w:val="5FF90DC7"/>
    <w:rsid w:val="603439AC"/>
    <w:rsid w:val="6054424F"/>
    <w:rsid w:val="607837F0"/>
    <w:rsid w:val="609A2377"/>
    <w:rsid w:val="60D4697C"/>
    <w:rsid w:val="60EA6962"/>
    <w:rsid w:val="60F17CF0"/>
    <w:rsid w:val="60F831E9"/>
    <w:rsid w:val="611F2AAF"/>
    <w:rsid w:val="61812EE0"/>
    <w:rsid w:val="6196613D"/>
    <w:rsid w:val="619F73C4"/>
    <w:rsid w:val="61AC2AF3"/>
    <w:rsid w:val="61C80A51"/>
    <w:rsid w:val="61C9059F"/>
    <w:rsid w:val="61D730C2"/>
    <w:rsid w:val="61DF1A53"/>
    <w:rsid w:val="623F6839"/>
    <w:rsid w:val="628F7B7F"/>
    <w:rsid w:val="62B75CF0"/>
    <w:rsid w:val="62C37151"/>
    <w:rsid w:val="62D0577A"/>
    <w:rsid w:val="63047DEC"/>
    <w:rsid w:val="638766EA"/>
    <w:rsid w:val="63A23524"/>
    <w:rsid w:val="63C67759"/>
    <w:rsid w:val="63E73C70"/>
    <w:rsid w:val="63F17BED"/>
    <w:rsid w:val="64281C7B"/>
    <w:rsid w:val="64285F62"/>
    <w:rsid w:val="643C2672"/>
    <w:rsid w:val="64917820"/>
    <w:rsid w:val="65170A8B"/>
    <w:rsid w:val="65C07C91"/>
    <w:rsid w:val="66DD39B7"/>
    <w:rsid w:val="670867A2"/>
    <w:rsid w:val="67900263"/>
    <w:rsid w:val="67F02ED9"/>
    <w:rsid w:val="67F85757"/>
    <w:rsid w:val="68342037"/>
    <w:rsid w:val="691B0D2D"/>
    <w:rsid w:val="697A2F79"/>
    <w:rsid w:val="698B7AD1"/>
    <w:rsid w:val="69B144C0"/>
    <w:rsid w:val="69ED3F5D"/>
    <w:rsid w:val="6A055B50"/>
    <w:rsid w:val="6A084863"/>
    <w:rsid w:val="6A2151A2"/>
    <w:rsid w:val="6ABD35DB"/>
    <w:rsid w:val="6AE93F48"/>
    <w:rsid w:val="6B012508"/>
    <w:rsid w:val="6B5727BA"/>
    <w:rsid w:val="6B617092"/>
    <w:rsid w:val="6B7B6058"/>
    <w:rsid w:val="6B7D0AD3"/>
    <w:rsid w:val="6BA92238"/>
    <w:rsid w:val="6C247CCA"/>
    <w:rsid w:val="6C453B2F"/>
    <w:rsid w:val="6C6006DE"/>
    <w:rsid w:val="6C7D68DC"/>
    <w:rsid w:val="6C832144"/>
    <w:rsid w:val="6CB56076"/>
    <w:rsid w:val="6CEE5285"/>
    <w:rsid w:val="6D321474"/>
    <w:rsid w:val="6D3B47CD"/>
    <w:rsid w:val="6DB4129A"/>
    <w:rsid w:val="6DDE33AA"/>
    <w:rsid w:val="6E424ECB"/>
    <w:rsid w:val="6E63026C"/>
    <w:rsid w:val="6ED962EA"/>
    <w:rsid w:val="6F1057E5"/>
    <w:rsid w:val="6F1B2B08"/>
    <w:rsid w:val="6F547979"/>
    <w:rsid w:val="6F5D3ABE"/>
    <w:rsid w:val="6FED24BB"/>
    <w:rsid w:val="704B3275"/>
    <w:rsid w:val="705016B8"/>
    <w:rsid w:val="708E2E66"/>
    <w:rsid w:val="70A05967"/>
    <w:rsid w:val="70B80BFC"/>
    <w:rsid w:val="70DE646A"/>
    <w:rsid w:val="71233EF6"/>
    <w:rsid w:val="712549CF"/>
    <w:rsid w:val="71B72625"/>
    <w:rsid w:val="71E35498"/>
    <w:rsid w:val="72247801"/>
    <w:rsid w:val="722A58BF"/>
    <w:rsid w:val="72404633"/>
    <w:rsid w:val="729323AF"/>
    <w:rsid w:val="72A40AC6"/>
    <w:rsid w:val="72EB27F1"/>
    <w:rsid w:val="73504D4A"/>
    <w:rsid w:val="736C773C"/>
    <w:rsid w:val="73842D0C"/>
    <w:rsid w:val="7406342E"/>
    <w:rsid w:val="74164CC6"/>
    <w:rsid w:val="74597C2E"/>
    <w:rsid w:val="74651BD4"/>
    <w:rsid w:val="74A4534E"/>
    <w:rsid w:val="74DA16B3"/>
    <w:rsid w:val="74F02341"/>
    <w:rsid w:val="74F040EF"/>
    <w:rsid w:val="755E1320"/>
    <w:rsid w:val="757F403F"/>
    <w:rsid w:val="75B60F4B"/>
    <w:rsid w:val="76391AC6"/>
    <w:rsid w:val="76626931"/>
    <w:rsid w:val="767B3E8C"/>
    <w:rsid w:val="76B178AE"/>
    <w:rsid w:val="76C01BFC"/>
    <w:rsid w:val="76D92884"/>
    <w:rsid w:val="7712460A"/>
    <w:rsid w:val="77505319"/>
    <w:rsid w:val="776B6BD0"/>
    <w:rsid w:val="77F32788"/>
    <w:rsid w:val="78B86DC3"/>
    <w:rsid w:val="78E33D19"/>
    <w:rsid w:val="791B3704"/>
    <w:rsid w:val="7940316B"/>
    <w:rsid w:val="79596CED"/>
    <w:rsid w:val="798712F3"/>
    <w:rsid w:val="79A24E4F"/>
    <w:rsid w:val="79AE6327"/>
    <w:rsid w:val="79CC6241"/>
    <w:rsid w:val="79EF706B"/>
    <w:rsid w:val="7A073C3A"/>
    <w:rsid w:val="7A134CE1"/>
    <w:rsid w:val="7A794B87"/>
    <w:rsid w:val="7A880D79"/>
    <w:rsid w:val="7A8D418E"/>
    <w:rsid w:val="7B690757"/>
    <w:rsid w:val="7B86755B"/>
    <w:rsid w:val="7BE40725"/>
    <w:rsid w:val="7BF518E4"/>
    <w:rsid w:val="7C217284"/>
    <w:rsid w:val="7C6D071B"/>
    <w:rsid w:val="7CA1787C"/>
    <w:rsid w:val="7CC366F1"/>
    <w:rsid w:val="7CDE23B1"/>
    <w:rsid w:val="7CDF1E1A"/>
    <w:rsid w:val="7CF36280"/>
    <w:rsid w:val="7D616C58"/>
    <w:rsid w:val="7D990F1D"/>
    <w:rsid w:val="7DBA173E"/>
    <w:rsid w:val="7DBB7BAE"/>
    <w:rsid w:val="7DC55B0B"/>
    <w:rsid w:val="7DD30A52"/>
    <w:rsid w:val="7DFC26E0"/>
    <w:rsid w:val="7E5656CA"/>
    <w:rsid w:val="7E5C0A47"/>
    <w:rsid w:val="7E785FD0"/>
    <w:rsid w:val="7E94560F"/>
    <w:rsid w:val="7ECA01F6"/>
    <w:rsid w:val="7EE44F0F"/>
    <w:rsid w:val="7EF03031"/>
    <w:rsid w:val="7EFA17BE"/>
    <w:rsid w:val="7EFE5CC3"/>
    <w:rsid w:val="7F0E5823"/>
    <w:rsid w:val="7F1E650A"/>
    <w:rsid w:val="7F6B7B5B"/>
    <w:rsid w:val="7FEE5B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0" w:semiHidden="0" w:name="Salutation"/>
    <w:lsdException w:unhideWhenUsed="0" w:uiPriority="0" w:semiHidden="0" w:name="Date"/>
    <w:lsdException w:qFormat="1"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link w:val="27"/>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5"/>
    <w:qFormat/>
    <w:uiPriority w:val="0"/>
    <w:pPr>
      <w:keepNext/>
      <w:overflowPunct w:val="0"/>
      <w:snapToGrid w:val="0"/>
      <w:spacing w:before="120" w:after="160" w:line="240" w:lineRule="auto"/>
      <w:ind w:left="0" w:firstLine="0" w:firstLineChars="0"/>
      <w:jc w:val="center"/>
      <w:outlineLvl w:val="0"/>
    </w:pPr>
    <w:rPr>
      <w:b/>
      <w:bCs/>
      <w:color w:val="000000"/>
      <w:kern w:val="44"/>
      <w:sz w:val="28"/>
      <w:szCs w:val="30"/>
    </w:rPr>
  </w:style>
  <w:style w:type="paragraph" w:styleId="5">
    <w:name w:val="heading 2"/>
    <w:basedOn w:val="1"/>
    <w:next w:val="1"/>
    <w:link w:val="28"/>
    <w:semiHidden/>
    <w:unhideWhenUsed/>
    <w:qFormat/>
    <w:uiPriority w:val="0"/>
    <w:pPr>
      <w:keepNext/>
      <w:keepLines/>
      <w:spacing w:beforeLines="0" w:beforeAutospacing="0" w:afterLines="0" w:afterAutospacing="0" w:line="360" w:lineRule="auto"/>
      <w:ind w:firstLine="0" w:firstLineChars="0"/>
      <w:outlineLvl w:val="1"/>
    </w:pPr>
    <w:rPr>
      <w:rFonts w:ascii="Arial" w:hAnsi="Arial" w:eastAsia="宋体"/>
      <w:b/>
    </w:rPr>
  </w:style>
  <w:style w:type="paragraph" w:styleId="6">
    <w:name w:val="heading 3"/>
    <w:basedOn w:val="1"/>
    <w:next w:val="1"/>
    <w:link w:val="29"/>
    <w:semiHidden/>
    <w:unhideWhenUsed/>
    <w:qFormat/>
    <w:uiPriority w:val="0"/>
    <w:pPr>
      <w:keepNext/>
      <w:keepLines/>
      <w:tabs>
        <w:tab w:val="left" w:pos="720"/>
      </w:tabs>
      <w:spacing w:line="360" w:lineRule="auto"/>
      <w:ind w:left="0" w:firstLine="0"/>
      <w:outlineLvl w:val="2"/>
    </w:pPr>
    <w:rPr>
      <w:rFonts w:ascii="Times New Roman" w:hAnsi="Times New Roman" w:eastAsia="宋体" w:cs="Times New Roman"/>
      <w:b/>
      <w:bCs/>
      <w:sz w:val="24"/>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0"/>
    <w:pPr>
      <w:ind w:firstLine="420" w:firstLineChars="200"/>
    </w:pPr>
  </w:style>
  <w:style w:type="paragraph" w:styleId="3">
    <w:name w:val="Plain Text"/>
    <w:basedOn w:val="1"/>
    <w:qFormat/>
    <w:uiPriority w:val="0"/>
    <w:rPr>
      <w:rFonts w:ascii="宋体" w:hAnsi="Courier New"/>
    </w:rPr>
  </w:style>
  <w:style w:type="paragraph" w:styleId="7">
    <w:name w:val="annotation text"/>
    <w:basedOn w:val="1"/>
    <w:qFormat/>
    <w:uiPriority w:val="0"/>
    <w:pPr>
      <w:jc w:val="left"/>
    </w:pPr>
  </w:style>
  <w:style w:type="paragraph" w:styleId="8">
    <w:name w:val="Salutation"/>
    <w:basedOn w:val="1"/>
    <w:next w:val="1"/>
    <w:unhideWhenUsed/>
    <w:qFormat/>
    <w:uiPriority w:val="0"/>
  </w:style>
  <w:style w:type="paragraph" w:styleId="9">
    <w:name w:val="Body Text"/>
    <w:basedOn w:val="1"/>
    <w:next w:val="1"/>
    <w:qFormat/>
    <w:uiPriority w:val="0"/>
    <w:pPr>
      <w:spacing w:after="120" w:afterLines="0" w:afterAutospacing="0"/>
    </w:pPr>
  </w:style>
  <w:style w:type="paragraph" w:styleId="10">
    <w:name w:val="Body Text Indent"/>
    <w:basedOn w:val="1"/>
    <w:unhideWhenUsed/>
    <w:qFormat/>
    <w:uiPriority w:val="0"/>
    <w:pPr>
      <w:spacing w:after="120"/>
      <w:ind w:left="420" w:leftChars="200"/>
    </w:pPr>
  </w:style>
  <w:style w:type="paragraph" w:styleId="11">
    <w:name w:val="footer"/>
    <w:basedOn w:val="1"/>
    <w:qFormat/>
    <w:uiPriority w:val="99"/>
    <w:pPr>
      <w:tabs>
        <w:tab w:val="center" w:pos="4153"/>
        <w:tab w:val="right" w:pos="8306"/>
      </w:tabs>
      <w:snapToGrid w:val="0"/>
      <w:jc w:val="left"/>
    </w:pPr>
    <w:rPr>
      <w:kern w:val="0"/>
      <w:sz w:val="18"/>
      <w:szCs w:val="20"/>
    </w:rPr>
  </w:style>
  <w:style w:type="paragraph" w:styleId="12">
    <w:name w:val="header"/>
    <w:basedOn w:val="1"/>
    <w:next w:val="13"/>
    <w:unhideWhenUsed/>
    <w:qFormat/>
    <w:uiPriority w:val="0"/>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13">
    <w:name w:val="index heading"/>
    <w:basedOn w:val="1"/>
    <w:next w:val="14"/>
    <w:qFormat/>
    <w:uiPriority w:val="0"/>
    <w:rPr>
      <w:rFonts w:ascii="Arial" w:hAnsi="Arial"/>
      <w:b/>
    </w:rPr>
  </w:style>
  <w:style w:type="paragraph" w:styleId="14">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15">
    <w:name w:val="toc 1"/>
    <w:basedOn w:val="1"/>
    <w:next w:val="1"/>
    <w:qFormat/>
    <w:uiPriority w:val="0"/>
    <w:pPr>
      <w:spacing w:line="360" w:lineRule="auto"/>
    </w:pPr>
    <w:rPr>
      <w:rFonts w:ascii="Times New Roman" w:hAnsi="Times New Roman" w:eastAsia="宋体" w:cs="Times New Roman"/>
      <w:sz w:val="24"/>
    </w:rPr>
  </w:style>
  <w:style w:type="paragraph" w:styleId="16">
    <w:name w:val="toc 2"/>
    <w:basedOn w:val="1"/>
    <w:next w:val="1"/>
    <w:qFormat/>
    <w:uiPriority w:val="39"/>
    <w:pPr>
      <w:ind w:left="420" w:leftChars="200"/>
    </w:pPr>
  </w:style>
  <w:style w:type="paragraph" w:styleId="17">
    <w:name w:val="Normal (Web)"/>
    <w:basedOn w:val="1"/>
    <w:qFormat/>
    <w:uiPriority w:val="99"/>
    <w:pPr>
      <w:widowControl/>
      <w:spacing w:before="100" w:beforeAutospacing="1" w:after="100" w:afterAutospacing="1"/>
      <w:jc w:val="left"/>
    </w:pPr>
    <w:rPr>
      <w:rFonts w:ascii="宋体" w:hAnsi="宋体" w:cs="Times New Roman"/>
      <w:sz w:val="24"/>
      <w:szCs w:val="22"/>
    </w:rPr>
  </w:style>
  <w:style w:type="paragraph" w:styleId="18">
    <w:name w:val="Body Text First Indent"/>
    <w:basedOn w:val="9"/>
    <w:unhideWhenUsed/>
    <w:qFormat/>
    <w:uiPriority w:val="0"/>
    <w:pPr>
      <w:spacing w:before="0" w:after="120"/>
      <w:ind w:firstLine="420" w:firstLineChars="100"/>
      <w:jc w:val="both"/>
    </w:pPr>
    <w:rPr>
      <w:sz w:val="21"/>
      <w:szCs w:val="24"/>
    </w:rPr>
  </w:style>
  <w:style w:type="paragraph" w:styleId="19">
    <w:name w:val="Body Text First Indent 2"/>
    <w:basedOn w:val="10"/>
    <w:unhideWhenUsed/>
    <w:qFormat/>
    <w:uiPriority w:val="0"/>
    <w:pPr>
      <w:ind w:firstLine="420" w:firstLineChars="2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Hyperlink"/>
    <w:basedOn w:val="22"/>
    <w:qFormat/>
    <w:uiPriority w:val="0"/>
    <w:rPr>
      <w:color w:val="0000FF"/>
      <w:u w:val="single"/>
    </w:rPr>
  </w:style>
  <w:style w:type="character" w:customStyle="1" w:styleId="25">
    <w:name w:val="标题 1 Char"/>
    <w:link w:val="4"/>
    <w:qFormat/>
    <w:uiPriority w:val="9"/>
    <w:rPr>
      <w:rFonts w:ascii="Times New Roman" w:hAnsi="Times New Roman" w:eastAsia="宋体" w:cs="宋体"/>
      <w:b/>
      <w:bCs/>
      <w:color w:val="000000"/>
      <w:kern w:val="44"/>
      <w:sz w:val="30"/>
      <w:szCs w:val="44"/>
    </w:rPr>
  </w:style>
  <w:style w:type="paragraph" w:customStyle="1" w:styleId="26">
    <w:name w:val="WPSOffice手动目录 1"/>
    <w:qFormat/>
    <w:uiPriority w:val="0"/>
    <w:pPr>
      <w:spacing w:line="360" w:lineRule="auto"/>
      <w:ind w:leftChars="0"/>
    </w:pPr>
    <w:rPr>
      <w:rFonts w:ascii="Times New Roman" w:hAnsi="Times New Roman" w:eastAsia="宋体" w:cstheme="minorBidi"/>
      <w:sz w:val="24"/>
      <w:szCs w:val="20"/>
    </w:rPr>
  </w:style>
  <w:style w:type="character" w:customStyle="1" w:styleId="27">
    <w:name w:val="表格 Char Char"/>
    <w:basedOn w:val="22"/>
    <w:link w:val="1"/>
    <w:qFormat/>
    <w:uiPriority w:val="0"/>
    <w:rPr>
      <w:rFonts w:ascii="Times New Roman" w:hAnsi="Times New Roman" w:eastAsia="宋体" w:cs="Times New Roman"/>
      <w:kern w:val="2"/>
      <w:sz w:val="24"/>
      <w:szCs w:val="21"/>
      <w:lang w:val="en-US" w:eastAsia="zh-CN" w:bidi="ar-SA"/>
    </w:rPr>
  </w:style>
  <w:style w:type="character" w:customStyle="1" w:styleId="28">
    <w:name w:val=" Char Char3"/>
    <w:link w:val="5"/>
    <w:qFormat/>
    <w:uiPriority w:val="0"/>
    <w:rPr>
      <w:rFonts w:ascii="Arial" w:hAnsi="Arial" w:eastAsia="宋体"/>
      <w:b/>
      <w:sz w:val="28"/>
      <w:lang w:val="en-US" w:eastAsia="zh-CN" w:bidi="ar-SA"/>
    </w:rPr>
  </w:style>
  <w:style w:type="character" w:customStyle="1" w:styleId="29">
    <w:name w:val="标题 3 Char1"/>
    <w:link w:val="6"/>
    <w:qFormat/>
    <w:uiPriority w:val="0"/>
    <w:rPr>
      <w:rFonts w:ascii="Times New Roman" w:hAnsi="Times New Roman" w:eastAsia="宋体" w:cs="Times New Roman"/>
      <w:b/>
      <w:bCs/>
      <w:sz w:val="24"/>
      <w:szCs w:val="32"/>
    </w:rPr>
  </w:style>
  <w:style w:type="paragraph" w:customStyle="1" w:styleId="30">
    <w:name w:val="表体"/>
    <w:basedOn w:val="1"/>
    <w:qFormat/>
    <w:uiPriority w:val="0"/>
    <w:pPr>
      <w:widowControl/>
      <w:tabs>
        <w:tab w:val="left" w:pos="540"/>
        <w:tab w:val="left" w:pos="851"/>
        <w:tab w:val="left" w:pos="994"/>
        <w:tab w:val="left" w:pos="1260"/>
        <w:tab w:val="left" w:pos="3108"/>
        <w:tab w:val="left" w:pos="3150"/>
      </w:tabs>
      <w:overflowPunct w:val="0"/>
      <w:adjustRightInd w:val="0"/>
      <w:spacing w:line="360" w:lineRule="exact"/>
      <w:jc w:val="center"/>
      <w:textAlignment w:val="baseline"/>
    </w:pPr>
    <w:rPr>
      <w:rFonts w:ascii="Times New Roman" w:hAnsi="Times New Roman" w:eastAsia="宋体" w:cs="Times New Roman"/>
      <w:bCs/>
      <w:snapToGrid w:val="0"/>
      <w:color w:val="000000"/>
      <w:kern w:val="32"/>
      <w:lang w:val="zh-CN"/>
    </w:rPr>
  </w:style>
  <w:style w:type="paragraph" w:customStyle="1" w:styleId="31">
    <w:name w:val="表格内容格式"/>
    <w:basedOn w:val="1"/>
    <w:qFormat/>
    <w:uiPriority w:val="0"/>
    <w:pPr>
      <w:spacing w:line="360" w:lineRule="exact"/>
      <w:ind w:firstLine="0" w:firstLineChars="0"/>
      <w:jc w:val="center"/>
    </w:pPr>
    <w:rPr>
      <w:rFonts w:ascii="Times New Roman" w:hAnsi="Times New Roman" w:eastAsia="宋体" w:cstheme="minorBidi"/>
      <w:sz w:val="21"/>
    </w:rPr>
  </w:style>
  <w:style w:type="paragraph" w:customStyle="1" w:styleId="32">
    <w:name w:val="表格"/>
    <w:basedOn w:val="33"/>
    <w:next w:val="1"/>
    <w:link w:val="36"/>
    <w:qFormat/>
    <w:uiPriority w:val="0"/>
    <w:pPr>
      <w:adjustRightInd/>
      <w:snapToGrid w:val="0"/>
      <w:spacing w:line="360" w:lineRule="exact"/>
      <w:ind w:firstLine="0" w:firstLineChars="0"/>
      <w:jc w:val="both"/>
    </w:pPr>
    <w:rPr>
      <w:rFonts w:ascii="Times New Roman" w:hAnsi="Times New Roman" w:eastAsia="宋体"/>
      <w:kern w:val="0"/>
      <w:sz w:val="21"/>
      <w:szCs w:val="21"/>
    </w:rPr>
  </w:style>
  <w:style w:type="paragraph" w:customStyle="1" w:styleId="33">
    <w:name w:val="表头"/>
    <w:basedOn w:val="34"/>
    <w:next w:val="35"/>
    <w:autoRedefine/>
    <w:qFormat/>
    <w:uiPriority w:val="0"/>
    <w:pPr>
      <w:adjustRightInd w:val="0"/>
      <w:spacing w:before="50" w:beforeLines="50" w:line="320" w:lineRule="atLeast"/>
      <w:ind w:firstLine="0" w:firstLineChars="0"/>
      <w:jc w:val="center"/>
      <w:textAlignment w:val="baseline"/>
    </w:pPr>
    <w:rPr>
      <w:rFonts w:ascii="Times New Roman" w:hAnsi="Times New Roman" w:eastAsia="宋体" w:cs="Times New Roman"/>
      <w:b/>
      <w:spacing w:val="-10"/>
      <w:kern w:val="0"/>
      <w:sz w:val="21"/>
      <w:szCs w:val="20"/>
    </w:rPr>
  </w:style>
  <w:style w:type="paragraph" w:customStyle="1" w:styleId="34">
    <w:name w:val="T正文"/>
    <w:qFormat/>
    <w:uiPriority w:val="0"/>
    <w:pPr>
      <w:widowControl w:val="0"/>
      <w:adjustRightInd w:val="0"/>
      <w:snapToGrid w:val="0"/>
      <w:spacing w:line="360" w:lineRule="auto"/>
      <w:ind w:firstLine="200" w:firstLineChars="200"/>
      <w:jc w:val="both"/>
    </w:pPr>
    <w:rPr>
      <w:rFonts w:ascii="Calibri" w:hAnsi="Calibri" w:eastAsia="仿宋_GB2312" w:cs="Times New Roman"/>
      <w:sz w:val="28"/>
      <w:lang w:val="en-US" w:eastAsia="zh-CN" w:bidi="ar-SA"/>
    </w:rPr>
  </w:style>
  <w:style w:type="paragraph" w:customStyle="1" w:styleId="35">
    <w:name w:val="表格内容"/>
    <w:basedOn w:val="1"/>
    <w:next w:val="4"/>
    <w:autoRedefine/>
    <w:qFormat/>
    <w:uiPriority w:val="0"/>
    <w:pPr>
      <w:spacing w:line="240" w:lineRule="auto"/>
      <w:ind w:firstLine="0" w:firstLineChars="0"/>
      <w:jc w:val="center"/>
    </w:pPr>
    <w:rPr>
      <w:rFonts w:ascii="Times New Roman" w:hAnsi="Times New Roman"/>
      <w:sz w:val="21"/>
      <w:szCs w:val="21"/>
    </w:rPr>
  </w:style>
  <w:style w:type="character" w:customStyle="1" w:styleId="36">
    <w:name w:val="表格 Char"/>
    <w:link w:val="32"/>
    <w:qFormat/>
    <w:locked/>
    <w:uiPriority w:val="0"/>
    <w:rPr>
      <w:rFonts w:ascii="Times New Roman" w:hAnsi="Times New Roman" w:eastAsia="宋体"/>
      <w:sz w:val="21"/>
      <w:szCs w:val="21"/>
    </w:rPr>
  </w:style>
  <w:style w:type="paragraph" w:customStyle="1" w:styleId="37">
    <w:name w:val="一"/>
    <w:basedOn w:val="9"/>
    <w:next w:val="9"/>
    <w:qFormat/>
    <w:uiPriority w:val="0"/>
    <w:pPr>
      <w:spacing w:before="0" w:after="0"/>
      <w:jc w:val="left"/>
    </w:pPr>
    <w:rPr>
      <w:rFonts w:ascii="Calibri" w:hAnsi="Calibri" w:eastAsia="宋体"/>
      <w:color w:val="000000"/>
      <w:kern w:val="0"/>
      <w:sz w:val="28"/>
    </w:rPr>
  </w:style>
  <w:style w:type="paragraph" w:customStyle="1" w:styleId="38">
    <w:name w:val="cj正文"/>
    <w:basedOn w:val="1"/>
    <w:autoRedefine/>
    <w:qFormat/>
    <w:uiPriority w:val="0"/>
    <w:pPr>
      <w:adjustRightInd w:val="0"/>
      <w:snapToGrid w:val="0"/>
      <w:spacing w:line="360" w:lineRule="auto"/>
    </w:pPr>
    <w:rPr>
      <w:rFonts w:hint="eastAsia" w:ascii="Times New Roman" w:hAnsi="Times New Roman" w:eastAsia="宋体"/>
      <w:szCs w:val="21"/>
    </w:rPr>
  </w:style>
  <w:style w:type="paragraph" w:customStyle="1" w:styleId="39">
    <w:name w:val="样式 正文文本缩进 + 行距: 1.5 倍行距"/>
    <w:basedOn w:val="10"/>
    <w:autoRedefine/>
    <w:qFormat/>
    <w:uiPriority w:val="0"/>
    <w:pPr>
      <w:tabs>
        <w:tab w:val="left" w:pos="3600"/>
      </w:tabs>
      <w:spacing w:after="120" w:line="360" w:lineRule="auto"/>
      <w:ind w:left="90" w:leftChars="32" w:firstLine="560" w:firstLineChars="200"/>
    </w:pPr>
    <w:rPr>
      <w:rFonts w:cs="宋体"/>
    </w:rPr>
  </w:style>
  <w:style w:type="paragraph" w:customStyle="1" w:styleId="40">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wlm表格"/>
    <w:basedOn w:val="1"/>
    <w:qFormat/>
    <w:uiPriority w:val="0"/>
    <w:pPr>
      <w:snapToGrid w:val="0"/>
      <w:jc w:val="center"/>
    </w:pPr>
    <w:rPr>
      <w:spacing w:val="2"/>
      <w:szCs w:val="21"/>
    </w:rPr>
  </w:style>
  <w:style w:type="paragraph" w:customStyle="1" w:styleId="42">
    <w:name w:val="1lh-正文-报告表"/>
    <w:basedOn w:val="1"/>
    <w:autoRedefine/>
    <w:qFormat/>
    <w:uiPriority w:val="0"/>
    <w:pPr>
      <w:ind w:firstLine="480" w:firstLineChars="200"/>
    </w:pPr>
    <w:rPr>
      <w:kern w:val="0"/>
    </w:rPr>
  </w:style>
  <w:style w:type="character" w:customStyle="1" w:styleId="43">
    <w:name w:val="NormalCharacter"/>
    <w:autoRedefine/>
    <w:qFormat/>
    <w:uiPriority w:val="0"/>
  </w:style>
  <w:style w:type="paragraph" w:customStyle="1" w:styleId="44">
    <w:name w:val="表格文字"/>
    <w:basedOn w:val="2"/>
    <w:next w:val="9"/>
    <w:qFormat/>
    <w:uiPriority w:val="0"/>
    <w:pPr>
      <w:autoSpaceDE w:val="0"/>
      <w:autoSpaceDN w:val="0"/>
      <w:adjustRightInd w:val="0"/>
      <w:snapToGrid w:val="0"/>
      <w:spacing w:before="60" w:after="60" w:line="240" w:lineRule="atLeast"/>
      <w:textAlignment w:val="baseline"/>
    </w:pPr>
    <w:rPr>
      <w:rFonts w:eastAsia="宋体"/>
      <w:kern w:val="24"/>
      <w:szCs w:val="20"/>
    </w:rPr>
  </w:style>
  <w:style w:type="paragraph" w:customStyle="1" w:styleId="45">
    <w:name w:val="*cs10 additive Default P"/>
    <w:qFormat/>
    <w:uiPriority w:val="99"/>
    <w:pPr>
      <w:widowControl w:val="0"/>
      <w:adjustRightInd w:val="0"/>
      <w:spacing w:line="360" w:lineRule="auto"/>
      <w:ind w:firstLine="200" w:firstLineChars="200"/>
      <w:jc w:val="both"/>
      <w:textAlignment w:val="baseline"/>
    </w:pPr>
    <w:rPr>
      <w:rFonts w:ascii="Times New Roman" w:hAnsi="Times New Roman" w:eastAsia="宋体" w:cs="Times New Roman"/>
      <w:sz w:val="24"/>
      <w:lang w:val="en-US" w:eastAsia="zh-CN" w:bidi="ar-SA"/>
    </w:rPr>
  </w:style>
  <w:style w:type="paragraph" w:customStyle="1" w:styleId="46">
    <w:name w:val="报告表正文"/>
    <w:basedOn w:val="1"/>
    <w:qFormat/>
    <w:uiPriority w:val="0"/>
    <w:pPr>
      <w:wordWrap w:val="0"/>
      <w:topLinePunct/>
      <w:adjustRightInd w:val="0"/>
      <w:spacing w:line="360" w:lineRule="auto"/>
      <w:ind w:left="0" w:right="0" w:firstLine="488"/>
      <w:jc w:val="left"/>
      <w:textAlignment w:val="baseline"/>
    </w:pPr>
    <w:rPr>
      <w:rFonts w:ascii="Times New Roman" w:hAnsi="Times New Roman" w:eastAsia="Times New Roman" w:cs="宋体"/>
      <w:sz w:val="24"/>
      <w:szCs w:val="20"/>
    </w:rPr>
  </w:style>
  <w:style w:type="paragraph" w:customStyle="1" w:styleId="47">
    <w:name w:val="表内容"/>
    <w:basedOn w:val="1"/>
    <w:qFormat/>
    <w:uiPriority w:val="0"/>
    <w:pPr>
      <w:widowControl/>
      <w:autoSpaceDE w:val="0"/>
      <w:autoSpaceDN w:val="0"/>
      <w:spacing w:line="240" w:lineRule="auto"/>
      <w:ind w:firstLine="0" w:firstLineChars="0"/>
      <w:jc w:val="center"/>
      <w:textAlignment w:val="bottom"/>
    </w:pPr>
    <w:rPr>
      <w:rFonts w:cs="Times New Roman"/>
      <w:sz w:val="24"/>
      <w:szCs w:val="21"/>
    </w:rPr>
  </w:style>
  <w:style w:type="paragraph" w:customStyle="1" w:styleId="48">
    <w:name w:val="！正文"/>
    <w:basedOn w:val="1"/>
    <w:qFormat/>
    <w:uiPriority w:val="0"/>
    <w:pPr>
      <w:spacing w:line="360" w:lineRule="auto"/>
      <w:ind w:firstLine="200" w:firstLineChars="200"/>
    </w:pPr>
    <w:rPr>
      <w:rFonts w:ascii="Calibri" w:hAnsi="Calibri"/>
      <w:szCs w:val="22"/>
    </w:rPr>
  </w:style>
  <w:style w:type="paragraph" w:customStyle="1" w:styleId="49">
    <w:name w:val="报告表表格"/>
    <w:basedOn w:val="1"/>
    <w:qFormat/>
    <w:uiPriority w:val="0"/>
    <w:pPr>
      <w:jc w:val="center"/>
    </w:pPr>
    <w:rPr>
      <w:rFonts w:ascii="Times New Roman" w:hAnsi="Times New Roman" w:cs="宋体"/>
      <w:sz w:val="21"/>
    </w:rPr>
  </w:style>
  <w:style w:type="paragraph" w:customStyle="1" w:styleId="50">
    <w:name w:val="Table Paragraph"/>
    <w:basedOn w:val="1"/>
    <w:qFormat/>
    <w:uiPriority w:val="1"/>
    <w:pPr>
      <w:adjustRightInd/>
      <w:ind w:firstLine="0" w:firstLineChars="0"/>
      <w:jc w:val="left"/>
    </w:pPr>
    <w:rPr>
      <w:rFonts w:ascii="Calibri" w:hAnsi="Calibri"/>
      <w:kern w:val="0"/>
      <w:sz w:val="22"/>
      <w:szCs w:val="22"/>
      <w:lang w:eastAsia="en-US"/>
    </w:rPr>
  </w:style>
  <w:style w:type="paragraph" w:customStyle="1" w:styleId="51">
    <w:name w:val="样式4"/>
    <w:basedOn w:val="1"/>
    <w:qFormat/>
    <w:uiPriority w:val="0"/>
    <w:pPr>
      <w:jc w:val="center"/>
    </w:pPr>
    <w:rPr>
      <w:szCs w:val="20"/>
    </w:rPr>
  </w:style>
  <w:style w:type="paragraph" w:customStyle="1" w:styleId="52">
    <w:name w:val="1lh-表格文字-报告表"/>
    <w:basedOn w:val="1"/>
    <w:autoRedefine/>
    <w:qFormat/>
    <w:uiPriority w:val="0"/>
    <w:pPr>
      <w:spacing w:before="15" w:beforeLines="15" w:line="276" w:lineRule="auto"/>
      <w:jc w:val="center"/>
    </w:pPr>
    <w:rPr>
      <w:kern w:val="0"/>
      <w:sz w:val="21"/>
    </w:rPr>
  </w:style>
  <w:style w:type="paragraph" w:customStyle="1" w:styleId="53">
    <w:name w:val="文本正文"/>
    <w:basedOn w:val="1"/>
    <w:qFormat/>
    <w:uiPriority w:val="0"/>
    <w:pPr>
      <w:snapToGrid w:val="0"/>
      <w:spacing w:line="360" w:lineRule="auto"/>
      <w:ind w:firstLine="510"/>
      <w:jc w:val="left"/>
    </w:pPr>
    <w:rPr>
      <w:spacing w:val="4"/>
      <w:kern w:val="24"/>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2.png"/><Relationship Id="rId21" Type="http://schemas.openxmlformats.org/officeDocument/2006/relationships/image" Target="media/image11.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oleObject" Target="embeddings/oleObject2.bin"/><Relationship Id="rId17" Type="http://schemas.openxmlformats.org/officeDocument/2006/relationships/image" Target="media/image9.png"/><Relationship Id="rId16" Type="http://schemas.openxmlformats.org/officeDocument/2006/relationships/image" Target="media/image8.emf"/><Relationship Id="rId15" Type="http://schemas.openxmlformats.org/officeDocument/2006/relationships/oleObject" Target="embeddings/oleObject1.bin"/><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103</Pages>
  <Words>15451</Words>
  <Characters>16103</Characters>
  <Lines>0</Lines>
  <Paragraphs>0</Paragraphs>
  <TotalTime>1</TotalTime>
  <ScaleCrop>false</ScaleCrop>
  <LinksUpToDate>false</LinksUpToDate>
  <CharactersWithSpaces>16273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2025-02-17T03:17:00Z</dcterms:created>
  <dc:creator>黄黄</dc:creator>
  <cp:lastModifiedBy>Administrator</cp:lastModifiedBy>
  <dcterms:modified xsi:type="dcterms:W3CDTF">2025-04-21T01:24:09Z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F7C59F9553AA447FB5B0F0A2DEAD6903_13</vt:lpwstr>
  </property>
  <property fmtid="{D5CDD505-2E9C-101B-9397-08002B2CF9AE}" pid="4" name="KSOTemplateDocerSaveRecord">
    <vt:lpwstr>eyJoZGlkIjoiYTFmYTJkNmUyMDBiN2QwMGM1NWZhYzdkMDZkMjczNGEifQ==</vt:lpwstr>
  </property>
</Properties>
</file>