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30E96">
      <w:pPr>
        <w:spacing w:line="520" w:lineRule="exact"/>
        <w:ind w:left="840" w:hanging="840" w:hangingChars="300"/>
        <w:jc w:val="left"/>
        <w:rPr>
          <w:rFonts w:ascii="方正小标宋_GBK" w:hAnsi="Calibri" w:eastAsia="方正小标宋_GBK" w:cs="Times New Roman"/>
          <w:sz w:val="28"/>
          <w:szCs w:val="28"/>
        </w:rPr>
      </w:pPr>
    </w:p>
    <w:p w14:paraId="72BF0BCD">
      <w:pPr>
        <w:spacing w:before="120" w:after="120" w:line="480" w:lineRule="auto"/>
        <w:jc w:val="center"/>
        <w:rPr>
          <w:rFonts w:ascii="Times New Roman" w:hAnsi="Times New Roman" w:eastAsia="黑体" w:cs="Times New Roman"/>
          <w:b/>
          <w:bCs/>
          <w:sz w:val="52"/>
          <w:szCs w:val="52"/>
        </w:rPr>
      </w:pPr>
    </w:p>
    <w:p w14:paraId="78C34530">
      <w:pPr>
        <w:tabs>
          <w:tab w:val="left" w:pos="1215"/>
        </w:tabs>
        <w:spacing w:line="360" w:lineRule="auto"/>
        <w:jc w:val="center"/>
        <w:rPr>
          <w:rFonts w:ascii="方正小标宋_GBK" w:hAnsi="Calibri" w:eastAsia="方正小标宋_GBK" w:cs="Calibri"/>
          <w:b/>
          <w:bCs/>
          <w:sz w:val="44"/>
          <w:szCs w:val="44"/>
        </w:rPr>
      </w:pPr>
    </w:p>
    <w:p w14:paraId="5F3E4A9C">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业务补助经费项目支出绩效自评报告</w:t>
      </w:r>
    </w:p>
    <w:p w14:paraId="15CF61D1">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（2021年度）</w:t>
      </w:r>
    </w:p>
    <w:p w14:paraId="3DB46119">
      <w:pPr>
        <w:spacing w:before="120" w:after="120" w:line="480" w:lineRule="auto"/>
        <w:jc w:val="center"/>
        <w:rPr>
          <w:rFonts w:ascii="Times New Roman" w:hAnsi="Times New Roman" w:eastAsia="黑体" w:cs="Times New Roman"/>
          <w:sz w:val="52"/>
          <w:szCs w:val="52"/>
        </w:rPr>
      </w:pPr>
    </w:p>
    <w:p w14:paraId="3EE358C1">
      <w:pPr>
        <w:spacing w:before="120" w:after="120" w:line="480" w:lineRule="auto"/>
        <w:jc w:val="center"/>
        <w:rPr>
          <w:rFonts w:ascii="Times New Roman" w:hAnsi="Times New Roman" w:eastAsia="宋体" w:cs="Times New Roman"/>
          <w:sz w:val="44"/>
          <w:szCs w:val="44"/>
        </w:rPr>
      </w:pPr>
    </w:p>
    <w:p w14:paraId="345ED87F">
      <w:pPr>
        <w:spacing w:before="120" w:after="120" w:line="480" w:lineRule="auto"/>
        <w:jc w:val="center"/>
        <w:rPr>
          <w:rFonts w:ascii="Times New Roman" w:hAnsi="Times New Roman" w:eastAsia="宋体" w:cs="Times New Roman"/>
          <w:sz w:val="44"/>
          <w:szCs w:val="44"/>
        </w:rPr>
      </w:pPr>
    </w:p>
    <w:p w14:paraId="27577C97">
      <w:pPr>
        <w:spacing w:before="120" w:after="120" w:line="480" w:lineRule="auto"/>
        <w:jc w:val="center"/>
        <w:rPr>
          <w:rFonts w:ascii="Times New Roman" w:hAnsi="Times New Roman" w:eastAsia="黑体" w:cs="Times New Roman"/>
          <w:sz w:val="44"/>
          <w:szCs w:val="44"/>
        </w:rPr>
      </w:pPr>
    </w:p>
    <w:p w14:paraId="54190793">
      <w:pPr>
        <w:adjustRightInd w:val="0"/>
        <w:snapToGrid w:val="0"/>
        <w:spacing w:line="360" w:lineRule="auto"/>
        <w:ind w:left="1260" w:leftChars="600"/>
        <w:rPr>
          <w:rFonts w:ascii="Times New Roman" w:hAnsi="Times New Roman" w:eastAsia="黑体" w:cs="黑体"/>
          <w:sz w:val="28"/>
          <w:szCs w:val="28"/>
        </w:rPr>
      </w:pPr>
      <w:r>
        <w:rPr>
          <w:rFonts w:ascii="Times New Roman" w:hAnsi="Times New Roman" w:eastAsia="黑体" w:cs="黑体"/>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6lyg1wAAAAkBAAAPAAAAAAAAAAEAIAAAACIAAABkcnMvZG93bnJldi54bWxQ&#10;SwECFAAUAAAACACHTuJAYjGlSf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sz w:val="28"/>
          <w:szCs w:val="28"/>
        </w:rPr>
        <w:t>部门名称（公章）：昆明市盘龙区机关事务管理服务中心</w:t>
      </w:r>
    </w:p>
    <w:p w14:paraId="35E99394">
      <w:pPr>
        <w:adjustRightInd w:val="0"/>
        <w:snapToGrid w:val="0"/>
        <w:spacing w:line="360" w:lineRule="auto"/>
        <w:ind w:left="1260" w:leftChars="600"/>
        <w:rPr>
          <w:rFonts w:ascii="Times New Roman" w:hAnsi="Times New Roman" w:eastAsia="黑体" w:cs="黑体"/>
          <w:sz w:val="28"/>
          <w:szCs w:val="28"/>
          <w:u w:val="single"/>
        </w:rPr>
      </w:pPr>
      <w:r>
        <w:rPr>
          <w:rFonts w:ascii="Times New Roman" w:hAnsi="Times New Roman" w:eastAsia="黑体" w:cs="黑体"/>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GEXYNcAAAAJAQAADwAAAAAAAAABACAAAAAiAAAAZHJzL2Rvd25yZXYueG1s&#10;UEsBAhQAFAAAAAgAh07iQIsnMEP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sz w:val="28"/>
          <w:szCs w:val="28"/>
        </w:rPr>
        <w:t>项目单位：昆明市盘龙区机关事务管理服务中心</w:t>
      </w:r>
    </w:p>
    <w:p w14:paraId="1741F9EF">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BRH23b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sz w:val="28"/>
          <w:szCs w:val="28"/>
        </w:rPr>
        <w:t>主管部门：昆明市盘龙区机关事务管理服务中心</w:t>
      </w:r>
    </w:p>
    <w:p w14:paraId="51681B40">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P1RTnz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sz w:val="28"/>
          <w:szCs w:val="28"/>
        </w:rPr>
        <w:t>项目名称：</w:t>
      </w:r>
      <w:r>
        <w:rPr>
          <w:rFonts w:hint="eastAsia" w:ascii="Times New Roman" w:hAnsi="Times New Roman" w:eastAsia="黑体" w:cs="Times New Roman"/>
          <w:sz w:val="28"/>
          <w:szCs w:val="28"/>
        </w:rPr>
        <w:t>业务补助经费</w:t>
      </w:r>
    </w:p>
    <w:p w14:paraId="427D028E">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0IL+71wAAAAkBAAAPAAAAAAAAAAEAIAAAACIAAABkcnMvZG93bnJldi54bWxQ&#10;SwECFAAUAAAACACHTuJAxmrxY/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sz w:val="28"/>
          <w:szCs w:val="28"/>
        </w:rPr>
        <w:t>绩效自评日期：</w:t>
      </w:r>
      <w:r>
        <w:rPr>
          <w:rFonts w:hint="eastAsia" w:ascii="Times New Roman" w:hAnsi="Times New Roman" w:eastAsia="黑体" w:cs="Times New Roman"/>
          <w:sz w:val="28"/>
          <w:szCs w:val="28"/>
        </w:rPr>
        <w:t>2022年4月25日</w:t>
      </w:r>
    </w:p>
    <w:p w14:paraId="74868C68">
      <w:pPr>
        <w:spacing w:line="360" w:lineRule="auto"/>
        <w:ind w:left="1218" w:leftChars="580"/>
        <w:rPr>
          <w:rFonts w:ascii="Times New Roman" w:hAnsi="Times New Roman" w:eastAsia="黑体" w:cs="Times New Roman"/>
          <w:b/>
          <w:bCs/>
          <w:sz w:val="28"/>
          <w:szCs w:val="28"/>
        </w:rPr>
      </w:pPr>
    </w:p>
    <w:p w14:paraId="4E8E97B4">
      <w:pPr>
        <w:jc w:val="center"/>
        <w:rPr>
          <w:rFonts w:ascii="仿宋" w:hAnsi="仿宋" w:eastAsia="仿宋" w:cs="黑体"/>
          <w:b/>
          <w:bCs/>
          <w:sz w:val="32"/>
          <w:szCs w:val="32"/>
        </w:rPr>
      </w:pPr>
      <w:r>
        <w:rPr>
          <w:rFonts w:ascii="仿宋" w:hAnsi="仿宋" w:eastAsia="仿宋"/>
          <w:b/>
          <w:bCs/>
          <w:sz w:val="32"/>
          <w:szCs w:val="32"/>
        </w:rPr>
        <w:t>20</w:t>
      </w:r>
      <w:r>
        <w:rPr>
          <w:rFonts w:hint="eastAsia" w:ascii="仿宋" w:hAnsi="仿宋" w:eastAsia="仿宋"/>
          <w:b/>
          <w:bCs/>
          <w:sz w:val="32"/>
          <w:szCs w:val="32"/>
        </w:rPr>
        <w:t>22</w:t>
      </w:r>
      <w:r>
        <w:rPr>
          <w:rFonts w:hint="eastAsia" w:ascii="仿宋" w:hAnsi="仿宋" w:eastAsia="仿宋" w:cs="黑体"/>
          <w:b/>
          <w:bCs/>
          <w:sz w:val="32"/>
          <w:szCs w:val="32"/>
        </w:rPr>
        <w:t>年4月</w:t>
      </w:r>
    </w:p>
    <w:p w14:paraId="76712468">
      <w:pPr>
        <w:jc w:val="center"/>
        <w:rPr>
          <w:rFonts w:ascii="Times New Roman" w:hAnsi="Times New Roman" w:eastAsia="黑体" w:cs="黑体"/>
          <w:b/>
          <w:bCs/>
          <w:sz w:val="28"/>
          <w:szCs w:val="28"/>
        </w:rPr>
      </w:pPr>
    </w:p>
    <w:p w14:paraId="08CE5CD1">
      <w:pPr>
        <w:jc w:val="center"/>
        <w:rPr>
          <w:rFonts w:ascii="Times New Roman" w:hAnsi="Times New Roman" w:eastAsia="黑体" w:cs="黑体"/>
          <w:b/>
          <w:bCs/>
          <w:sz w:val="28"/>
          <w:szCs w:val="28"/>
        </w:rPr>
      </w:pPr>
    </w:p>
    <w:p w14:paraId="3A7DE201">
      <w:pPr>
        <w:jc w:val="center"/>
        <w:rPr>
          <w:rFonts w:ascii="Times New Roman" w:hAnsi="Times New Roman" w:eastAsia="黑体" w:cs="黑体"/>
          <w:b/>
          <w:bCs/>
          <w:sz w:val="28"/>
          <w:szCs w:val="28"/>
        </w:rPr>
      </w:pPr>
    </w:p>
    <w:p w14:paraId="17B9833B">
      <w:pPr>
        <w:jc w:val="center"/>
        <w:rPr>
          <w:rFonts w:ascii="Times New Roman" w:hAnsi="Times New Roman" w:eastAsia="黑体" w:cs="黑体"/>
          <w:b/>
          <w:bCs/>
          <w:sz w:val="28"/>
          <w:szCs w:val="28"/>
        </w:rPr>
        <w:sectPr>
          <w:headerReference r:id="rId3" w:type="default"/>
          <w:pgSz w:w="11906" w:h="16838"/>
          <w:pgMar w:top="1440" w:right="1800" w:bottom="1440" w:left="1800" w:header="851" w:footer="992" w:gutter="0"/>
          <w:cols w:space="425" w:num="1"/>
          <w:docGrid w:type="lines" w:linePitch="312" w:charSpace="0"/>
        </w:sectPr>
      </w:pPr>
    </w:p>
    <w:p w14:paraId="0C298160">
      <w:pPr>
        <w:rPr>
          <w:rFonts w:ascii="Times New Roman" w:hAnsi="Times New Roman" w:eastAsia="黑体" w:cs="黑体"/>
          <w:b/>
          <w:bCs/>
          <w:sz w:val="28"/>
          <w:szCs w:val="28"/>
        </w:rPr>
      </w:pPr>
    </w:p>
    <w:p w14:paraId="40FD3D8C">
      <w:pPr>
        <w:pStyle w:val="2"/>
      </w:pPr>
    </w:p>
    <w:p w14:paraId="1537B0ED">
      <w:pPr>
        <w:spacing w:line="360" w:lineRule="auto"/>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1"/>
        <w:tblpPr w:leftFromText="180" w:rightFromText="180" w:vertAnchor="text" w:horzAnchor="margin" w:tblpX="119" w:tblpY="72"/>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1620"/>
        <w:gridCol w:w="1753"/>
        <w:gridCol w:w="1950"/>
        <w:gridCol w:w="1481"/>
      </w:tblGrid>
      <w:tr w14:paraId="2510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645DCA07">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14:paraId="2F122C3A">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14:paraId="4A7FE237">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753" w:type="dxa"/>
            <w:vAlign w:val="center"/>
          </w:tcPr>
          <w:p w14:paraId="6DD7D128">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950" w:type="dxa"/>
            <w:vAlign w:val="center"/>
          </w:tcPr>
          <w:p w14:paraId="77F266EA">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14:paraId="69418A90">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481" w:type="dxa"/>
            <w:vAlign w:val="center"/>
          </w:tcPr>
          <w:p w14:paraId="0680B0E2">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14:paraId="0754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02" w:type="dxa"/>
            <w:vAlign w:val="center"/>
          </w:tcPr>
          <w:p w14:paraId="44683682">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组长</w:t>
            </w:r>
          </w:p>
        </w:tc>
        <w:tc>
          <w:tcPr>
            <w:tcW w:w="1620" w:type="dxa"/>
            <w:vAlign w:val="center"/>
          </w:tcPr>
          <w:p w14:paraId="3ABD1598">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杨艳</w:t>
            </w:r>
          </w:p>
        </w:tc>
        <w:tc>
          <w:tcPr>
            <w:tcW w:w="1753" w:type="dxa"/>
            <w:vAlign w:val="center"/>
          </w:tcPr>
          <w:p w14:paraId="4ED9D66D">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950" w:type="dxa"/>
            <w:vAlign w:val="center"/>
          </w:tcPr>
          <w:p w14:paraId="742FBB0F">
            <w:pPr>
              <w:pStyle w:val="20"/>
              <w:widowControl w:val="0"/>
              <w:spacing w:after="0" w:line="360" w:lineRule="auto"/>
              <w:jc w:val="center"/>
              <w:rPr>
                <w:rFonts w:ascii="仿宋_GB2312" w:hAnsi="仿宋" w:eastAsia="仿宋_GB2312" w:cs="黑体"/>
                <w:kern w:val="2"/>
                <w:sz w:val="32"/>
                <w:szCs w:val="32"/>
                <w:lang w:val="zh-TW" w:eastAsia="zh-TW"/>
              </w:rPr>
            </w:pPr>
            <w:r>
              <w:rPr>
                <w:rFonts w:hint="eastAsia" w:ascii="仿宋_GB2312" w:hAnsi="黑体" w:eastAsia="仿宋_GB2312" w:cs="黑体"/>
                <w:kern w:val="2"/>
                <w:sz w:val="24"/>
                <w:szCs w:val="24"/>
                <w:lang w:val="zh-TW"/>
              </w:rPr>
              <w:t>区机关事务管理服务中心</w:t>
            </w:r>
          </w:p>
        </w:tc>
        <w:tc>
          <w:tcPr>
            <w:tcW w:w="1481" w:type="dxa"/>
          </w:tcPr>
          <w:p w14:paraId="1A1441C3">
            <w:pPr>
              <w:spacing w:line="360" w:lineRule="auto"/>
              <w:rPr>
                <w:rFonts w:ascii="Times New Roman" w:hAnsi="Times New Roman" w:eastAsia="黑体" w:cs="黑体"/>
                <w:color w:val="000000"/>
                <w:sz w:val="24"/>
                <w:szCs w:val="24"/>
                <w:u w:color="000000"/>
                <w:lang w:val="zh-TW" w:eastAsia="zh-TW"/>
              </w:rPr>
            </w:pPr>
          </w:p>
        </w:tc>
      </w:tr>
      <w:tr w14:paraId="204D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02" w:type="dxa"/>
            <w:vAlign w:val="center"/>
          </w:tcPr>
          <w:p w14:paraId="62B97C58">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14:paraId="4E2A90C9">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闫鑫</w:t>
            </w:r>
          </w:p>
        </w:tc>
        <w:tc>
          <w:tcPr>
            <w:tcW w:w="1753" w:type="dxa"/>
            <w:vAlign w:val="center"/>
          </w:tcPr>
          <w:p w14:paraId="0A59C7C1">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950" w:type="dxa"/>
            <w:vAlign w:val="center"/>
          </w:tcPr>
          <w:p w14:paraId="1A5C7342">
            <w:pPr>
              <w:pStyle w:val="20"/>
              <w:widowControl w:val="0"/>
              <w:spacing w:after="0" w:line="360" w:lineRule="auto"/>
              <w:jc w:val="center"/>
              <w:rPr>
                <w:rFonts w:ascii="仿宋_GB2312" w:hAnsi="仿宋" w:eastAsia="仿宋_GB2312" w:cs="黑体"/>
                <w:kern w:val="2"/>
                <w:sz w:val="32"/>
                <w:szCs w:val="32"/>
                <w:lang w:val="zh-TW" w:eastAsia="zh-TW"/>
              </w:rPr>
            </w:pPr>
            <w:r>
              <w:rPr>
                <w:rFonts w:hint="eastAsia" w:ascii="仿宋_GB2312" w:hAnsi="黑体" w:eastAsia="仿宋_GB2312" w:cs="黑体"/>
                <w:kern w:val="2"/>
                <w:sz w:val="24"/>
                <w:szCs w:val="24"/>
                <w:lang w:val="zh-TW"/>
              </w:rPr>
              <w:t>区机关事务管理服务中心</w:t>
            </w:r>
          </w:p>
        </w:tc>
        <w:tc>
          <w:tcPr>
            <w:tcW w:w="1481" w:type="dxa"/>
          </w:tcPr>
          <w:p w14:paraId="435D27C7">
            <w:pPr>
              <w:spacing w:line="360" w:lineRule="auto"/>
              <w:rPr>
                <w:rFonts w:ascii="Times New Roman" w:hAnsi="Times New Roman" w:eastAsia="黑体" w:cs="黑体"/>
                <w:color w:val="000000"/>
                <w:sz w:val="24"/>
                <w:szCs w:val="24"/>
                <w:u w:color="000000"/>
                <w:lang w:val="zh-TW" w:eastAsia="zh-TW"/>
              </w:rPr>
            </w:pPr>
          </w:p>
        </w:tc>
      </w:tr>
      <w:tr w14:paraId="21E5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02" w:type="dxa"/>
            <w:vAlign w:val="center"/>
          </w:tcPr>
          <w:p w14:paraId="3FB84B8E">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w:t>
            </w:r>
            <w:r>
              <w:rPr>
                <w:rFonts w:hint="eastAsia" w:ascii="仿宋_GB2312" w:hAnsi="Times New Roman" w:eastAsia="仿宋_GB2312" w:cs="黑体"/>
                <w:color w:val="000000"/>
                <w:sz w:val="24"/>
                <w:szCs w:val="24"/>
                <w:u w:color="000000"/>
              </w:rPr>
              <w:t xml:space="preserve"> </w:t>
            </w:r>
            <w:r>
              <w:rPr>
                <w:rFonts w:hint="eastAsia" w:ascii="仿宋_GB2312" w:hAnsi="Times New Roman" w:eastAsia="仿宋_GB2312" w:cs="黑体"/>
                <w:color w:val="000000"/>
                <w:sz w:val="24"/>
                <w:szCs w:val="24"/>
                <w:u w:color="000000"/>
                <w:lang w:val="zh-TW"/>
              </w:rPr>
              <w:t>员</w:t>
            </w:r>
          </w:p>
        </w:tc>
        <w:tc>
          <w:tcPr>
            <w:tcW w:w="1620" w:type="dxa"/>
          </w:tcPr>
          <w:p w14:paraId="0CE6C9A6">
            <w:pPr>
              <w:spacing w:line="360" w:lineRule="auto"/>
              <w:jc w:val="center"/>
              <w:rPr>
                <w:rFonts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lang w:val="zh-TW"/>
              </w:rPr>
              <w:t>和娟</w:t>
            </w:r>
          </w:p>
        </w:tc>
        <w:tc>
          <w:tcPr>
            <w:tcW w:w="1753" w:type="dxa"/>
          </w:tcPr>
          <w:p w14:paraId="28C877D9">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主任</w:t>
            </w:r>
          </w:p>
        </w:tc>
        <w:tc>
          <w:tcPr>
            <w:tcW w:w="1950" w:type="dxa"/>
          </w:tcPr>
          <w:p w14:paraId="03D8ECE2">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办公室</w:t>
            </w:r>
          </w:p>
        </w:tc>
        <w:tc>
          <w:tcPr>
            <w:tcW w:w="1481" w:type="dxa"/>
          </w:tcPr>
          <w:p w14:paraId="60D148C8">
            <w:pPr>
              <w:spacing w:line="360" w:lineRule="auto"/>
              <w:rPr>
                <w:rFonts w:ascii="Times New Roman" w:hAnsi="Times New Roman" w:eastAsia="黑体" w:cs="黑体"/>
                <w:color w:val="000000"/>
                <w:sz w:val="24"/>
                <w:szCs w:val="24"/>
                <w:u w:color="000000"/>
                <w:lang w:val="zh-TW" w:eastAsia="zh-TW"/>
              </w:rPr>
            </w:pPr>
          </w:p>
        </w:tc>
      </w:tr>
      <w:tr w14:paraId="7497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02" w:type="dxa"/>
            <w:vAlign w:val="center"/>
          </w:tcPr>
          <w:p w14:paraId="5AC8F65A">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w:t>
            </w:r>
            <w:r>
              <w:rPr>
                <w:rFonts w:hint="eastAsia" w:ascii="仿宋_GB2312" w:hAnsi="Times New Roman" w:eastAsia="仿宋_GB2312" w:cs="黑体"/>
                <w:color w:val="000000"/>
                <w:sz w:val="24"/>
                <w:szCs w:val="24"/>
                <w:u w:color="000000"/>
              </w:rPr>
              <w:t xml:space="preserve"> </w:t>
            </w:r>
            <w:r>
              <w:rPr>
                <w:rFonts w:hint="eastAsia" w:ascii="仿宋_GB2312" w:hAnsi="Times New Roman" w:eastAsia="仿宋_GB2312" w:cs="黑体"/>
                <w:color w:val="000000"/>
                <w:sz w:val="24"/>
                <w:szCs w:val="24"/>
                <w:u w:color="000000"/>
                <w:lang w:val="zh-TW"/>
              </w:rPr>
              <w:t>员</w:t>
            </w:r>
          </w:p>
        </w:tc>
        <w:tc>
          <w:tcPr>
            <w:tcW w:w="1620" w:type="dxa"/>
          </w:tcPr>
          <w:p w14:paraId="0D4335D8">
            <w:pPr>
              <w:spacing w:line="360" w:lineRule="auto"/>
              <w:jc w:val="center"/>
              <w:rPr>
                <w:rFonts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刘荣地</w:t>
            </w:r>
          </w:p>
        </w:tc>
        <w:tc>
          <w:tcPr>
            <w:tcW w:w="1753" w:type="dxa"/>
          </w:tcPr>
          <w:p w14:paraId="56AC0FF9">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主任</w:t>
            </w:r>
          </w:p>
        </w:tc>
        <w:tc>
          <w:tcPr>
            <w:tcW w:w="1950" w:type="dxa"/>
          </w:tcPr>
          <w:p w14:paraId="1BECE0B1">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会务中心</w:t>
            </w:r>
          </w:p>
        </w:tc>
        <w:tc>
          <w:tcPr>
            <w:tcW w:w="1481" w:type="dxa"/>
          </w:tcPr>
          <w:p w14:paraId="7CE379B9">
            <w:pPr>
              <w:spacing w:line="360" w:lineRule="auto"/>
              <w:rPr>
                <w:rFonts w:ascii="Times New Roman" w:hAnsi="Times New Roman" w:eastAsia="黑体" w:cs="黑体"/>
                <w:color w:val="000000"/>
                <w:sz w:val="24"/>
                <w:szCs w:val="24"/>
                <w:u w:color="000000"/>
                <w:lang w:val="zh-TW" w:eastAsia="zh-TW"/>
              </w:rPr>
            </w:pPr>
          </w:p>
        </w:tc>
      </w:tr>
      <w:tr w14:paraId="4BFA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306" w:type="dxa"/>
            <w:gridSpan w:val="5"/>
          </w:tcPr>
          <w:p w14:paraId="59913F3C">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14:paraId="55BDB111">
            <w:pPr>
              <w:spacing w:line="360" w:lineRule="auto"/>
              <w:rPr>
                <w:rFonts w:ascii="Times New Roman" w:hAnsi="Times New Roman" w:eastAsia="黑体" w:cs="黑体"/>
                <w:color w:val="000000"/>
                <w:sz w:val="24"/>
                <w:szCs w:val="24"/>
                <w:u w:color="000000"/>
                <w:lang w:val="zh-TW"/>
              </w:rPr>
            </w:pPr>
          </w:p>
          <w:p w14:paraId="5D424682">
            <w:pPr>
              <w:spacing w:line="360" w:lineRule="auto"/>
              <w:rPr>
                <w:rFonts w:ascii="Times New Roman" w:hAnsi="Times New Roman" w:eastAsia="黑体" w:cs="黑体"/>
                <w:color w:val="000000"/>
                <w:sz w:val="24"/>
                <w:szCs w:val="24"/>
                <w:u w:color="000000"/>
                <w:lang w:val="zh-TW"/>
              </w:rPr>
            </w:pPr>
          </w:p>
          <w:p w14:paraId="628AB8C4">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14:paraId="0212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306" w:type="dxa"/>
            <w:gridSpan w:val="5"/>
          </w:tcPr>
          <w:p w14:paraId="79730801">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14:paraId="43433EE1">
            <w:pPr>
              <w:spacing w:line="360" w:lineRule="auto"/>
              <w:rPr>
                <w:rFonts w:ascii="Times New Roman" w:hAnsi="Times New Roman" w:eastAsia="黑体" w:cs="黑体"/>
                <w:color w:val="000000"/>
                <w:sz w:val="24"/>
                <w:szCs w:val="24"/>
                <w:u w:color="000000"/>
                <w:lang w:val="zh-TW"/>
              </w:rPr>
            </w:pPr>
          </w:p>
          <w:p w14:paraId="6D9EA9C7">
            <w:pPr>
              <w:spacing w:line="360" w:lineRule="auto"/>
              <w:rPr>
                <w:rFonts w:ascii="Times New Roman" w:hAnsi="Times New Roman" w:eastAsia="黑体" w:cs="黑体"/>
                <w:color w:val="000000"/>
                <w:sz w:val="24"/>
                <w:szCs w:val="24"/>
                <w:u w:color="000000"/>
                <w:lang w:val="zh-TW"/>
              </w:rPr>
            </w:pPr>
          </w:p>
          <w:p w14:paraId="4940CEC0">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14:paraId="0752C39B">
      <w:pPr>
        <w:widowControl/>
        <w:shd w:val="clear" w:color="auto" w:fill="FFFFFF"/>
        <w:jc w:val="center"/>
        <w:rPr>
          <w:rFonts w:ascii="宋体" w:hAnsi="宋体" w:eastAsia="宋体" w:cs="宋体"/>
          <w:color w:val="333333"/>
          <w:kern w:val="0"/>
          <w:szCs w:val="21"/>
        </w:rPr>
      </w:pPr>
    </w:p>
    <w:p w14:paraId="50FC7CE0">
      <w:pPr>
        <w:widowControl/>
        <w:shd w:val="clear" w:color="auto" w:fill="FFFFFF"/>
        <w:jc w:val="center"/>
        <w:rPr>
          <w:rFonts w:ascii="宋体" w:hAnsi="宋体" w:eastAsia="宋体" w:cs="宋体"/>
          <w:color w:val="333333"/>
          <w:kern w:val="0"/>
          <w:szCs w:val="21"/>
        </w:rPr>
      </w:pPr>
    </w:p>
    <w:p w14:paraId="1F37DAC3">
      <w:pPr>
        <w:widowControl/>
        <w:shd w:val="clear" w:color="auto" w:fill="FFFFFF"/>
        <w:jc w:val="center"/>
        <w:rPr>
          <w:rFonts w:ascii="宋体" w:hAnsi="宋体" w:eastAsia="宋体" w:cs="宋体"/>
          <w:color w:val="333333"/>
          <w:kern w:val="0"/>
          <w:szCs w:val="21"/>
        </w:rPr>
      </w:pPr>
    </w:p>
    <w:p w14:paraId="188FC0AE">
      <w:pPr>
        <w:widowControl/>
        <w:shd w:val="clear" w:color="auto" w:fill="FFFFFF"/>
        <w:jc w:val="center"/>
        <w:rPr>
          <w:rFonts w:ascii="宋体" w:hAnsi="宋体" w:eastAsia="宋体" w:cs="宋体"/>
          <w:color w:val="333333"/>
          <w:kern w:val="0"/>
          <w:szCs w:val="21"/>
        </w:rPr>
      </w:pPr>
    </w:p>
    <w:p w14:paraId="112C6D74">
      <w:pPr>
        <w:widowControl/>
        <w:shd w:val="clear" w:color="auto" w:fill="FFFFFF"/>
        <w:jc w:val="center"/>
        <w:rPr>
          <w:rFonts w:ascii="宋体" w:hAnsi="宋体" w:eastAsia="宋体" w:cs="宋体"/>
          <w:color w:val="333333"/>
          <w:kern w:val="0"/>
          <w:szCs w:val="21"/>
        </w:rPr>
      </w:pPr>
    </w:p>
    <w:p w14:paraId="281D6FA9">
      <w:pPr>
        <w:widowControl/>
        <w:shd w:val="clear" w:color="auto" w:fill="FFFFFF"/>
        <w:jc w:val="center"/>
        <w:rPr>
          <w:rFonts w:ascii="宋体" w:hAnsi="宋体" w:eastAsia="宋体" w:cs="宋体"/>
          <w:color w:val="333333"/>
          <w:kern w:val="0"/>
          <w:szCs w:val="21"/>
        </w:rPr>
      </w:pPr>
    </w:p>
    <w:p w14:paraId="44AFAEE7">
      <w:pPr>
        <w:widowControl/>
        <w:shd w:val="clear" w:color="auto" w:fill="FFFFFF"/>
        <w:jc w:val="center"/>
        <w:rPr>
          <w:rFonts w:ascii="宋体" w:hAnsi="宋体" w:eastAsia="宋体" w:cs="宋体"/>
          <w:color w:val="333333"/>
          <w:kern w:val="0"/>
          <w:szCs w:val="21"/>
        </w:rPr>
      </w:pPr>
    </w:p>
    <w:p w14:paraId="4034FA67">
      <w:pPr>
        <w:pStyle w:val="2"/>
        <w:sectPr>
          <w:footerReference r:id="rId4" w:type="default"/>
          <w:pgSz w:w="11906" w:h="16838"/>
          <w:pgMar w:top="1440" w:right="1800" w:bottom="1440" w:left="1800" w:header="851" w:footer="992" w:gutter="0"/>
          <w:cols w:space="425" w:num="1"/>
          <w:docGrid w:type="lines" w:linePitch="312" w:charSpace="0"/>
        </w:sectPr>
      </w:pPr>
    </w:p>
    <w:p w14:paraId="03E3D1D3">
      <w:pPr>
        <w:widowControl/>
        <w:shd w:val="clear" w:color="auto" w:fill="FFFFFF"/>
        <w:rPr>
          <w:rFonts w:ascii="黑体" w:hAnsi="黑体" w:eastAsia="黑体" w:cs="黑体"/>
          <w:color w:val="333333"/>
          <w:kern w:val="0"/>
          <w:szCs w:val="21"/>
        </w:rPr>
      </w:pPr>
    </w:p>
    <w:p w14:paraId="6F87DA59">
      <w:pPr>
        <w:pStyle w:val="8"/>
        <w:spacing w:line="440" w:lineRule="exact"/>
        <w:rPr>
          <w:rStyle w:val="14"/>
          <w:rFonts w:ascii="黑体" w:hAnsi="黑体" w:cs="黑体"/>
          <w:color w:val="auto"/>
          <w:u w:val="none"/>
        </w:rPr>
      </w:pPr>
      <w:r>
        <w:rPr>
          <w:rStyle w:val="14"/>
          <w:rFonts w:hint="eastAsia" w:ascii="黑体" w:hAnsi="黑体" w:cs="黑体"/>
          <w:color w:val="auto"/>
          <w:u w:val="none"/>
        </w:rPr>
        <w:t>目录</w:t>
      </w:r>
    </w:p>
    <w:p w14:paraId="02A75504">
      <w:pPr>
        <w:spacing w:line="440" w:lineRule="exact"/>
        <w:rPr>
          <w:rFonts w:ascii="黑体" w:hAnsi="黑体" w:eastAsia="黑体" w:cs="黑体"/>
          <w:sz w:val="18"/>
        </w:rPr>
      </w:pPr>
    </w:p>
    <w:p w14:paraId="2E25130A">
      <w:pPr>
        <w:pStyle w:val="8"/>
        <w:spacing w:line="440" w:lineRule="exact"/>
        <w:rPr>
          <w:rStyle w:val="14"/>
          <w:rFonts w:ascii="黑体" w:hAnsi="黑体" w:cs="黑体"/>
          <w:color w:val="auto"/>
          <w:sz w:val="28"/>
          <w:u w:val="none"/>
        </w:rPr>
      </w:pPr>
      <w:r>
        <w:rPr>
          <w:rStyle w:val="14"/>
          <w:rFonts w:hint="eastAsia" w:ascii="黑体" w:hAnsi="黑体" w:cs="黑体"/>
          <w:color w:val="auto"/>
          <w:sz w:val="28"/>
          <w:u w:val="none"/>
        </w:rPr>
        <w:t>摘要</w:t>
      </w:r>
    </w:p>
    <w:p w14:paraId="631324DB">
      <w:pPr>
        <w:pStyle w:val="8"/>
        <w:tabs>
          <w:tab w:val="right" w:leader="dot" w:pos="8306"/>
          <w:tab w:val="clear" w:pos="8296"/>
        </w:tabs>
        <w:spacing w:line="440" w:lineRule="exact"/>
        <w:rPr>
          <w:rFonts w:ascii="黑体" w:hAnsi="黑体" w:cs="黑体"/>
          <w:sz w:val="24"/>
          <w:szCs w:val="24"/>
        </w:rPr>
      </w:pPr>
      <w:r>
        <w:rPr>
          <w:rStyle w:val="14"/>
          <w:rFonts w:hint="eastAsia"/>
        </w:rPr>
        <w:fldChar w:fldCharType="begin"/>
      </w:r>
      <w:r>
        <w:rPr>
          <w:rStyle w:val="14"/>
          <w:rFonts w:hint="eastAsia" w:ascii="黑体" w:hAnsi="黑体" w:cs="黑体"/>
          <w:sz w:val="28"/>
          <w:szCs w:val="28"/>
        </w:rPr>
        <w:instrText xml:space="preserve">TOC \o "1-2" \h \z \u</w:instrText>
      </w:r>
      <w:r>
        <w:rPr>
          <w:rStyle w:val="14"/>
          <w:rFonts w:hint="eastAsia"/>
        </w:rPr>
        <w:fldChar w:fldCharType="separate"/>
      </w:r>
      <w:r>
        <w:fldChar w:fldCharType="begin"/>
      </w:r>
      <w:r>
        <w:instrText xml:space="preserve"> HYPERLINK \l "_Toc15525" </w:instrText>
      </w:r>
      <w:r>
        <w:fldChar w:fldCharType="separate"/>
      </w:r>
      <w:r>
        <w:rPr>
          <w:rFonts w:hint="eastAsia" w:ascii="黑体" w:hAnsi="黑体" w:cs="黑体"/>
          <w:kern w:val="44"/>
          <w:sz w:val="24"/>
          <w:szCs w:val="24"/>
        </w:rPr>
        <w:t>一、项目概况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_Toc15525 </w:instrText>
      </w:r>
      <w:r>
        <w:rPr>
          <w:rFonts w:hint="eastAsia" w:ascii="黑体" w:hAnsi="黑体" w:cs="黑体"/>
          <w:sz w:val="24"/>
          <w:szCs w:val="24"/>
        </w:rPr>
        <w:fldChar w:fldCharType="separate"/>
      </w:r>
      <w:r>
        <w:rPr>
          <w:rFonts w:hint="eastAsia" w:ascii="黑体" w:hAnsi="黑体" w:cs="黑体"/>
          <w:sz w:val="24"/>
          <w:szCs w:val="24"/>
        </w:rPr>
        <w:t>1</w:t>
      </w:r>
      <w:r>
        <w:rPr>
          <w:rFonts w:hint="eastAsia" w:ascii="黑体" w:hAnsi="黑体" w:cs="黑体"/>
          <w:sz w:val="24"/>
          <w:szCs w:val="24"/>
        </w:rPr>
        <w:fldChar w:fldCharType="end"/>
      </w:r>
      <w:r>
        <w:rPr>
          <w:rFonts w:hint="eastAsia" w:ascii="黑体" w:hAnsi="黑体" w:cs="黑体"/>
          <w:sz w:val="24"/>
          <w:szCs w:val="24"/>
        </w:rPr>
        <w:fldChar w:fldCharType="end"/>
      </w:r>
    </w:p>
    <w:p w14:paraId="1D2917BE">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"_Toc26348" </w:instrText>
      </w:r>
      <w:r>
        <w:fldChar w:fldCharType="separate"/>
      </w:r>
      <w:r>
        <w:rPr>
          <w:rFonts w:hint="eastAsia" w:ascii="黑体" w:hAnsi="黑体" w:eastAsia="黑体" w:cs="黑体"/>
          <w:sz w:val="24"/>
          <w:szCs w:val="24"/>
        </w:rPr>
        <w:t>（一）项目立项背景及目的</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_Toc26348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6B048C74">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"_Toc18198" </w:instrText>
      </w:r>
      <w:r>
        <w:fldChar w:fldCharType="separate"/>
      </w:r>
      <w:r>
        <w:rPr>
          <w:rFonts w:hint="eastAsia" w:ascii="黑体" w:hAnsi="黑体" w:eastAsia="黑体" w:cs="黑体"/>
          <w:sz w:val="24"/>
          <w:szCs w:val="24"/>
        </w:rPr>
        <w:t>（二）预算收支情况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_Toc18198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6807A6B1">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"_Toc9801" </w:instrText>
      </w:r>
      <w:r>
        <w:fldChar w:fldCharType="separate"/>
      </w:r>
      <w:r>
        <w:rPr>
          <w:rFonts w:hint="eastAsia" w:ascii="黑体" w:hAnsi="黑体" w:cs="黑体"/>
          <w:kern w:val="44"/>
          <w:sz w:val="24"/>
          <w:szCs w:val="24"/>
        </w:rPr>
        <w:t>二、评价结论</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_Toc9801 </w:instrText>
      </w:r>
      <w:r>
        <w:rPr>
          <w:rFonts w:hint="eastAsia" w:ascii="黑体" w:hAnsi="黑体" w:cs="黑体"/>
          <w:sz w:val="24"/>
          <w:szCs w:val="24"/>
        </w:rPr>
        <w:fldChar w:fldCharType="separate"/>
      </w:r>
      <w:r>
        <w:rPr>
          <w:rFonts w:hint="eastAsia" w:ascii="黑体" w:hAnsi="黑体" w:cs="黑体"/>
          <w:sz w:val="24"/>
          <w:szCs w:val="24"/>
        </w:rPr>
        <w:t>1</w:t>
      </w:r>
      <w:r>
        <w:rPr>
          <w:rFonts w:hint="eastAsia" w:ascii="黑体" w:hAnsi="黑体" w:cs="黑体"/>
          <w:sz w:val="24"/>
          <w:szCs w:val="24"/>
        </w:rPr>
        <w:fldChar w:fldCharType="end"/>
      </w:r>
      <w:r>
        <w:rPr>
          <w:rFonts w:hint="eastAsia" w:ascii="黑体" w:hAnsi="黑体" w:cs="黑体"/>
          <w:sz w:val="24"/>
          <w:szCs w:val="24"/>
        </w:rPr>
        <w:fldChar w:fldCharType="end"/>
      </w:r>
    </w:p>
    <w:p w14:paraId="7B85FB09">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"_Toc29580" </w:instrText>
      </w:r>
      <w:r>
        <w:fldChar w:fldCharType="separate"/>
      </w:r>
      <w:r>
        <w:rPr>
          <w:rFonts w:hint="eastAsia" w:ascii="黑体" w:hAnsi="黑体" w:cs="黑体"/>
          <w:kern w:val="44"/>
          <w:sz w:val="24"/>
          <w:szCs w:val="24"/>
        </w:rPr>
        <w:t>三、经验、问题和建议</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_Toc29580 </w:instrText>
      </w:r>
      <w:r>
        <w:rPr>
          <w:rFonts w:hint="eastAsia" w:ascii="黑体" w:hAnsi="黑体" w:cs="黑体"/>
          <w:sz w:val="24"/>
          <w:szCs w:val="24"/>
        </w:rPr>
        <w:fldChar w:fldCharType="separate"/>
      </w:r>
      <w:r>
        <w:rPr>
          <w:rFonts w:hint="eastAsia" w:ascii="黑体" w:hAnsi="黑体" w:cs="黑体"/>
          <w:sz w:val="24"/>
          <w:szCs w:val="24"/>
        </w:rPr>
        <w:t>2</w:t>
      </w:r>
      <w:r>
        <w:rPr>
          <w:rFonts w:hint="eastAsia" w:ascii="黑体" w:hAnsi="黑体" w:cs="黑体"/>
          <w:sz w:val="24"/>
          <w:szCs w:val="24"/>
        </w:rPr>
        <w:fldChar w:fldCharType="end"/>
      </w:r>
      <w:r>
        <w:rPr>
          <w:rFonts w:hint="eastAsia" w:ascii="黑体" w:hAnsi="黑体" w:cs="黑体"/>
          <w:sz w:val="24"/>
          <w:szCs w:val="24"/>
        </w:rPr>
        <w:fldChar w:fldCharType="end"/>
      </w:r>
    </w:p>
    <w:p w14:paraId="5AEB75DF">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"_Toc19810" </w:instrText>
      </w:r>
      <w:r>
        <w:fldChar w:fldCharType="separate"/>
      </w:r>
      <w:r>
        <w:rPr>
          <w:rFonts w:hint="eastAsia" w:ascii="黑体" w:hAnsi="黑体" w:eastAsia="黑体" w:cs="黑体"/>
          <w:sz w:val="24"/>
          <w:szCs w:val="24"/>
        </w:rPr>
        <w:t>（一）主要经验及做法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_Toc19810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2A02E672">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"_Toc13426" </w:instrText>
      </w:r>
      <w:r>
        <w:fldChar w:fldCharType="separate"/>
      </w:r>
      <w:r>
        <w:rPr>
          <w:rFonts w:hint="eastAsia" w:ascii="黑体" w:hAnsi="黑体" w:eastAsia="黑体" w:cs="黑体"/>
          <w:sz w:val="24"/>
          <w:szCs w:val="24"/>
        </w:rPr>
        <w:t>（二）存在的问题</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_Toc13426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1230418D">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"_Toc13630" </w:instrText>
      </w:r>
      <w:r>
        <w:fldChar w:fldCharType="separate"/>
      </w:r>
      <w:r>
        <w:rPr>
          <w:rFonts w:hint="eastAsia" w:ascii="黑体" w:hAnsi="黑体" w:eastAsia="黑体" w:cs="黑体"/>
          <w:sz w:val="24"/>
          <w:szCs w:val="24"/>
        </w:rPr>
        <w:t>（三）建议和改进措施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_Toc13630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6443444A">
      <w:pPr>
        <w:pStyle w:val="8"/>
        <w:tabs>
          <w:tab w:val="right" w:leader="dot" w:pos="8306"/>
          <w:tab w:val="clear" w:pos="8296"/>
        </w:tabs>
        <w:spacing w:line="440" w:lineRule="exact"/>
        <w:rPr>
          <w:rStyle w:val="14"/>
          <w:rFonts w:ascii="黑体" w:hAnsi="黑体" w:cs="黑体"/>
          <w:color w:val="auto"/>
          <w:sz w:val="24"/>
          <w:szCs w:val="24"/>
          <w:u w:val="none"/>
        </w:rPr>
      </w:pPr>
      <w:r>
        <w:rPr>
          <w:rStyle w:val="14"/>
          <w:rFonts w:hint="eastAsia" w:ascii="黑体" w:hAnsi="黑体" w:cs="黑体"/>
          <w:color w:val="auto"/>
          <w:sz w:val="24"/>
          <w:szCs w:val="24"/>
          <w:u w:val="none"/>
        </w:rPr>
        <w:t>正文</w:t>
      </w:r>
    </w:p>
    <w:p w14:paraId="68E8815E">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"_Toc5587" </w:instrText>
      </w:r>
      <w:r>
        <w:fldChar w:fldCharType="separate"/>
      </w:r>
      <w:r>
        <w:rPr>
          <w:rFonts w:hint="eastAsia" w:ascii="黑体" w:hAnsi="黑体" w:cs="黑体"/>
          <w:kern w:val="44"/>
          <w:sz w:val="24"/>
          <w:szCs w:val="24"/>
        </w:rPr>
        <w:t>一、项目基本情况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_Toc5587 </w:instrText>
      </w:r>
      <w:r>
        <w:rPr>
          <w:rFonts w:hint="eastAsia" w:ascii="黑体" w:hAnsi="黑体" w:cs="黑体"/>
          <w:sz w:val="24"/>
          <w:szCs w:val="24"/>
        </w:rPr>
        <w:fldChar w:fldCharType="separate"/>
      </w:r>
      <w:r>
        <w:rPr>
          <w:rFonts w:hint="eastAsia" w:ascii="黑体" w:hAnsi="黑体" w:cs="黑体"/>
          <w:sz w:val="24"/>
          <w:szCs w:val="24"/>
        </w:rPr>
        <w:t>4</w:t>
      </w:r>
      <w:r>
        <w:rPr>
          <w:rFonts w:hint="eastAsia" w:ascii="黑体" w:hAnsi="黑体" w:cs="黑体"/>
          <w:sz w:val="24"/>
          <w:szCs w:val="24"/>
        </w:rPr>
        <w:fldChar w:fldCharType="end"/>
      </w:r>
      <w:r>
        <w:rPr>
          <w:rFonts w:hint="eastAsia" w:ascii="黑体" w:hAnsi="黑体" w:cs="黑体"/>
          <w:sz w:val="24"/>
          <w:szCs w:val="24"/>
        </w:rPr>
        <w:fldChar w:fldCharType="end"/>
      </w:r>
    </w:p>
    <w:p w14:paraId="2A3A72D3">
      <w:pPr>
        <w:pStyle w:val="9"/>
        <w:tabs>
          <w:tab w:val="right" w:leader="dot" w:pos="8306"/>
        </w:tabs>
        <w:spacing w:line="440" w:lineRule="exact"/>
        <w:rPr>
          <w:rFonts w:ascii="黑体" w:hAnsi="黑体" w:eastAsia="黑体" w:cs="黑体"/>
          <w:sz w:val="24"/>
          <w:szCs w:val="24"/>
        </w:rPr>
      </w:pPr>
      <w:r>
        <w:fldChar w:fldCharType="begin"/>
      </w:r>
      <w:r>
        <w:instrText xml:space="preserve"> HYPERLINK \l "_Toc31829" </w:instrText>
      </w:r>
      <w:r>
        <w:fldChar w:fldCharType="separate"/>
      </w:r>
      <w:r>
        <w:rPr>
          <w:rFonts w:hint="eastAsia" w:ascii="黑体" w:hAnsi="黑体" w:eastAsia="黑体" w:cs="黑体"/>
          <w:sz w:val="24"/>
          <w:szCs w:val="24"/>
        </w:rPr>
        <w:t>（一）项目概况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_Toc31829 </w:instrText>
      </w:r>
      <w:r>
        <w:rPr>
          <w:rFonts w:hint="eastAsia" w:ascii="黑体" w:hAnsi="黑体" w:eastAsia="黑体" w:cs="黑体"/>
          <w:sz w:val="24"/>
          <w:szCs w:val="24"/>
        </w:rPr>
        <w:fldChar w:fldCharType="separate"/>
      </w:r>
      <w:r>
        <w:rPr>
          <w:rFonts w:hint="eastAsia" w:ascii="黑体" w:hAnsi="黑体" w:eastAsia="黑体" w:cs="黑体"/>
          <w:sz w:val="24"/>
          <w:szCs w:val="24"/>
        </w:rPr>
        <w:t>4</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60E189AC">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"_Toc23679" </w:instrText>
      </w:r>
      <w:r>
        <w:fldChar w:fldCharType="separate"/>
      </w:r>
      <w:r>
        <w:rPr>
          <w:rFonts w:hint="eastAsia" w:ascii="黑体" w:hAnsi="黑体" w:eastAsia="黑体" w:cs="黑体"/>
          <w:sz w:val="24"/>
          <w:szCs w:val="24"/>
        </w:rPr>
        <w:t>（二）项目绩效目标</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_Toc23679 </w:instrText>
      </w:r>
      <w:r>
        <w:rPr>
          <w:rFonts w:hint="eastAsia" w:ascii="黑体" w:hAnsi="黑体" w:eastAsia="黑体" w:cs="黑体"/>
          <w:sz w:val="24"/>
          <w:szCs w:val="24"/>
        </w:rPr>
        <w:fldChar w:fldCharType="separate"/>
      </w:r>
      <w:r>
        <w:rPr>
          <w:rFonts w:hint="eastAsia" w:ascii="黑体" w:hAnsi="黑体" w:eastAsia="黑体" w:cs="黑体"/>
          <w:sz w:val="24"/>
          <w:szCs w:val="24"/>
        </w:rPr>
        <w:t>5</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56A9E6A6">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"_Toc12095" </w:instrText>
      </w:r>
      <w:r>
        <w:fldChar w:fldCharType="separate"/>
      </w:r>
      <w:r>
        <w:rPr>
          <w:rFonts w:hint="eastAsia" w:ascii="黑体" w:hAnsi="黑体" w:cs="黑体"/>
          <w:kern w:val="44"/>
          <w:sz w:val="24"/>
          <w:szCs w:val="24"/>
        </w:rPr>
        <w:t>二、绩效评价工作情况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_Toc12095 </w:instrText>
      </w:r>
      <w:r>
        <w:rPr>
          <w:rFonts w:hint="eastAsia" w:ascii="黑体" w:hAnsi="黑体" w:cs="黑体"/>
          <w:sz w:val="24"/>
          <w:szCs w:val="24"/>
        </w:rPr>
        <w:fldChar w:fldCharType="separate"/>
      </w:r>
      <w:r>
        <w:rPr>
          <w:rFonts w:hint="eastAsia" w:ascii="黑体" w:hAnsi="黑体" w:cs="黑体"/>
          <w:sz w:val="24"/>
          <w:szCs w:val="24"/>
        </w:rPr>
        <w:t>6</w:t>
      </w:r>
      <w:r>
        <w:rPr>
          <w:rFonts w:hint="eastAsia" w:ascii="黑体" w:hAnsi="黑体" w:cs="黑体"/>
          <w:sz w:val="24"/>
          <w:szCs w:val="24"/>
        </w:rPr>
        <w:fldChar w:fldCharType="end"/>
      </w:r>
      <w:r>
        <w:rPr>
          <w:rFonts w:hint="eastAsia" w:ascii="黑体" w:hAnsi="黑体" w:cs="黑体"/>
          <w:sz w:val="24"/>
          <w:szCs w:val="24"/>
        </w:rPr>
        <w:fldChar w:fldCharType="end"/>
      </w:r>
    </w:p>
    <w:p w14:paraId="642C7D3E">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"_Toc12677" </w:instrText>
      </w:r>
      <w:r>
        <w:fldChar w:fldCharType="separate"/>
      </w:r>
      <w:r>
        <w:rPr>
          <w:rFonts w:hint="eastAsia" w:ascii="黑体" w:hAnsi="黑体" w:eastAsia="黑体" w:cs="黑体"/>
          <w:sz w:val="24"/>
          <w:szCs w:val="24"/>
        </w:rPr>
        <w:t>(一)评价的目的和依据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_Toc12677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5CAFB5AB">
      <w:pPr>
        <w:pStyle w:val="9"/>
        <w:tabs>
          <w:tab w:val="right" w:leader="dot" w:pos="8306"/>
        </w:tabs>
        <w:spacing w:line="440" w:lineRule="exact"/>
        <w:rPr>
          <w:rFonts w:ascii="黑体" w:hAnsi="黑体" w:eastAsia="黑体" w:cs="黑体"/>
          <w:sz w:val="24"/>
          <w:szCs w:val="24"/>
        </w:rPr>
      </w:pPr>
      <w:r>
        <w:fldChar w:fldCharType="begin"/>
      </w:r>
      <w:r>
        <w:instrText xml:space="preserve"> HYPERLINK \l "_Toc8908" </w:instrText>
      </w:r>
      <w:r>
        <w:fldChar w:fldCharType="separate"/>
      </w:r>
      <w:r>
        <w:rPr>
          <w:rFonts w:hint="eastAsia" w:ascii="黑体" w:hAnsi="黑体" w:eastAsia="黑体" w:cs="黑体"/>
          <w:sz w:val="24"/>
          <w:szCs w:val="24"/>
        </w:rPr>
        <w:t>（二）绩效评价工作方案制定过程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_Toc8908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443D17C1">
      <w:pPr>
        <w:pStyle w:val="9"/>
        <w:tabs>
          <w:tab w:val="right" w:leader="dot" w:pos="8306"/>
        </w:tabs>
        <w:spacing w:line="440" w:lineRule="exact"/>
        <w:rPr>
          <w:rFonts w:ascii="黑体" w:hAnsi="黑体" w:eastAsia="黑体" w:cs="黑体"/>
          <w:sz w:val="24"/>
          <w:szCs w:val="24"/>
        </w:rPr>
      </w:pPr>
      <w:r>
        <w:fldChar w:fldCharType="begin"/>
      </w:r>
      <w:r>
        <w:instrText xml:space="preserve"> HYPERLINK \l "_Toc30814" </w:instrText>
      </w:r>
      <w:r>
        <w:fldChar w:fldCharType="separate"/>
      </w:r>
      <w:r>
        <w:rPr>
          <w:rFonts w:hint="eastAsia" w:ascii="黑体" w:hAnsi="黑体" w:eastAsia="黑体" w:cs="黑体"/>
          <w:sz w:val="24"/>
          <w:szCs w:val="24"/>
        </w:rPr>
        <w:t>（三）绩效评价原则及评价方法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_Toc30814 </w:instrText>
      </w:r>
      <w:r>
        <w:rPr>
          <w:rFonts w:hint="eastAsia" w:ascii="黑体" w:hAnsi="黑体" w:eastAsia="黑体" w:cs="黑体"/>
          <w:sz w:val="24"/>
          <w:szCs w:val="24"/>
        </w:rPr>
        <w:fldChar w:fldCharType="separate"/>
      </w:r>
      <w:r>
        <w:rPr>
          <w:rFonts w:hint="eastAsia" w:ascii="黑体" w:hAnsi="黑体" w:eastAsia="黑体" w:cs="黑体"/>
          <w:sz w:val="24"/>
          <w:szCs w:val="24"/>
        </w:rPr>
        <w:t>7</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05B67A6E">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"_Toc1639" </w:instrText>
      </w:r>
      <w:r>
        <w:fldChar w:fldCharType="separate"/>
      </w:r>
      <w:r>
        <w:rPr>
          <w:rFonts w:hint="eastAsia" w:ascii="黑体" w:hAnsi="黑体" w:eastAsia="黑体" w:cs="黑体"/>
          <w:sz w:val="24"/>
          <w:szCs w:val="24"/>
        </w:rPr>
        <w:t>(四) 绩效评价实施过程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_Toc1639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078F54B2">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"_Toc20289" </w:instrText>
      </w:r>
      <w:r>
        <w:fldChar w:fldCharType="separate"/>
      </w:r>
      <w:r>
        <w:rPr>
          <w:rFonts w:hint="eastAsia" w:ascii="黑体" w:hAnsi="黑体" w:eastAsia="黑体" w:cs="黑体"/>
          <w:sz w:val="24"/>
          <w:szCs w:val="24"/>
        </w:rPr>
        <w:t>（五）绩效评价的局限性</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_Toc20289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42CF9908">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"_Toc32321" </w:instrText>
      </w:r>
      <w:r>
        <w:fldChar w:fldCharType="separate"/>
      </w:r>
      <w:r>
        <w:rPr>
          <w:rFonts w:hint="eastAsia" w:ascii="黑体" w:hAnsi="黑体" w:cs="黑体"/>
          <w:kern w:val="44"/>
          <w:sz w:val="24"/>
          <w:szCs w:val="24"/>
        </w:rPr>
        <w:t>三、评价结论和绩效分析</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_Toc32321 </w:instrText>
      </w:r>
      <w:r>
        <w:rPr>
          <w:rFonts w:hint="eastAsia" w:ascii="黑体" w:hAnsi="黑体" w:cs="黑体"/>
          <w:sz w:val="24"/>
          <w:szCs w:val="24"/>
        </w:rPr>
        <w:fldChar w:fldCharType="separate"/>
      </w:r>
      <w:r>
        <w:rPr>
          <w:rFonts w:hint="eastAsia" w:ascii="黑体" w:hAnsi="黑体" w:cs="黑体"/>
          <w:sz w:val="24"/>
          <w:szCs w:val="24"/>
        </w:rPr>
        <w:t>9</w:t>
      </w:r>
      <w:r>
        <w:rPr>
          <w:rFonts w:hint="eastAsia" w:ascii="黑体" w:hAnsi="黑体" w:cs="黑体"/>
          <w:sz w:val="24"/>
          <w:szCs w:val="24"/>
        </w:rPr>
        <w:fldChar w:fldCharType="end"/>
      </w:r>
      <w:r>
        <w:rPr>
          <w:rFonts w:hint="eastAsia" w:ascii="黑体" w:hAnsi="黑体" w:cs="黑体"/>
          <w:sz w:val="24"/>
          <w:szCs w:val="24"/>
        </w:rPr>
        <w:fldChar w:fldCharType="end"/>
      </w:r>
    </w:p>
    <w:p w14:paraId="299DD821">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"_Toc27975" </w:instrText>
      </w:r>
      <w:r>
        <w:fldChar w:fldCharType="separate"/>
      </w:r>
      <w:r>
        <w:rPr>
          <w:rFonts w:hint="eastAsia" w:ascii="黑体" w:hAnsi="黑体" w:eastAsia="黑体" w:cs="黑体"/>
          <w:sz w:val="24"/>
          <w:szCs w:val="24"/>
        </w:rPr>
        <w:t>(一)评价结论</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_Toc27975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1CA71B04">
      <w:pPr>
        <w:pStyle w:val="9"/>
        <w:tabs>
          <w:tab w:val="right" w:leader="dot" w:pos="8306"/>
        </w:tabs>
        <w:spacing w:line="440" w:lineRule="exact"/>
        <w:rPr>
          <w:rFonts w:ascii="黑体" w:hAnsi="黑体" w:eastAsia="黑体" w:cs="黑体"/>
          <w:sz w:val="24"/>
          <w:szCs w:val="24"/>
        </w:rPr>
      </w:pPr>
      <w:r>
        <w:fldChar w:fldCharType="begin"/>
      </w:r>
      <w:r>
        <w:instrText xml:space="preserve"> HYPERLINK \l "_Toc8725" </w:instrText>
      </w:r>
      <w:r>
        <w:fldChar w:fldCharType="separate"/>
      </w:r>
      <w:r>
        <w:rPr>
          <w:rFonts w:hint="eastAsia" w:ascii="黑体" w:hAnsi="黑体" w:eastAsia="黑体" w:cs="黑体"/>
          <w:sz w:val="24"/>
          <w:szCs w:val="24"/>
        </w:rPr>
        <w:t>（二）具体绩效分析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_Toc8725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51E66478">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"_Toc23606" </w:instrText>
      </w:r>
      <w:r>
        <w:fldChar w:fldCharType="separate"/>
      </w:r>
      <w:r>
        <w:rPr>
          <w:rFonts w:hint="eastAsia" w:ascii="黑体" w:hAnsi="黑体" w:cs="黑体"/>
          <w:kern w:val="44"/>
          <w:sz w:val="24"/>
          <w:szCs w:val="24"/>
        </w:rPr>
        <w:t>四、成本效益分析</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_Toc23606 </w:instrText>
      </w:r>
      <w:r>
        <w:rPr>
          <w:rFonts w:hint="eastAsia" w:ascii="黑体" w:hAnsi="黑体" w:cs="黑体"/>
          <w:sz w:val="24"/>
          <w:szCs w:val="24"/>
        </w:rPr>
        <w:fldChar w:fldCharType="separate"/>
      </w:r>
      <w:r>
        <w:rPr>
          <w:rFonts w:hint="eastAsia" w:ascii="黑体" w:hAnsi="黑体" w:cs="黑体"/>
          <w:sz w:val="24"/>
          <w:szCs w:val="24"/>
        </w:rPr>
        <w:t>9</w:t>
      </w:r>
      <w:r>
        <w:rPr>
          <w:rFonts w:hint="eastAsia" w:ascii="黑体" w:hAnsi="黑体" w:cs="黑体"/>
          <w:sz w:val="24"/>
          <w:szCs w:val="24"/>
        </w:rPr>
        <w:fldChar w:fldCharType="end"/>
      </w:r>
      <w:r>
        <w:rPr>
          <w:rFonts w:hint="eastAsia" w:ascii="黑体" w:hAnsi="黑体" w:cs="黑体"/>
          <w:sz w:val="24"/>
          <w:szCs w:val="24"/>
        </w:rPr>
        <w:fldChar w:fldCharType="end"/>
      </w:r>
    </w:p>
    <w:p w14:paraId="23E46283">
      <w:pPr>
        <w:pStyle w:val="9"/>
        <w:tabs>
          <w:tab w:val="right" w:leader="dot" w:pos="8306"/>
        </w:tabs>
        <w:spacing w:line="440" w:lineRule="exact"/>
        <w:rPr>
          <w:rFonts w:ascii="黑体" w:hAnsi="黑体" w:eastAsia="黑体" w:cs="黑体"/>
          <w:sz w:val="28"/>
          <w:szCs w:val="28"/>
        </w:rPr>
      </w:pPr>
      <w:r>
        <w:fldChar w:fldCharType="begin"/>
      </w:r>
      <w:r>
        <w:instrText xml:space="preserve"> HYPERLINK \l "_Toc18853" </w:instrText>
      </w:r>
      <w:r>
        <w:fldChar w:fldCharType="separate"/>
      </w:r>
      <w:r>
        <w:rPr>
          <w:rFonts w:hint="eastAsia" w:ascii="黑体" w:hAnsi="黑体" w:eastAsia="黑体" w:cs="黑体"/>
          <w:sz w:val="24"/>
          <w:szCs w:val="24"/>
        </w:rPr>
        <w:t>（一）项目经济性分析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_Toc18853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6E470DA1">
      <w:pPr>
        <w:sectPr>
          <w:footerReference r:id="rId5" w:type="default"/>
          <w:pgSz w:w="11906" w:h="16838"/>
          <w:pgMar w:top="1440" w:right="1800" w:bottom="1440" w:left="1800" w:header="851" w:footer="992" w:gutter="0"/>
          <w:cols w:space="425" w:num="1"/>
          <w:docGrid w:type="lines" w:linePitch="312" w:charSpace="0"/>
        </w:sectPr>
      </w:pPr>
    </w:p>
    <w:p w14:paraId="63023FD8">
      <w:pPr>
        <w:pStyle w:val="9"/>
        <w:tabs>
          <w:tab w:val="right" w:leader="dot" w:pos="8306"/>
        </w:tabs>
        <w:spacing w:line="440" w:lineRule="exact"/>
        <w:rPr>
          <w:rFonts w:ascii="黑体" w:hAnsi="黑体" w:eastAsia="黑体" w:cs="黑体"/>
          <w:sz w:val="24"/>
          <w:szCs w:val="24"/>
        </w:rPr>
      </w:pPr>
      <w:r>
        <w:fldChar w:fldCharType="begin"/>
      </w:r>
      <w:r>
        <w:instrText xml:space="preserve"> HYPERLINK \l "_Toc32152" </w:instrText>
      </w:r>
      <w:r>
        <w:fldChar w:fldCharType="separate"/>
      </w:r>
      <w:r>
        <w:rPr>
          <w:rFonts w:hint="eastAsia" w:ascii="黑体" w:hAnsi="黑体" w:eastAsia="黑体" w:cs="黑体"/>
          <w:sz w:val="24"/>
          <w:szCs w:val="24"/>
        </w:rPr>
        <w:t>（二）项目的效益性分析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_Toc32152 </w:instrText>
      </w:r>
      <w:r>
        <w:rPr>
          <w:rFonts w:hint="eastAsia" w:ascii="黑体" w:hAnsi="黑体" w:eastAsia="黑体" w:cs="黑体"/>
          <w:sz w:val="24"/>
          <w:szCs w:val="24"/>
        </w:rPr>
        <w:fldChar w:fldCharType="separate"/>
      </w:r>
      <w:r>
        <w:rPr>
          <w:rFonts w:hint="eastAsia" w:ascii="黑体" w:hAnsi="黑体" w:eastAsia="黑体" w:cs="黑体"/>
          <w:sz w:val="24"/>
          <w:szCs w:val="24"/>
        </w:rPr>
        <w:t>10</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79A5C085">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"_Toc15855" </w:instrText>
      </w:r>
      <w:r>
        <w:fldChar w:fldCharType="separate"/>
      </w:r>
      <w:r>
        <w:rPr>
          <w:rFonts w:hint="eastAsia" w:ascii="黑体" w:hAnsi="黑体" w:cs="黑体"/>
          <w:kern w:val="44"/>
          <w:sz w:val="24"/>
          <w:szCs w:val="24"/>
        </w:rPr>
        <w:t>五、项目主要经验及做法、存在的问题和建议</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_Toc15855 </w:instrText>
      </w:r>
      <w:r>
        <w:rPr>
          <w:rFonts w:hint="eastAsia" w:ascii="黑体" w:hAnsi="黑体" w:cs="黑体"/>
          <w:sz w:val="24"/>
          <w:szCs w:val="24"/>
        </w:rPr>
        <w:fldChar w:fldCharType="separate"/>
      </w:r>
      <w:r>
        <w:rPr>
          <w:rFonts w:hint="eastAsia" w:ascii="黑体" w:hAnsi="黑体" w:cs="黑体"/>
          <w:sz w:val="24"/>
          <w:szCs w:val="24"/>
        </w:rPr>
        <w:t>11</w:t>
      </w:r>
      <w:r>
        <w:rPr>
          <w:rFonts w:hint="eastAsia" w:ascii="黑体" w:hAnsi="黑体" w:cs="黑体"/>
          <w:sz w:val="24"/>
          <w:szCs w:val="24"/>
        </w:rPr>
        <w:fldChar w:fldCharType="end"/>
      </w:r>
      <w:r>
        <w:rPr>
          <w:rFonts w:hint="eastAsia" w:ascii="黑体" w:hAnsi="黑体" w:cs="黑体"/>
          <w:sz w:val="24"/>
          <w:szCs w:val="24"/>
        </w:rPr>
        <w:fldChar w:fldCharType="end"/>
      </w:r>
    </w:p>
    <w:p w14:paraId="0A51636B">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"_Toc13701" </w:instrText>
      </w:r>
      <w:r>
        <w:fldChar w:fldCharType="separate"/>
      </w:r>
      <w:r>
        <w:rPr>
          <w:rFonts w:hint="eastAsia" w:ascii="黑体" w:hAnsi="黑体" w:eastAsia="黑体" w:cs="黑体"/>
          <w:sz w:val="24"/>
          <w:szCs w:val="24"/>
        </w:rPr>
        <w:t>（一）主要经验及做法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_Toc13701 </w:instrText>
      </w:r>
      <w:r>
        <w:rPr>
          <w:rFonts w:hint="eastAsia" w:ascii="黑体" w:hAnsi="黑体" w:eastAsia="黑体" w:cs="黑体"/>
          <w:sz w:val="24"/>
          <w:szCs w:val="24"/>
        </w:rPr>
        <w:fldChar w:fldCharType="separate"/>
      </w:r>
      <w:r>
        <w:rPr>
          <w:rFonts w:hint="eastAsia" w:ascii="黑体" w:hAnsi="黑体" w:eastAsia="黑体" w:cs="黑体"/>
          <w:sz w:val="24"/>
          <w:szCs w:val="24"/>
        </w:rPr>
        <w:t>11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47DCD97F">
      <w:pPr>
        <w:pStyle w:val="9"/>
        <w:tabs>
          <w:tab w:val="right" w:leader="dot" w:pos="8306"/>
        </w:tabs>
        <w:spacing w:line="440" w:lineRule="exact"/>
        <w:rPr>
          <w:rFonts w:ascii="黑体" w:hAnsi="黑体" w:eastAsia="黑体" w:cs="黑体"/>
          <w:sz w:val="24"/>
          <w:szCs w:val="24"/>
        </w:rPr>
      </w:pPr>
      <w:r>
        <w:fldChar w:fldCharType="begin"/>
      </w:r>
      <w:r>
        <w:instrText xml:space="preserve"> HYPERLINK \l "_Toc32098" </w:instrText>
      </w:r>
      <w:r>
        <w:fldChar w:fldCharType="separate"/>
      </w:r>
      <w:r>
        <w:rPr>
          <w:rFonts w:hint="eastAsia" w:ascii="黑体" w:hAnsi="黑体" w:eastAsia="黑体" w:cs="黑体"/>
          <w:sz w:val="24"/>
          <w:szCs w:val="24"/>
        </w:rPr>
        <w:t>（二）存在的问题</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_Toc32098 </w:instrText>
      </w:r>
      <w:r>
        <w:rPr>
          <w:rFonts w:hint="eastAsia" w:ascii="黑体" w:hAnsi="黑体" w:eastAsia="黑体" w:cs="黑体"/>
          <w:sz w:val="24"/>
          <w:szCs w:val="24"/>
        </w:rPr>
        <w:fldChar w:fldCharType="separate"/>
      </w:r>
      <w:r>
        <w:rPr>
          <w:rFonts w:hint="eastAsia" w:ascii="黑体" w:hAnsi="黑体" w:eastAsia="黑体" w:cs="黑体"/>
          <w:sz w:val="24"/>
          <w:szCs w:val="24"/>
        </w:rPr>
        <w:t>12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0BBFF486">
      <w:pPr>
        <w:pStyle w:val="9"/>
        <w:tabs>
          <w:tab w:val="right" w:leader="dot" w:pos="8306"/>
        </w:tabs>
        <w:spacing w:line="440" w:lineRule="exact"/>
        <w:rPr>
          <w:rFonts w:ascii="黑体" w:hAnsi="黑体" w:eastAsia="黑体" w:cs="黑体"/>
          <w:sz w:val="28"/>
          <w:szCs w:val="28"/>
        </w:rPr>
      </w:pPr>
      <w:r>
        <w:fldChar w:fldCharType="begin"/>
      </w:r>
      <w:r>
        <w:instrText xml:space="preserve"> HYPERLINK \l "_Toc20639" </w:instrText>
      </w:r>
      <w:r>
        <w:fldChar w:fldCharType="separate"/>
      </w:r>
      <w:r>
        <w:rPr>
          <w:rFonts w:hint="eastAsia" w:ascii="黑体" w:hAnsi="黑体" w:eastAsia="黑体" w:cs="黑体"/>
          <w:sz w:val="24"/>
          <w:szCs w:val="24"/>
        </w:rPr>
        <w:t>（三）建议和改进措施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_Toc20639 </w:instrText>
      </w:r>
      <w:r>
        <w:rPr>
          <w:rFonts w:hint="eastAsia" w:ascii="黑体" w:hAnsi="黑体" w:eastAsia="黑体" w:cs="黑体"/>
          <w:sz w:val="24"/>
          <w:szCs w:val="24"/>
        </w:rPr>
        <w:fldChar w:fldCharType="separate"/>
      </w:r>
      <w:r>
        <w:rPr>
          <w:rFonts w:hint="eastAsia" w:ascii="黑体" w:hAnsi="黑体" w:eastAsia="黑体" w:cs="黑体"/>
          <w:sz w:val="24"/>
          <w:szCs w:val="24"/>
        </w:rPr>
        <w:t>12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6DD49365">
      <w:pPr>
        <w:pStyle w:val="8"/>
        <w:spacing w:line="440" w:lineRule="exact"/>
        <w:rPr>
          <w:rFonts w:ascii="黑体" w:hAnsi="黑体" w:cs="黑体"/>
          <w:sz w:val="28"/>
          <w:szCs w:val="28"/>
        </w:rPr>
      </w:pPr>
      <w:r>
        <w:rPr>
          <w:rFonts w:hint="eastAsia" w:ascii="黑体" w:hAnsi="黑体" w:cs="黑体"/>
          <w:sz w:val="28"/>
          <w:szCs w:val="28"/>
        </w:rPr>
        <w:fldChar w:fldCharType="end"/>
      </w:r>
    </w:p>
    <w:p w14:paraId="685B48D1">
      <w:pPr>
        <w:rPr>
          <w:rFonts w:ascii="黑体" w:hAnsi="黑体" w:cs="黑体"/>
          <w:sz w:val="28"/>
          <w:szCs w:val="28"/>
        </w:rPr>
      </w:pPr>
    </w:p>
    <w:p w14:paraId="0FB7819E">
      <w:pPr>
        <w:rPr>
          <w:rFonts w:ascii="黑体" w:hAnsi="黑体" w:cs="黑体"/>
          <w:sz w:val="28"/>
          <w:szCs w:val="28"/>
        </w:rPr>
      </w:pPr>
    </w:p>
    <w:p w14:paraId="3AEE404E">
      <w:pPr>
        <w:rPr>
          <w:rFonts w:ascii="黑体" w:hAnsi="黑体" w:cs="黑体"/>
          <w:sz w:val="28"/>
          <w:szCs w:val="28"/>
        </w:rPr>
      </w:pPr>
    </w:p>
    <w:p w14:paraId="1DD3F023">
      <w:pPr>
        <w:rPr>
          <w:rFonts w:ascii="黑体" w:hAnsi="黑体" w:cs="黑体"/>
          <w:sz w:val="28"/>
          <w:szCs w:val="28"/>
        </w:rPr>
      </w:pPr>
    </w:p>
    <w:p w14:paraId="0B992BAB">
      <w:pPr>
        <w:rPr>
          <w:rFonts w:ascii="黑体" w:hAnsi="黑体" w:cs="黑体"/>
          <w:sz w:val="28"/>
          <w:szCs w:val="28"/>
        </w:rPr>
      </w:pPr>
    </w:p>
    <w:p w14:paraId="27C93FAE">
      <w:pPr>
        <w:rPr>
          <w:rFonts w:ascii="黑体" w:hAnsi="黑体" w:cs="黑体"/>
          <w:sz w:val="28"/>
          <w:szCs w:val="28"/>
        </w:rPr>
      </w:pPr>
    </w:p>
    <w:p w14:paraId="3D831CD4">
      <w:pPr>
        <w:rPr>
          <w:rFonts w:ascii="黑体" w:hAnsi="黑体" w:cs="黑体"/>
          <w:sz w:val="28"/>
          <w:szCs w:val="28"/>
        </w:rPr>
      </w:pPr>
    </w:p>
    <w:p w14:paraId="13D814CB">
      <w:pPr>
        <w:rPr>
          <w:rFonts w:ascii="黑体" w:hAnsi="黑体" w:cs="黑体"/>
          <w:sz w:val="28"/>
          <w:szCs w:val="28"/>
        </w:rPr>
      </w:pPr>
    </w:p>
    <w:p w14:paraId="385C8644">
      <w:pPr>
        <w:rPr>
          <w:rFonts w:ascii="黑体" w:hAnsi="黑体" w:cs="黑体"/>
          <w:sz w:val="28"/>
          <w:szCs w:val="28"/>
        </w:rPr>
      </w:pPr>
    </w:p>
    <w:p w14:paraId="0524CFB3">
      <w:pPr>
        <w:rPr>
          <w:rFonts w:ascii="黑体" w:hAnsi="黑体" w:cs="黑体"/>
          <w:sz w:val="28"/>
          <w:szCs w:val="28"/>
        </w:rPr>
      </w:pPr>
    </w:p>
    <w:p w14:paraId="1F273899">
      <w:pPr>
        <w:rPr>
          <w:rFonts w:ascii="黑体" w:hAnsi="黑体" w:cs="黑体"/>
          <w:sz w:val="28"/>
          <w:szCs w:val="28"/>
        </w:rPr>
      </w:pPr>
    </w:p>
    <w:p w14:paraId="51C11B01">
      <w:pPr>
        <w:rPr>
          <w:rFonts w:ascii="黑体" w:hAnsi="黑体" w:cs="黑体"/>
          <w:sz w:val="28"/>
          <w:szCs w:val="28"/>
        </w:rPr>
      </w:pPr>
    </w:p>
    <w:p w14:paraId="5B679B1A">
      <w:pPr>
        <w:rPr>
          <w:rFonts w:ascii="黑体" w:hAnsi="黑体" w:cs="黑体"/>
          <w:sz w:val="28"/>
          <w:szCs w:val="28"/>
        </w:rPr>
      </w:pPr>
    </w:p>
    <w:p w14:paraId="388B26FD">
      <w:pPr>
        <w:rPr>
          <w:rFonts w:ascii="黑体" w:hAnsi="黑体" w:cs="黑体"/>
          <w:sz w:val="28"/>
          <w:szCs w:val="28"/>
        </w:rPr>
      </w:pPr>
    </w:p>
    <w:p w14:paraId="213F960E">
      <w:pPr>
        <w:rPr>
          <w:rFonts w:ascii="黑体" w:hAnsi="黑体" w:cs="黑体"/>
          <w:sz w:val="28"/>
          <w:szCs w:val="28"/>
        </w:rPr>
      </w:pPr>
    </w:p>
    <w:p w14:paraId="0540094A">
      <w:pPr>
        <w:rPr>
          <w:rFonts w:ascii="黑体" w:hAnsi="黑体" w:cs="黑体"/>
          <w:sz w:val="28"/>
          <w:szCs w:val="28"/>
        </w:rPr>
      </w:pPr>
    </w:p>
    <w:p w14:paraId="04030A38">
      <w:pPr>
        <w:rPr>
          <w:rFonts w:ascii="黑体" w:hAnsi="黑体" w:cs="黑体"/>
          <w:sz w:val="28"/>
          <w:szCs w:val="28"/>
        </w:rPr>
      </w:pPr>
    </w:p>
    <w:p w14:paraId="5C01E25F">
      <w:pPr>
        <w:rPr>
          <w:rFonts w:ascii="黑体" w:hAnsi="黑体" w:cs="黑体"/>
          <w:sz w:val="28"/>
          <w:szCs w:val="28"/>
        </w:rPr>
      </w:pPr>
    </w:p>
    <w:p w14:paraId="11693CE9">
      <w:pPr>
        <w:pStyle w:val="2"/>
      </w:pPr>
      <w:r>
        <w:br w:type="page"/>
      </w:r>
    </w:p>
    <w:p w14:paraId="7B52D1DA">
      <w:pPr>
        <w:rPr>
          <w:rFonts w:ascii="黑体" w:hAnsi="黑体" w:cs="黑体"/>
          <w:sz w:val="28"/>
          <w:szCs w:val="28"/>
        </w:rPr>
        <w:sectPr>
          <w:footerReference r:id="rId6" w:type="default"/>
          <w:pgSz w:w="11906" w:h="16838"/>
          <w:pgMar w:top="1440" w:right="1800" w:bottom="1440" w:left="1800" w:header="851" w:footer="992" w:gutter="0"/>
          <w:cols w:space="425" w:num="1"/>
          <w:docGrid w:type="lines" w:linePitch="312" w:charSpace="0"/>
        </w:sectPr>
      </w:pPr>
    </w:p>
    <w:p w14:paraId="7B7DA24C">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昆明市盘龙区机关事务管理服务中心</w:t>
      </w:r>
    </w:p>
    <w:p w14:paraId="07E56446">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业务补助经费项目支出绩效自评报告</w:t>
      </w:r>
    </w:p>
    <w:p w14:paraId="5C7C8DEB">
      <w:pPr>
        <w:widowControl/>
        <w:shd w:val="clear" w:color="auto" w:fill="FFFFFF"/>
        <w:spacing w:line="560" w:lineRule="exact"/>
        <w:rPr>
          <w:rFonts w:ascii="Times New Roman" w:hAnsi="Times New Roman" w:eastAsia="仿宋" w:cs="Times New Roman"/>
          <w:b/>
          <w:bCs/>
          <w:color w:val="333333"/>
          <w:kern w:val="0"/>
          <w:sz w:val="36"/>
          <w:szCs w:val="36"/>
        </w:rPr>
      </w:pPr>
    </w:p>
    <w:p w14:paraId="15C03D0D">
      <w:pPr>
        <w:spacing w:line="560" w:lineRule="exact"/>
        <w:ind w:firstLine="560" w:firstLineChars="200"/>
        <w:jc w:val="center"/>
        <w:rPr>
          <w:rFonts w:ascii="Times New Roman" w:hAnsi="Times New Roman" w:eastAsia="方正小标宋_GBK" w:cs="Times New Roman"/>
          <w:sz w:val="28"/>
          <w:szCs w:val="32"/>
        </w:rPr>
      </w:pPr>
      <w:r>
        <w:rPr>
          <w:rFonts w:ascii="Times New Roman" w:hAnsi="Times New Roman" w:eastAsia="方正小标宋_GBK" w:cs="Times New Roman"/>
          <w:sz w:val="28"/>
          <w:szCs w:val="32"/>
        </w:rPr>
        <w:t>摘要</w:t>
      </w:r>
      <w:bookmarkStart w:id="0" w:name="_Toc15525"/>
    </w:p>
    <w:p w14:paraId="28D54EF1">
      <w:pPr>
        <w:spacing w:line="560" w:lineRule="exact"/>
        <w:ind w:firstLine="640" w:firstLineChars="200"/>
        <w:rPr>
          <w:rFonts w:ascii="Times New Roman" w:hAnsi="黑体" w:eastAsia="黑体" w:cs="Times New Roman"/>
          <w:kern w:val="44"/>
          <w:sz w:val="32"/>
          <w:szCs w:val="32"/>
        </w:rPr>
      </w:pPr>
      <w:r>
        <w:rPr>
          <w:rFonts w:hint="eastAsia" w:ascii="Times New Roman" w:hAnsi="黑体" w:eastAsia="黑体" w:cs="Times New Roman"/>
          <w:kern w:val="44"/>
          <w:sz w:val="32"/>
          <w:szCs w:val="32"/>
        </w:rPr>
        <w:t>一、</w:t>
      </w:r>
      <w:r>
        <w:rPr>
          <w:rFonts w:ascii="Times New Roman" w:hAnsi="黑体" w:eastAsia="黑体" w:cs="Times New Roman"/>
          <w:kern w:val="44"/>
          <w:sz w:val="32"/>
          <w:szCs w:val="32"/>
        </w:rPr>
        <w:t>项目概况</w:t>
      </w:r>
      <w:bookmarkEnd w:id="0"/>
      <w:bookmarkStart w:id="1" w:name="_Toc26348"/>
    </w:p>
    <w:p w14:paraId="533F8D6B">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（一）项目立项背景及目的</w:t>
      </w:r>
      <w:bookmarkEnd w:id="1"/>
    </w:p>
    <w:p w14:paraId="7759F44E">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为贯彻党的十九大精神以及习近平总书记系列重要讲话精神，围绕区委、区政府中心工作，切实履行各项职责，高效服务，保障区委、区政府的各项工作高效有序运转。根据</w:t>
      </w:r>
      <w:r>
        <w:rPr>
          <w:rFonts w:hint="eastAsia" w:ascii="Times New Roman" w:hAnsi="Times New Roman" w:eastAsia="仿宋_GB2312" w:cs="Times New Roman"/>
          <w:color w:val="333333"/>
          <w:kern w:val="0"/>
          <w:sz w:val="32"/>
          <w:szCs w:val="32"/>
        </w:rPr>
        <w:t>《中共昆明市盘龙区委机构编制委员会关于撤销盘龙区政府采购中心并调整盘龙区机关事务管理服务中心机构编制相关事项的批复》</w:t>
      </w:r>
      <w:r>
        <w:rPr>
          <w:rFonts w:ascii="Times New Roman" w:hAnsi="Times New Roman" w:eastAsia="仿宋_GB2312" w:cs="Times New Roman"/>
          <w:color w:val="333333"/>
          <w:kern w:val="0"/>
          <w:sz w:val="32"/>
          <w:szCs w:val="32"/>
        </w:rPr>
        <w:t>（盘</w:t>
      </w:r>
      <w:r>
        <w:rPr>
          <w:rFonts w:hint="eastAsia" w:ascii="Times New Roman" w:hAnsi="Times New Roman" w:eastAsia="仿宋_GB2312" w:cs="Times New Roman"/>
          <w:color w:val="333333"/>
          <w:kern w:val="0"/>
          <w:sz w:val="32"/>
          <w:szCs w:val="32"/>
        </w:rPr>
        <w:t>机编复</w:t>
      </w:r>
      <w:r>
        <w:rPr>
          <w:rFonts w:ascii="Times New Roman" w:cs="Times New Roman" w:hAnsiTheme="minorEastAsia"/>
          <w:color w:val="333333"/>
          <w:kern w:val="0"/>
          <w:sz w:val="32"/>
          <w:szCs w:val="32"/>
        </w:rPr>
        <w:t>﹝</w:t>
      </w:r>
      <w:r>
        <w:rPr>
          <w:rFonts w:hint="eastAsia" w:ascii="Times New Roman" w:hAnsi="Times New Roman" w:eastAsia="仿宋_GB2312" w:cs="Times New Roman"/>
          <w:color w:val="333333"/>
          <w:kern w:val="0"/>
          <w:sz w:val="32"/>
          <w:szCs w:val="32"/>
        </w:rPr>
        <w:t>2020</w:t>
      </w:r>
      <w:r>
        <w:rPr>
          <w:rFonts w:ascii="Times New Roman" w:hAnsi="宋体" w:eastAsia="宋体" w:cs="Times New Roman"/>
          <w:color w:val="333333"/>
          <w:kern w:val="0"/>
          <w:sz w:val="32"/>
          <w:szCs w:val="32"/>
        </w:rPr>
        <w:t>﹞</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号）文件精神，区机关事务管理服务中心主要承担区级机关餐饮保障服务。</w:t>
      </w:r>
      <w:bookmarkStart w:id="2" w:name="_Toc18198"/>
    </w:p>
    <w:p w14:paraId="6FD2E181">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（二）预算收支情况</w:t>
      </w:r>
      <w:bookmarkEnd w:id="2"/>
    </w:p>
    <w:p w14:paraId="1968ADEB">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为确保区级机关餐饮保障工作到位，需申请业务经费</w:t>
      </w:r>
      <w:r>
        <w:rPr>
          <w:rFonts w:hint="eastAsia" w:ascii="Times New Roman" w:hAnsi="Times New Roman" w:eastAsia="仿宋_GB2312" w:cs="Times New Roman"/>
          <w:color w:val="333333"/>
          <w:kern w:val="0"/>
          <w:sz w:val="32"/>
          <w:szCs w:val="32"/>
        </w:rPr>
        <w:t>4962700</w:t>
      </w:r>
      <w:r>
        <w:rPr>
          <w:rFonts w:ascii="Times New Roman" w:hAnsi="Times New Roman" w:eastAsia="仿宋_GB2312" w:cs="Times New Roman"/>
          <w:color w:val="333333"/>
          <w:kern w:val="0"/>
          <w:sz w:val="32"/>
          <w:szCs w:val="32"/>
        </w:rPr>
        <w:t>元，202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年实际收到财政拨款</w:t>
      </w:r>
      <w:r>
        <w:rPr>
          <w:rFonts w:hint="eastAsia" w:ascii="Times New Roman" w:hAnsi="Times New Roman" w:eastAsia="仿宋_GB2312" w:cs="Times New Roman"/>
          <w:color w:val="333333"/>
          <w:kern w:val="0"/>
          <w:sz w:val="32"/>
          <w:szCs w:val="32"/>
        </w:rPr>
        <w:t>4962700</w:t>
      </w:r>
      <w:r>
        <w:rPr>
          <w:rFonts w:ascii="Times New Roman" w:hAnsi="Times New Roman" w:eastAsia="仿宋_GB2312" w:cs="Times New Roman"/>
          <w:color w:val="333333"/>
          <w:kern w:val="0"/>
          <w:sz w:val="32"/>
          <w:szCs w:val="32"/>
        </w:rPr>
        <w:t>元，实际支出</w:t>
      </w:r>
      <w:r>
        <w:rPr>
          <w:rFonts w:hint="eastAsia" w:ascii="Times New Roman" w:hAnsi="Times New Roman" w:eastAsia="仿宋_GB2312" w:cs="Times New Roman"/>
          <w:color w:val="333333"/>
          <w:kern w:val="0"/>
          <w:sz w:val="32"/>
          <w:szCs w:val="32"/>
        </w:rPr>
        <w:t>4962700</w:t>
      </w:r>
      <w:r>
        <w:rPr>
          <w:rFonts w:ascii="Times New Roman" w:hAnsi="Times New Roman" w:eastAsia="仿宋_GB2312" w:cs="Times New Roman"/>
          <w:color w:val="333333"/>
          <w:kern w:val="0"/>
          <w:sz w:val="32"/>
          <w:szCs w:val="32"/>
        </w:rPr>
        <w:t>元。 </w:t>
      </w:r>
      <w:bookmarkStart w:id="3" w:name="_Toc9801"/>
    </w:p>
    <w:p w14:paraId="15251002">
      <w:pPr>
        <w:widowControl/>
        <w:shd w:val="clear" w:color="auto" w:fill="FFFFFF"/>
        <w:spacing w:line="560" w:lineRule="exact"/>
        <w:ind w:firstLine="640" w:firstLineChars="200"/>
        <w:jc w:val="left"/>
        <w:rPr>
          <w:rFonts w:ascii="Times New Roman" w:hAnsi="Times New Roman" w:eastAsia="黑体" w:cs="Times New Roman"/>
          <w:kern w:val="44"/>
          <w:sz w:val="32"/>
          <w:szCs w:val="32"/>
        </w:rPr>
      </w:pPr>
      <w:r>
        <w:rPr>
          <w:rFonts w:ascii="Times New Roman" w:hAnsi="黑体" w:eastAsia="黑体" w:cs="Times New Roman"/>
          <w:kern w:val="44"/>
          <w:sz w:val="32"/>
          <w:szCs w:val="32"/>
        </w:rPr>
        <w:t>二、评价结论</w:t>
      </w:r>
      <w:bookmarkEnd w:id="3"/>
    </w:p>
    <w:p w14:paraId="6FC1A3C1">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1.评分结果</w:t>
      </w:r>
    </w:p>
    <w:p w14:paraId="304E6055">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根据制定的绩效指标考评体系，本次绩效考核得分9</w:t>
      </w:r>
      <w:r>
        <w:rPr>
          <w:rFonts w:hint="eastAsia" w:ascii="Times New Roman" w:hAnsi="Times New Roman" w:eastAsia="仿宋_GB2312" w:cs="Times New Roman"/>
          <w:color w:val="333333"/>
          <w:kern w:val="0"/>
          <w:sz w:val="32"/>
          <w:szCs w:val="32"/>
        </w:rPr>
        <w:t>5</w:t>
      </w:r>
      <w:r>
        <w:rPr>
          <w:rFonts w:ascii="Times New Roman" w:hAnsi="Times New Roman" w:eastAsia="仿宋_GB2312" w:cs="Times New Roman"/>
          <w:color w:val="333333"/>
          <w:kern w:val="0"/>
          <w:sz w:val="32"/>
          <w:szCs w:val="32"/>
        </w:rPr>
        <w:t>分，绩效评价等级为优秀。</w:t>
      </w:r>
    </w:p>
    <w:p w14:paraId="18E622C2">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2.主要结论</w:t>
      </w:r>
    </w:p>
    <w:p w14:paraId="59241679">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本项目不属于投资建设类项目，主要内容为我单位管理的机关食堂食材费、</w:t>
      </w:r>
      <w:r>
        <w:rPr>
          <w:rFonts w:hint="eastAsia" w:ascii="Times New Roman" w:hAnsi="Times New Roman" w:eastAsia="仿宋_GB2312" w:cs="Times New Roman"/>
          <w:color w:val="333333"/>
          <w:kern w:val="0"/>
          <w:sz w:val="32"/>
          <w:szCs w:val="32"/>
        </w:rPr>
        <w:t>相关工作</w:t>
      </w:r>
      <w:r>
        <w:rPr>
          <w:rFonts w:ascii="Times New Roman" w:hAnsi="Times New Roman" w:eastAsia="仿宋_GB2312" w:cs="Times New Roman"/>
          <w:color w:val="333333"/>
          <w:kern w:val="0"/>
          <w:sz w:val="32"/>
          <w:szCs w:val="32"/>
        </w:rPr>
        <w:t>人员</w:t>
      </w:r>
      <w:r>
        <w:rPr>
          <w:rFonts w:hint="eastAsia" w:ascii="Times New Roman" w:hAnsi="Times New Roman" w:eastAsia="仿宋_GB2312" w:cs="Times New Roman"/>
          <w:color w:val="333333"/>
          <w:kern w:val="0"/>
          <w:sz w:val="32"/>
          <w:szCs w:val="32"/>
        </w:rPr>
        <w:t>工资</w:t>
      </w:r>
      <w:r>
        <w:rPr>
          <w:rFonts w:ascii="Times New Roman" w:hAnsi="Times New Roman" w:eastAsia="仿宋_GB2312" w:cs="Times New Roman"/>
          <w:color w:val="333333"/>
          <w:kern w:val="0"/>
          <w:sz w:val="32"/>
          <w:szCs w:val="32"/>
        </w:rPr>
        <w:t>、电费、煤气费、劳保用品费、材料维修费等支出。202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年度该项工作完成效益较好，保证了区委、区政府各项工作的顺利开展。</w:t>
      </w:r>
      <w:bookmarkStart w:id="4" w:name="_Toc29580"/>
    </w:p>
    <w:p w14:paraId="7B60B9F2">
      <w:pPr>
        <w:widowControl/>
        <w:numPr>
          <w:ilvl w:val="0"/>
          <w:numId w:val="1"/>
        </w:numPr>
        <w:shd w:val="clear" w:color="auto" w:fill="FFFFFF"/>
        <w:spacing w:line="560" w:lineRule="exact"/>
        <w:ind w:firstLine="640" w:firstLineChars="200"/>
        <w:jc w:val="left"/>
        <w:rPr>
          <w:rFonts w:ascii="Times New Roman" w:hAnsi="黑体" w:eastAsia="黑体" w:cs="Times New Roman"/>
          <w:kern w:val="44"/>
          <w:sz w:val="32"/>
          <w:szCs w:val="32"/>
        </w:rPr>
      </w:pPr>
      <w:r>
        <w:rPr>
          <w:rFonts w:ascii="Times New Roman" w:hAnsi="黑体" w:eastAsia="黑体" w:cs="Times New Roman"/>
          <w:kern w:val="44"/>
          <w:sz w:val="32"/>
          <w:szCs w:val="32"/>
        </w:rPr>
        <w:t>经验、问题和建议</w:t>
      </w:r>
      <w:bookmarkEnd w:id="4"/>
      <w:bookmarkStart w:id="5" w:name="_Toc19810"/>
    </w:p>
    <w:p w14:paraId="37B950B1">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（一）主要经验及做法</w:t>
      </w:r>
      <w:bookmarkEnd w:id="5"/>
    </w:p>
    <w:p w14:paraId="55B54F4A">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机关事务管理服务中心根据</w:t>
      </w:r>
      <w:r>
        <w:rPr>
          <w:rFonts w:ascii="Times New Roman" w:hAnsi="仿宋_GB2312" w:eastAsia="仿宋_GB2312" w:cs="Times New Roman"/>
          <w:sz w:val="32"/>
          <w:szCs w:val="32"/>
        </w:rPr>
        <w:t>《盘龙区区级部门预算绩效自评管理暂行办法》、《昆明市盘龙区财政局关于开展</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1</w:t>
      </w:r>
      <w:r>
        <w:rPr>
          <w:rFonts w:ascii="Times New Roman" w:hAnsi="仿宋_GB2312" w:eastAsia="仿宋_GB2312" w:cs="Times New Roman"/>
          <w:sz w:val="32"/>
          <w:szCs w:val="32"/>
        </w:rPr>
        <w:t>年度区级预算支出绩效自评工作的通知》文件</w:t>
      </w:r>
      <w:r>
        <w:rPr>
          <w:rFonts w:ascii="Times New Roman" w:hAnsi="Times New Roman" w:eastAsia="仿宋_GB2312" w:cs="Times New Roman"/>
          <w:color w:val="333333"/>
          <w:kern w:val="0"/>
          <w:sz w:val="32"/>
          <w:szCs w:val="32"/>
        </w:rPr>
        <w:t>精神，成立了自评小组，通过前期调研工作，充分了解评价项目有关情况；通过查看资金使用情况，核实202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年业务补助经费的各项支出的合法性、合规性；通过分析目标完成情况，查找存在的问题及总结好的经验方法，较好的完成了自评工作。</w:t>
      </w:r>
      <w:bookmarkStart w:id="6" w:name="_Toc13426"/>
    </w:p>
    <w:p w14:paraId="1A34CB50">
      <w:pPr>
        <w:widowControl/>
        <w:numPr>
          <w:ilvl w:val="0"/>
          <w:numId w:val="2"/>
        </w:numPr>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存在的问题</w:t>
      </w:r>
      <w:bookmarkEnd w:id="6"/>
    </w:p>
    <w:p w14:paraId="725FF1C0">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1.业务补助经费主要用于机关食堂运行维护费用支出，因地点分散及服务对象众多，我单位对工作人员和服务的监管相对薄弱，考核评价体系及相应制度</w:t>
      </w:r>
      <w:r>
        <w:rPr>
          <w:rFonts w:hint="eastAsia" w:ascii="Times New Roman" w:hAnsi="Times New Roman" w:eastAsia="仿宋_GB2312" w:cs="Times New Roman"/>
          <w:color w:val="333333"/>
          <w:kern w:val="0"/>
          <w:sz w:val="32"/>
          <w:szCs w:val="32"/>
        </w:rPr>
        <w:t>有待进一步完善</w:t>
      </w:r>
      <w:r>
        <w:rPr>
          <w:rFonts w:ascii="Times New Roman" w:hAnsi="Times New Roman" w:eastAsia="仿宋_GB2312" w:cs="Times New Roman"/>
          <w:color w:val="333333"/>
          <w:kern w:val="0"/>
          <w:sz w:val="32"/>
          <w:szCs w:val="32"/>
        </w:rPr>
        <w:t>。</w:t>
      </w:r>
    </w:p>
    <w:p w14:paraId="37875CEC">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2.为避免工作中出现矛盾，大部分人员的工资水平差距不大，致使部分人员的薪资水平与社会平均工资差异较大，使得这部分人工作积极性难以提高。</w:t>
      </w:r>
    </w:p>
    <w:p w14:paraId="524C0D7D">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3.因工资水平整体偏低，致使日常工作中人员流动性较大，部分人员的综合素质不高，在服务质量上和干部职工的要求还有差距。</w:t>
      </w:r>
      <w:bookmarkStart w:id="7" w:name="_Toc13630"/>
    </w:p>
    <w:p w14:paraId="376CD847">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（三）建议和改进措施</w:t>
      </w:r>
      <w:bookmarkEnd w:id="7"/>
    </w:p>
    <w:p w14:paraId="711A33A3">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14:paraId="482933E7">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2.根据不同工作岗位的重要性、工作量、专业技术水平等，制定更加合理的薪资标准，不断激励并倡导所有人员</w:t>
      </w:r>
      <w:r>
        <w:rPr>
          <w:rFonts w:hint="eastAsia" w:ascii="Times New Roman" w:hAnsi="Times New Roman" w:eastAsia="仿宋_GB2312" w:cs="Times New Roman"/>
          <w:color w:val="333333"/>
          <w:kern w:val="0"/>
          <w:sz w:val="32"/>
          <w:szCs w:val="32"/>
        </w:rPr>
        <w:t>不断学习进步</w:t>
      </w:r>
      <w:r>
        <w:rPr>
          <w:rFonts w:ascii="Times New Roman" w:hAnsi="Times New Roman" w:eastAsia="仿宋_GB2312" w:cs="Times New Roman"/>
          <w:color w:val="333333"/>
          <w:kern w:val="0"/>
          <w:sz w:val="32"/>
          <w:szCs w:val="32"/>
        </w:rPr>
        <w:t>。</w:t>
      </w:r>
    </w:p>
    <w:p w14:paraId="2418CB59">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hint="eastAsia" w:ascii="Times New Roman" w:hAnsi="Times New Roman" w:eastAsia="仿宋_GB2312" w:cs="Times New Roman"/>
          <w:color w:val="333333"/>
          <w:kern w:val="0"/>
          <w:sz w:val="32"/>
          <w:szCs w:val="32"/>
        </w:rPr>
        <w:t>3</w:t>
      </w:r>
      <w:r>
        <w:rPr>
          <w:rFonts w:ascii="Times New Roman" w:hAnsi="Times New Roman" w:eastAsia="仿宋_GB2312" w:cs="Times New Roman"/>
          <w:color w:val="333333"/>
          <w:kern w:val="0"/>
          <w:sz w:val="32"/>
          <w:szCs w:val="32"/>
        </w:rPr>
        <w:t>.积极探索向社会购买服务的模式，继续扩大机关后勤服务社会化程度，由服务提供者向监管者转变。</w:t>
      </w:r>
    </w:p>
    <w:p w14:paraId="571DF5F1">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p>
    <w:p w14:paraId="3267B41D">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p>
    <w:p w14:paraId="23396D46">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p>
    <w:p w14:paraId="2E53A049">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p>
    <w:p w14:paraId="7A80646E">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p>
    <w:p w14:paraId="0B4080EA">
      <w:pPr>
        <w:pStyle w:val="2"/>
        <w:rPr>
          <w:rFonts w:ascii="Times New Roman" w:hAnsi="Times New Roman" w:eastAsia="仿宋_GB2312" w:cs="Times New Roman"/>
          <w:color w:val="333333"/>
          <w:kern w:val="0"/>
          <w:sz w:val="32"/>
          <w:szCs w:val="32"/>
        </w:rPr>
      </w:pPr>
    </w:p>
    <w:p w14:paraId="34644CAA">
      <w:pPr>
        <w:rPr>
          <w:rFonts w:ascii="Times New Roman" w:hAnsi="Times New Roman" w:eastAsia="仿宋_GB2312" w:cs="Times New Roman"/>
          <w:color w:val="333333"/>
          <w:kern w:val="0"/>
          <w:sz w:val="32"/>
          <w:szCs w:val="32"/>
        </w:rPr>
      </w:pPr>
    </w:p>
    <w:p w14:paraId="73A23C45">
      <w:pPr>
        <w:pStyle w:val="2"/>
        <w:rPr>
          <w:rFonts w:ascii="Times New Roman" w:hAnsi="Times New Roman" w:eastAsia="仿宋_GB2312" w:cs="Times New Roman"/>
          <w:color w:val="333333"/>
          <w:kern w:val="0"/>
          <w:sz w:val="32"/>
          <w:szCs w:val="32"/>
        </w:rPr>
      </w:pPr>
    </w:p>
    <w:p w14:paraId="6B6B646C">
      <w:pPr>
        <w:rPr>
          <w:rFonts w:ascii="Times New Roman" w:hAnsi="Times New Roman" w:eastAsia="仿宋_GB2312" w:cs="Times New Roman"/>
          <w:color w:val="333333"/>
          <w:kern w:val="0"/>
          <w:sz w:val="32"/>
          <w:szCs w:val="32"/>
        </w:rPr>
      </w:pPr>
    </w:p>
    <w:p w14:paraId="110566B2">
      <w:pPr>
        <w:pStyle w:val="2"/>
        <w:rPr>
          <w:rFonts w:ascii="Times New Roman" w:hAnsi="Times New Roman" w:eastAsia="仿宋_GB2312" w:cs="Times New Roman"/>
          <w:color w:val="333333"/>
          <w:kern w:val="0"/>
          <w:sz w:val="32"/>
          <w:szCs w:val="32"/>
        </w:rPr>
      </w:pPr>
    </w:p>
    <w:p w14:paraId="14C1CA45">
      <w:pPr>
        <w:rPr>
          <w:rFonts w:ascii="Times New Roman" w:hAnsi="Times New Roman" w:eastAsia="仿宋_GB2312" w:cs="Times New Roman"/>
          <w:color w:val="333333"/>
          <w:kern w:val="0"/>
          <w:sz w:val="32"/>
          <w:szCs w:val="32"/>
        </w:rPr>
      </w:pPr>
    </w:p>
    <w:p w14:paraId="6DE9C8B9">
      <w:pPr>
        <w:pStyle w:val="2"/>
        <w:rPr>
          <w:rFonts w:ascii="Times New Roman" w:hAnsi="Times New Roman" w:eastAsia="仿宋_GB2312" w:cs="Times New Roman"/>
          <w:color w:val="333333"/>
          <w:kern w:val="0"/>
          <w:sz w:val="32"/>
          <w:szCs w:val="32"/>
        </w:rPr>
      </w:pPr>
    </w:p>
    <w:p w14:paraId="544D437D"/>
    <w:p w14:paraId="07CE7163">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p>
    <w:p w14:paraId="729A94CE">
      <w:pPr>
        <w:spacing w:line="560" w:lineRule="exact"/>
        <w:ind w:firstLine="880" w:firstLineChars="200"/>
        <w:jc w:val="center"/>
        <w:rPr>
          <w:rFonts w:ascii="Times New Roman" w:hAnsi="Times New Roman" w:eastAsia="方正小标宋_GBK" w:cs="Times New Roman"/>
          <w:sz w:val="44"/>
          <w:szCs w:val="44"/>
        </w:rPr>
      </w:pPr>
    </w:p>
    <w:p w14:paraId="6AEF1BE5">
      <w:pPr>
        <w:spacing w:line="560" w:lineRule="exact"/>
        <w:ind w:firstLine="883" w:firstLineChars="200"/>
        <w:rPr>
          <w:rFonts w:ascii="Times New Roman" w:hAnsi="Times New Roman" w:eastAsia="方正小标宋_GBK" w:cs="Times New Roman"/>
          <w:b/>
          <w:bCs/>
          <w:sz w:val="44"/>
          <w:szCs w:val="44"/>
        </w:rPr>
      </w:pPr>
    </w:p>
    <w:p w14:paraId="328702AB">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正文：昆明市盘龙区机关事务管理服务中心业务补助经费项目支出绩效自评报告</w:t>
      </w:r>
      <w:bookmarkStart w:id="8" w:name="_Toc5587"/>
    </w:p>
    <w:p w14:paraId="188EAF5C">
      <w:pPr>
        <w:pStyle w:val="2"/>
      </w:pPr>
    </w:p>
    <w:p w14:paraId="2A6CB1EA">
      <w:pPr>
        <w:numPr>
          <w:ilvl w:val="0"/>
          <w:numId w:val="3"/>
        </w:numPr>
        <w:spacing w:line="560" w:lineRule="exact"/>
        <w:ind w:firstLine="640" w:firstLineChars="200"/>
        <w:rPr>
          <w:rFonts w:ascii="Times New Roman" w:hAnsi="黑体" w:eastAsia="黑体" w:cs="Times New Roman"/>
          <w:kern w:val="44"/>
          <w:sz w:val="32"/>
          <w:szCs w:val="32"/>
        </w:rPr>
      </w:pPr>
      <w:r>
        <w:rPr>
          <w:rFonts w:ascii="Times New Roman" w:hAnsi="黑体" w:eastAsia="黑体" w:cs="Times New Roman"/>
          <w:kern w:val="44"/>
          <w:sz w:val="32"/>
          <w:szCs w:val="32"/>
        </w:rPr>
        <w:t>项目基本情况</w:t>
      </w:r>
      <w:bookmarkEnd w:id="8"/>
      <w:bookmarkStart w:id="9" w:name="_Toc31829"/>
      <w:bookmarkStart w:id="10" w:name="_Toc531033281"/>
    </w:p>
    <w:p w14:paraId="0EEFE6A8">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（一）项目概况</w:t>
      </w:r>
      <w:bookmarkEnd w:id="9"/>
      <w:bookmarkEnd w:id="10"/>
    </w:p>
    <w:p w14:paraId="0CBF429A">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1.项目立项背景及目的</w:t>
      </w:r>
    </w:p>
    <w:p w14:paraId="3E51BC6F">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机关事务管理服务中心的主要工作职责是为区委、区政府及区级国家机关各部委办局提供机关后勤综合服务。为贯彻</w:t>
      </w:r>
      <w:bookmarkStart w:id="31" w:name="_GoBack"/>
      <w:bookmarkEnd w:id="31"/>
      <w:r>
        <w:rPr>
          <w:rFonts w:hint="eastAsia" w:ascii="Times New Roman" w:hAnsi="Times New Roman" w:eastAsia="仿宋_GB2312" w:cs="Times New Roman"/>
          <w:color w:val="333333"/>
          <w:kern w:val="0"/>
          <w:sz w:val="32"/>
          <w:szCs w:val="32"/>
          <w:lang w:eastAsia="zh-CN"/>
        </w:rPr>
        <w:t>党的十九大精神</w:t>
      </w:r>
      <w:r>
        <w:rPr>
          <w:rFonts w:ascii="Times New Roman" w:hAnsi="Times New Roman" w:eastAsia="仿宋_GB2312" w:cs="Times New Roman"/>
          <w:color w:val="333333"/>
          <w:kern w:val="0"/>
          <w:sz w:val="32"/>
          <w:szCs w:val="32"/>
        </w:rPr>
        <w:t>以及习近平总书记系列重要讲话精神，我单位紧紧围绕区委、区政府中心工作，切实履行各项职责，高效服务，力促发展，保障了区委、区政府各项工作高效有序运转。通过机关食堂用餐服务，狠抓日常工作落实及服务监管，为区委、区政府提供了坚强有力的后勤保障服务。</w:t>
      </w:r>
    </w:p>
    <w:p w14:paraId="10AC9AA1">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为确保后勤服务正常开展，上级机关交办事项办理到位，需申请业务经费</w:t>
      </w:r>
      <w:r>
        <w:rPr>
          <w:rFonts w:hint="eastAsia" w:ascii="Times New Roman" w:hAnsi="Times New Roman" w:eastAsia="仿宋_GB2312" w:cs="Times New Roman"/>
          <w:color w:val="333333"/>
          <w:kern w:val="0"/>
          <w:sz w:val="32"/>
          <w:szCs w:val="32"/>
        </w:rPr>
        <w:t>4962700</w:t>
      </w:r>
      <w:r>
        <w:rPr>
          <w:rFonts w:ascii="Times New Roman" w:hAnsi="Times New Roman" w:eastAsia="仿宋_GB2312" w:cs="Times New Roman"/>
          <w:color w:val="333333"/>
          <w:kern w:val="0"/>
          <w:sz w:val="32"/>
          <w:szCs w:val="32"/>
        </w:rPr>
        <w:t>元，用于机关食堂食材费、电费、煤气费、劳保用品费、材料维修费等支出。</w:t>
      </w:r>
    </w:p>
    <w:p w14:paraId="6DCB66F6">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2.项目实施情况</w:t>
      </w:r>
    </w:p>
    <w:p w14:paraId="2A1097B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333333"/>
          <w:kern w:val="0"/>
          <w:sz w:val="32"/>
          <w:szCs w:val="32"/>
        </w:rPr>
        <w:t>在区委、区政府的正确领导下，机关事务管理服务中心202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年充分调动工作人员的积极性，全年</w:t>
      </w:r>
      <w:r>
        <w:rPr>
          <w:rFonts w:hint="eastAsia" w:ascii="Times New Roman" w:hAnsi="Times New Roman" w:eastAsia="仿宋_GB2312" w:cs="Times New Roman"/>
          <w:color w:val="333333"/>
          <w:kern w:val="0"/>
          <w:sz w:val="32"/>
          <w:szCs w:val="32"/>
        </w:rPr>
        <w:t>完成</w:t>
      </w:r>
      <w:r>
        <w:rPr>
          <w:rFonts w:ascii="Times New Roman" w:hAnsi="Times New Roman" w:eastAsia="仿宋_GB2312" w:cs="Times New Roman"/>
          <w:sz w:val="32"/>
          <w:szCs w:val="32"/>
        </w:rPr>
        <w:t>6个集中办公区干部职工的用餐服务，食堂累计提供早餐123400人次、中餐168800人次、晚餐19160人次，自助餐750人次，临时送餐1221人次。重点保障了党代会、“两会”、全会、COP15等重大会议活动的餐饮服务。</w:t>
      </w:r>
    </w:p>
    <w:p w14:paraId="5B3FFC25">
      <w:pPr>
        <w:spacing w:line="560" w:lineRule="exact"/>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3.项目资金来源及使用情况 </w:t>
      </w:r>
    </w:p>
    <w:p w14:paraId="094C2063">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（1）项目经费来源</w:t>
      </w:r>
    </w:p>
    <w:p w14:paraId="12994099">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根据昆明市盘龙区财政局《关于下达盘龙区202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年部门预算的批复》（盘财〔202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〕1号）文件安排项目资金</w:t>
      </w:r>
      <w:r>
        <w:rPr>
          <w:rFonts w:hint="eastAsia" w:ascii="Times New Roman" w:hAnsi="Times New Roman" w:eastAsia="仿宋_GB2312" w:cs="Times New Roman"/>
          <w:color w:val="333333"/>
          <w:kern w:val="0"/>
          <w:sz w:val="32"/>
          <w:szCs w:val="32"/>
        </w:rPr>
        <w:t>496.27</w:t>
      </w:r>
      <w:r>
        <w:rPr>
          <w:rFonts w:ascii="Times New Roman" w:hAnsi="Times New Roman" w:eastAsia="仿宋_GB2312" w:cs="Times New Roman"/>
          <w:color w:val="333333"/>
          <w:kern w:val="0"/>
          <w:sz w:val="32"/>
          <w:szCs w:val="32"/>
        </w:rPr>
        <w:t>万元，资金来源全部为区级财政拨款。</w:t>
      </w:r>
    </w:p>
    <w:p w14:paraId="534C0DC1">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（2）项目经费使用情况</w:t>
      </w:r>
    </w:p>
    <w:p w14:paraId="2E055010">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截至202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年12月31日，业务经费</w:t>
      </w:r>
      <w:r>
        <w:rPr>
          <w:rFonts w:hint="eastAsia" w:ascii="Times New Roman" w:hAnsi="Times New Roman" w:eastAsia="仿宋_GB2312" w:cs="Times New Roman"/>
          <w:color w:val="333333"/>
          <w:kern w:val="0"/>
          <w:sz w:val="32"/>
          <w:szCs w:val="32"/>
        </w:rPr>
        <w:t>496.27万</w:t>
      </w:r>
      <w:r>
        <w:rPr>
          <w:rFonts w:ascii="Times New Roman" w:hAnsi="Times New Roman" w:eastAsia="仿宋_GB2312" w:cs="Times New Roman"/>
          <w:color w:val="333333"/>
          <w:kern w:val="0"/>
          <w:sz w:val="32"/>
          <w:szCs w:val="32"/>
        </w:rPr>
        <w:t>元已全部支出，主要用于支付机关食堂食材费、电费、煤气费、劳保用品费、材料维修费等</w:t>
      </w:r>
      <w:r>
        <w:rPr>
          <w:rFonts w:hint="eastAsia" w:ascii="Times New Roman" w:hAnsi="Times New Roman" w:eastAsia="仿宋_GB2312" w:cs="Times New Roman"/>
          <w:color w:val="333333"/>
          <w:kern w:val="0"/>
          <w:sz w:val="32"/>
          <w:szCs w:val="32"/>
        </w:rPr>
        <w:t>。</w:t>
      </w:r>
    </w:p>
    <w:p w14:paraId="0042521B">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 4.项目组织及管理情况 </w:t>
      </w:r>
    </w:p>
    <w:p w14:paraId="0774CE55">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（1）食材费情况</w:t>
      </w:r>
    </w:p>
    <w:p w14:paraId="6A7D4DBE">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我单位负责</w:t>
      </w:r>
      <w:r>
        <w:rPr>
          <w:rFonts w:hint="eastAsia" w:ascii="Times New Roman" w:hAnsi="Times New Roman" w:eastAsia="仿宋_GB2312" w:cs="Times New Roman"/>
          <w:color w:val="333333"/>
          <w:kern w:val="0"/>
          <w:sz w:val="32"/>
          <w:szCs w:val="32"/>
        </w:rPr>
        <w:t>六</w:t>
      </w:r>
      <w:r>
        <w:rPr>
          <w:rFonts w:ascii="Times New Roman" w:hAnsi="Times New Roman" w:eastAsia="仿宋_GB2312" w:cs="Times New Roman"/>
          <w:color w:val="333333"/>
          <w:kern w:val="0"/>
          <w:sz w:val="32"/>
          <w:szCs w:val="32"/>
        </w:rPr>
        <w:t>个食堂的运行工作，所有食材的供应均签订了供货协议，食材费在当月供货完成后按月支付。通过对资金支付申请、付款单据等相关原始资料的检查，本项目资金拨付审批手续完整，支出依据合规，未发现虚列套取、截留、挤占、挪用情况和超标准开支的情况。</w:t>
      </w:r>
    </w:p>
    <w:p w14:paraId="26DBA667">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w:t>
      </w:r>
      <w:r>
        <w:rPr>
          <w:rFonts w:hint="eastAsia" w:ascii="Times New Roman" w:hAnsi="Times New Roman" w:eastAsia="仿宋_GB2312" w:cs="Times New Roman"/>
          <w:color w:val="333333"/>
          <w:kern w:val="0"/>
          <w:sz w:val="32"/>
          <w:szCs w:val="32"/>
        </w:rPr>
        <w:t>其他</w:t>
      </w:r>
      <w:r>
        <w:rPr>
          <w:rFonts w:ascii="Times New Roman" w:hAnsi="Times New Roman" w:eastAsia="仿宋_GB2312" w:cs="Times New Roman"/>
          <w:color w:val="333333"/>
          <w:kern w:val="0"/>
          <w:sz w:val="32"/>
          <w:szCs w:val="32"/>
        </w:rPr>
        <w:t>费</w:t>
      </w:r>
      <w:r>
        <w:rPr>
          <w:rFonts w:hint="eastAsia" w:ascii="Times New Roman" w:hAnsi="Times New Roman" w:eastAsia="仿宋_GB2312" w:cs="Times New Roman"/>
          <w:color w:val="333333"/>
          <w:kern w:val="0"/>
          <w:sz w:val="32"/>
          <w:szCs w:val="32"/>
        </w:rPr>
        <w:t>用</w:t>
      </w:r>
      <w:r>
        <w:rPr>
          <w:rFonts w:ascii="Times New Roman" w:hAnsi="Times New Roman" w:eastAsia="仿宋_GB2312" w:cs="Times New Roman"/>
          <w:color w:val="333333"/>
          <w:kern w:val="0"/>
          <w:sz w:val="32"/>
          <w:szCs w:val="32"/>
        </w:rPr>
        <w:t>情况</w:t>
      </w:r>
    </w:p>
    <w:p w14:paraId="778F4934">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我单位负责</w:t>
      </w:r>
      <w:r>
        <w:rPr>
          <w:rFonts w:hint="eastAsia" w:ascii="Times New Roman" w:hAnsi="Times New Roman" w:eastAsia="仿宋_GB2312" w:cs="Times New Roman"/>
          <w:color w:val="333333"/>
          <w:kern w:val="0"/>
          <w:sz w:val="32"/>
          <w:szCs w:val="32"/>
        </w:rPr>
        <w:t>六</w:t>
      </w:r>
      <w:r>
        <w:rPr>
          <w:rFonts w:ascii="Times New Roman" w:hAnsi="Times New Roman" w:eastAsia="仿宋_GB2312" w:cs="Times New Roman"/>
          <w:color w:val="333333"/>
          <w:kern w:val="0"/>
          <w:sz w:val="32"/>
          <w:szCs w:val="32"/>
        </w:rPr>
        <w:t>个食堂的运行工作，</w:t>
      </w:r>
      <w:r>
        <w:rPr>
          <w:rFonts w:hint="eastAsia" w:ascii="Times New Roman" w:hAnsi="Times New Roman" w:eastAsia="仿宋_GB2312" w:cs="Times New Roman"/>
          <w:color w:val="333333"/>
          <w:kern w:val="0"/>
          <w:sz w:val="32"/>
          <w:szCs w:val="32"/>
        </w:rPr>
        <w:t>电费、煤气费、劳保用品费、材料维修费等均据实结算</w:t>
      </w:r>
      <w:r>
        <w:rPr>
          <w:rFonts w:ascii="Times New Roman" w:hAnsi="Times New Roman" w:eastAsia="仿宋_GB2312" w:cs="Times New Roman"/>
          <w:color w:val="333333"/>
          <w:kern w:val="0"/>
          <w:sz w:val="32"/>
          <w:szCs w:val="32"/>
        </w:rPr>
        <w:t>。</w:t>
      </w:r>
      <w:bookmarkStart w:id="11" w:name="_Toc23679"/>
    </w:p>
    <w:p w14:paraId="67BFDD20">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（二）项目绩效目标</w:t>
      </w:r>
      <w:bookmarkEnd w:id="11"/>
    </w:p>
    <w:p w14:paraId="2BF3F462">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1.总目标</w:t>
      </w:r>
    </w:p>
    <w:p w14:paraId="35662BF5">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为确保区委、区政府后勤服务正常开展，上级机关交办事项办理到位，为各集中办公区工作人员提供餐饮服务。</w:t>
      </w:r>
    </w:p>
    <w:p w14:paraId="5FB5B95B">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2.年度目标</w:t>
      </w:r>
    </w:p>
    <w:p w14:paraId="424ABC64">
      <w:pPr>
        <w:widowControl/>
        <w:shd w:val="clear" w:color="auto" w:fill="FFFFFF"/>
        <w:spacing w:line="560" w:lineRule="exact"/>
        <w:ind w:firstLine="640" w:firstLineChars="200"/>
        <w:jc w:val="left"/>
        <w:outlineLvl w:val="0"/>
        <w:rPr>
          <w:rFonts w:ascii="Times New Roman" w:hAnsi="Times New Roman" w:eastAsia="仿宋_GB2312" w:cs="Times New Roman"/>
          <w:color w:val="333333"/>
          <w:kern w:val="0"/>
          <w:sz w:val="32"/>
          <w:szCs w:val="32"/>
        </w:rPr>
      </w:pPr>
      <w:bookmarkStart w:id="12" w:name="_Toc15266"/>
      <w:r>
        <w:rPr>
          <w:rFonts w:ascii="Times New Roman" w:hAnsi="Times New Roman" w:eastAsia="仿宋_GB2312" w:cs="Times New Roman"/>
          <w:color w:val="333333"/>
          <w:kern w:val="0"/>
          <w:sz w:val="32"/>
          <w:szCs w:val="32"/>
        </w:rPr>
        <w:t>完成集中办公区工作人员餐饮服务，做好食品留样工作，确保食品安全，全年组织员工健康体检不少于1次。</w:t>
      </w:r>
      <w:bookmarkEnd w:id="12"/>
      <w:bookmarkStart w:id="13" w:name="_Toc12095"/>
    </w:p>
    <w:p w14:paraId="7022B0C6">
      <w:pPr>
        <w:widowControl/>
        <w:numPr>
          <w:ilvl w:val="0"/>
          <w:numId w:val="3"/>
        </w:numPr>
        <w:shd w:val="clear" w:color="auto" w:fill="FFFFFF"/>
        <w:spacing w:line="560" w:lineRule="exact"/>
        <w:ind w:firstLine="640" w:firstLineChars="200"/>
        <w:jc w:val="left"/>
        <w:outlineLvl w:val="0"/>
        <w:rPr>
          <w:rFonts w:ascii="Times New Roman" w:hAnsi="黑体" w:eastAsia="黑体" w:cs="Times New Roman"/>
          <w:kern w:val="44"/>
          <w:sz w:val="32"/>
          <w:szCs w:val="32"/>
        </w:rPr>
      </w:pPr>
      <w:r>
        <w:rPr>
          <w:rFonts w:ascii="Times New Roman" w:hAnsi="黑体" w:eastAsia="黑体" w:cs="Times New Roman"/>
          <w:kern w:val="44"/>
          <w:sz w:val="32"/>
          <w:szCs w:val="32"/>
        </w:rPr>
        <w:t>绩效评价工作情况</w:t>
      </w:r>
      <w:bookmarkEnd w:id="13"/>
      <w:bookmarkStart w:id="14" w:name="_Toc12677"/>
    </w:p>
    <w:p w14:paraId="2C04E427">
      <w:pPr>
        <w:widowControl/>
        <w:shd w:val="clear" w:color="auto" w:fill="FFFFFF"/>
        <w:spacing w:line="560" w:lineRule="exact"/>
        <w:ind w:firstLine="640" w:firstLineChars="200"/>
        <w:jc w:val="left"/>
        <w:outlineLvl w:val="0"/>
        <w:rPr>
          <w:rFonts w:ascii="Times New Roman" w:hAnsi="Times New Roman" w:eastAsia="楷体_GB2312" w:cs="Times New Roman"/>
          <w:sz w:val="32"/>
          <w:szCs w:val="32"/>
        </w:rPr>
      </w:pPr>
      <w:r>
        <w:rPr>
          <w:rFonts w:ascii="Times New Roman" w:hAnsi="Times New Roman" w:eastAsia="楷体_GB2312" w:cs="Times New Roman"/>
          <w:sz w:val="32"/>
          <w:szCs w:val="32"/>
        </w:rPr>
        <w:t>(一)评价的目的和依据</w:t>
      </w:r>
      <w:bookmarkEnd w:id="14"/>
    </w:p>
    <w:p w14:paraId="2C1F5A51">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1.评价目的</w:t>
      </w:r>
    </w:p>
    <w:p w14:paraId="52DAD1E1">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14:paraId="26D6B2A7">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2.评价主要依据</w:t>
      </w:r>
    </w:p>
    <w:p w14:paraId="1C3A722A">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（1）政府部门文件</w:t>
      </w:r>
    </w:p>
    <w:p w14:paraId="5E9D11C3">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《昆明市盘龙区财政局关于开展202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年度区级预算支出绩效自评工作的通知》。</w:t>
      </w:r>
    </w:p>
    <w:p w14:paraId="5D9C336D">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（2）项目资料</w:t>
      </w:r>
    </w:p>
    <w:p w14:paraId="77B156BB">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项目预算批复等相关文件，项目相关支出合同等。</w:t>
      </w:r>
    </w:p>
    <w:p w14:paraId="136F63EE">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（3）财务资料及相关制度和标准</w:t>
      </w:r>
    </w:p>
    <w:p w14:paraId="627D04A9">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财务资料：会计账簿、会计凭证、会计报表、决算报表等财务资料。</w:t>
      </w:r>
    </w:p>
    <w:p w14:paraId="57DE3B60">
      <w:pPr>
        <w:widowControl/>
        <w:shd w:val="clear" w:color="auto" w:fill="FFFFFF"/>
        <w:spacing w:line="560" w:lineRule="exact"/>
        <w:ind w:left="638" w:leftChars="304"/>
        <w:jc w:val="left"/>
        <w:outlineLvl w:val="2"/>
        <w:rPr>
          <w:rFonts w:ascii="Times New Roman" w:hAnsi="Times New Roman" w:eastAsia="楷体_GB2312" w:cs="Times New Roman"/>
          <w:sz w:val="32"/>
          <w:szCs w:val="32"/>
        </w:rPr>
      </w:pPr>
      <w:r>
        <w:rPr>
          <w:rFonts w:ascii="Times New Roman" w:hAnsi="Times New Roman" w:eastAsia="仿宋_GB2312" w:cs="Times New Roman"/>
          <w:color w:val="333333"/>
          <w:kern w:val="0"/>
          <w:sz w:val="32"/>
          <w:szCs w:val="32"/>
        </w:rPr>
        <w:t>《中华人民共和国会计法》《事业单位会计制度》等。</w:t>
      </w:r>
      <w:bookmarkStart w:id="15" w:name="_Toc8908"/>
      <w:r>
        <w:rPr>
          <w:rFonts w:ascii="Times New Roman" w:hAnsi="Times New Roman" w:eastAsia="楷体_GB2312" w:cs="Times New Roman"/>
          <w:sz w:val="32"/>
          <w:szCs w:val="32"/>
        </w:rPr>
        <w:t>（二）绩效评价工作方案制定过程</w:t>
      </w:r>
      <w:bookmarkEnd w:id="15"/>
    </w:p>
    <w:p w14:paraId="7204C967">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1.前期调研</w:t>
      </w:r>
    </w:p>
    <w:p w14:paraId="66C0B76D">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14:paraId="113DCEF5">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2.研究文件</w:t>
      </w:r>
    </w:p>
    <w:p w14:paraId="3D6A8077">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评价组对《盘龙区区级部门预算绩效自评管理暂行办法》《昆明市盘龙区财政局关于开展202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年度区级预算支出绩效自评工作的通知》进行了认真研究，吃透文件精神，以确保绩效评价工作符合区财政局的相关要求。</w:t>
      </w:r>
    </w:p>
    <w:p w14:paraId="7C16F85D">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3.绩效评价指标体系及工作方案的设计</w:t>
      </w:r>
    </w:p>
    <w:p w14:paraId="7988262E">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bookmarkStart w:id="16" w:name="_Toc30814"/>
    </w:p>
    <w:p w14:paraId="609AFB22">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（三）绩效评价原则及评价方法</w:t>
      </w:r>
      <w:bookmarkEnd w:id="16"/>
    </w:p>
    <w:p w14:paraId="0A5B6999">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1.绩效评价原则</w:t>
      </w:r>
    </w:p>
    <w:p w14:paraId="3B17D978">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p>
    <w:p w14:paraId="6AB3CC93">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2.绩效评价方法</w:t>
      </w:r>
    </w:p>
    <w:p w14:paraId="0CE22540">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此次评价采用现场抽查、随机调查、文献查阅等方式进行，采取了以下几种评价方法。</w:t>
      </w:r>
    </w:p>
    <w:p w14:paraId="5831F79D">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14:paraId="52F13117">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14:paraId="09A0533A">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抽查法：抽查全部资金到位情况等。</w:t>
      </w:r>
    </w:p>
    <w:p w14:paraId="717335A7">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问卷调查法：围绕财务制度执行情况，相关管理办法是否执行等情况向相关人员开展广泛调查，获取第一手资料</w:t>
      </w:r>
      <w:bookmarkStart w:id="17" w:name="_Toc1639"/>
      <w:r>
        <w:rPr>
          <w:rFonts w:hint="eastAsia" w:ascii="Times New Roman" w:hAnsi="Times New Roman" w:eastAsia="仿宋_GB2312" w:cs="Times New Roman"/>
          <w:color w:val="333333"/>
          <w:kern w:val="0"/>
          <w:sz w:val="32"/>
          <w:szCs w:val="32"/>
        </w:rPr>
        <w:t xml:space="preserve">。 </w:t>
      </w:r>
      <w:bookmarkEnd w:id="17"/>
    </w:p>
    <w:p w14:paraId="70E58F6A">
      <w:pPr>
        <w:numPr>
          <w:ilvl w:val="0"/>
          <w:numId w:val="2"/>
        </w:num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绩效评价实施过程</w:t>
      </w:r>
    </w:p>
    <w:p w14:paraId="28C23B5A">
      <w:pPr>
        <w:spacing w:line="560" w:lineRule="exact"/>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1.数据填报和采集</w:t>
      </w:r>
    </w:p>
    <w:p w14:paraId="5129161C">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年决算资料进行相关数据采集和填报。</w:t>
      </w:r>
    </w:p>
    <w:p w14:paraId="18417B9A">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2.社会调查</w:t>
      </w:r>
    </w:p>
    <w:p w14:paraId="2090E951">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根据本项目的具体情况，本单位项目组成员针对本项目设计调查问卷，对本项目受益对象随机发放并收回了50份有效调查问卷，平均得分8分。</w:t>
      </w:r>
    </w:p>
    <w:p w14:paraId="679D84D1">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3.数据分析和撰写报告</w:t>
      </w:r>
    </w:p>
    <w:p w14:paraId="4849D7C4">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bookmarkStart w:id="18" w:name="_Toc20289"/>
    </w:p>
    <w:p w14:paraId="05A3A554">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（五）绩效评价的局限性</w:t>
      </w:r>
      <w:bookmarkEnd w:id="18"/>
    </w:p>
    <w:p w14:paraId="01C7B155">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由于该项目为经费类项目，故以本单位实际开展日常工作情况为绩效效果进行考评，且资金管理由本单位进行统一管理。</w:t>
      </w:r>
      <w:bookmarkStart w:id="19" w:name="_Toc32321"/>
    </w:p>
    <w:p w14:paraId="1EA46734">
      <w:pPr>
        <w:widowControl/>
        <w:numPr>
          <w:ilvl w:val="0"/>
          <w:numId w:val="3"/>
        </w:numPr>
        <w:shd w:val="clear" w:color="auto" w:fill="FFFFFF"/>
        <w:spacing w:line="560" w:lineRule="exact"/>
        <w:ind w:firstLine="640" w:firstLineChars="200"/>
        <w:jc w:val="left"/>
        <w:outlineLvl w:val="2"/>
        <w:rPr>
          <w:rFonts w:ascii="Times New Roman" w:hAnsi="黑体" w:eastAsia="黑体" w:cs="Times New Roman"/>
          <w:kern w:val="44"/>
          <w:sz w:val="32"/>
          <w:szCs w:val="32"/>
        </w:rPr>
      </w:pPr>
      <w:r>
        <w:rPr>
          <w:rFonts w:ascii="Times New Roman" w:hAnsi="黑体" w:eastAsia="黑体" w:cs="Times New Roman"/>
          <w:kern w:val="44"/>
          <w:sz w:val="32"/>
          <w:szCs w:val="32"/>
        </w:rPr>
        <w:t>评价结论和绩效分析</w:t>
      </w:r>
      <w:bookmarkEnd w:id="19"/>
      <w:bookmarkStart w:id="20" w:name="_Toc27975"/>
    </w:p>
    <w:p w14:paraId="47EC90D9">
      <w:pPr>
        <w:widowControl/>
        <w:shd w:val="clear" w:color="auto" w:fill="FFFFFF"/>
        <w:spacing w:line="560" w:lineRule="exact"/>
        <w:ind w:firstLine="640" w:firstLineChars="200"/>
        <w:jc w:val="left"/>
        <w:outlineLvl w:val="2"/>
        <w:rPr>
          <w:rFonts w:ascii="楷体_GB2312" w:hAnsi="楷体_GB2312" w:eastAsia="楷体_GB2312" w:cs="楷体_GB2312"/>
          <w:sz w:val="32"/>
          <w:szCs w:val="32"/>
        </w:rPr>
      </w:pPr>
      <w:r>
        <w:rPr>
          <w:rFonts w:hint="eastAsia" w:ascii="楷体_GB2312" w:hAnsi="楷体_GB2312" w:eastAsia="楷体_GB2312" w:cs="楷体_GB2312"/>
          <w:sz w:val="32"/>
          <w:szCs w:val="32"/>
        </w:rPr>
        <w:t>(一)评价结论</w:t>
      </w:r>
      <w:bookmarkEnd w:id="20"/>
    </w:p>
    <w:p w14:paraId="63A45850">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1.评价结果 </w:t>
      </w:r>
    </w:p>
    <w:p w14:paraId="72B76D4D">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14:paraId="722D1028">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综上，根据《盘龙区区级部门预算绩效自评管理暂行办法》，项目绩效评价得分为9</w:t>
      </w:r>
      <w:r>
        <w:rPr>
          <w:rFonts w:hint="eastAsia" w:ascii="Times New Roman" w:hAnsi="Times New Roman" w:eastAsia="仿宋_GB2312" w:cs="Times New Roman"/>
          <w:color w:val="333333"/>
          <w:kern w:val="0"/>
          <w:sz w:val="32"/>
          <w:szCs w:val="32"/>
        </w:rPr>
        <w:t>5</w:t>
      </w:r>
      <w:r>
        <w:rPr>
          <w:rFonts w:ascii="Times New Roman" w:hAnsi="Times New Roman" w:eastAsia="仿宋_GB2312" w:cs="Times New Roman"/>
          <w:color w:val="333333"/>
          <w:kern w:val="0"/>
          <w:sz w:val="32"/>
          <w:szCs w:val="32"/>
        </w:rPr>
        <w:t>分，自评结果为优。</w:t>
      </w:r>
    </w:p>
    <w:p w14:paraId="177E9EEE">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2.主要绩效</w:t>
      </w:r>
    </w:p>
    <w:p w14:paraId="6E2E97B0">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本项目不属于投资建设类项目，主要内容为我单位管理的机关食堂食材费、劳务派遣人员加班费、电费、煤气费、劳保用品费、材料维修费等支出。机关事务管理服务中心202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年度该项工作完成效益较好，保证了区委、区政府各项工作的顺利开展。</w:t>
      </w:r>
      <w:bookmarkStart w:id="21" w:name="_Toc8725"/>
    </w:p>
    <w:p w14:paraId="4B4D0D09">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（二）具体绩效分析</w:t>
      </w:r>
      <w:bookmarkEnd w:id="21"/>
    </w:p>
    <w:p w14:paraId="03087D2A">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具体详见附件1（业务经费项目支出绩效评价共性指标体系）</w:t>
      </w:r>
      <w:bookmarkStart w:id="22" w:name="_Toc522800820"/>
      <w:bookmarkEnd w:id="22"/>
      <w:bookmarkStart w:id="23" w:name="_Toc23606"/>
    </w:p>
    <w:p w14:paraId="3BC01FE6">
      <w:pPr>
        <w:widowControl/>
        <w:numPr>
          <w:ilvl w:val="0"/>
          <w:numId w:val="3"/>
        </w:numPr>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黑体" w:eastAsia="黑体" w:cs="Times New Roman"/>
          <w:kern w:val="44"/>
          <w:sz w:val="32"/>
          <w:szCs w:val="32"/>
        </w:rPr>
        <w:t>成本效益分析</w:t>
      </w:r>
      <w:bookmarkEnd w:id="23"/>
      <w:bookmarkStart w:id="24" w:name="_Toc18853"/>
    </w:p>
    <w:p w14:paraId="2358D01B">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（一）项目经济性分析</w:t>
      </w:r>
      <w:bookmarkEnd w:id="24"/>
    </w:p>
    <w:p w14:paraId="503A4650">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1.项目成本控制情况</w:t>
      </w:r>
    </w:p>
    <w:p w14:paraId="66E134BD">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根据昆明市盘龙区财政局昆明市盘龙区财政局《关于下达盘龙区20</w:t>
      </w:r>
      <w:r>
        <w:rPr>
          <w:rFonts w:hint="eastAsia" w:ascii="Times New Roman" w:hAnsi="Times New Roman" w:eastAsia="仿宋_GB2312" w:cs="Times New Roman"/>
          <w:color w:val="333333"/>
          <w:kern w:val="0"/>
          <w:sz w:val="32"/>
          <w:szCs w:val="32"/>
        </w:rPr>
        <w:t>21</w:t>
      </w:r>
      <w:r>
        <w:rPr>
          <w:rFonts w:ascii="Times New Roman" w:hAnsi="Times New Roman" w:eastAsia="仿宋_GB2312" w:cs="Times New Roman"/>
          <w:color w:val="333333"/>
          <w:kern w:val="0"/>
          <w:sz w:val="32"/>
          <w:szCs w:val="32"/>
        </w:rPr>
        <w:t>年部门预算的批复》（盘财〔202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〕1号）下达“业务补助经费”</w:t>
      </w:r>
      <w:r>
        <w:rPr>
          <w:rFonts w:hint="eastAsia" w:ascii="Times New Roman" w:hAnsi="Times New Roman" w:eastAsia="仿宋_GB2312" w:cs="Times New Roman"/>
          <w:color w:val="333333"/>
          <w:kern w:val="0"/>
          <w:sz w:val="32"/>
          <w:szCs w:val="32"/>
        </w:rPr>
        <w:t>4962700</w:t>
      </w:r>
      <w:r>
        <w:rPr>
          <w:rFonts w:ascii="Times New Roman" w:hAnsi="Times New Roman" w:eastAsia="仿宋_GB2312" w:cs="Times New Roman"/>
          <w:color w:val="333333"/>
          <w:kern w:val="0"/>
          <w:sz w:val="32"/>
          <w:szCs w:val="32"/>
        </w:rPr>
        <w:t>元，本次绩效评价实际到位资金</w:t>
      </w:r>
      <w:r>
        <w:rPr>
          <w:rFonts w:hint="eastAsia" w:ascii="Times New Roman" w:hAnsi="Times New Roman" w:eastAsia="仿宋_GB2312" w:cs="Times New Roman"/>
          <w:color w:val="333333"/>
          <w:kern w:val="0"/>
          <w:sz w:val="32"/>
          <w:szCs w:val="32"/>
        </w:rPr>
        <w:t>4962700</w:t>
      </w:r>
      <w:r>
        <w:rPr>
          <w:rFonts w:ascii="Times New Roman" w:hAnsi="Times New Roman" w:eastAsia="仿宋_GB2312" w:cs="Times New Roman"/>
          <w:color w:val="333333"/>
          <w:kern w:val="0"/>
          <w:sz w:val="32"/>
          <w:szCs w:val="32"/>
        </w:rPr>
        <w:t>元，用于机关食堂食材费、电费、煤气费、劳保用品费、材料维修费等支出。机关事务管理服务中心相关财务资料显示资金支出</w:t>
      </w:r>
      <w:r>
        <w:rPr>
          <w:rFonts w:hint="eastAsia" w:ascii="Times New Roman" w:hAnsi="Times New Roman" w:eastAsia="仿宋_GB2312" w:cs="Times New Roman"/>
          <w:color w:val="333333"/>
          <w:kern w:val="0"/>
          <w:sz w:val="32"/>
          <w:szCs w:val="32"/>
        </w:rPr>
        <w:t>4962700</w:t>
      </w:r>
      <w:r>
        <w:rPr>
          <w:rFonts w:ascii="Times New Roman" w:hAnsi="Times New Roman" w:eastAsia="仿宋_GB2312" w:cs="Times New Roman"/>
          <w:color w:val="333333"/>
          <w:kern w:val="0"/>
          <w:sz w:val="32"/>
          <w:szCs w:val="32"/>
        </w:rPr>
        <w:t>元，项目资金使用控制在预算范围内。</w:t>
      </w:r>
    </w:p>
    <w:p w14:paraId="12310AFC">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2.项目的效率性分析</w:t>
      </w:r>
    </w:p>
    <w:p w14:paraId="2553E12A">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根据相关的项目资料显示，截止202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年12月31日，本单位各项工作均有序进行。</w:t>
      </w:r>
      <w:bookmarkStart w:id="25" w:name="_Toc32152"/>
    </w:p>
    <w:p w14:paraId="37F37154">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（二）项目的效益性分析</w:t>
      </w:r>
      <w:bookmarkEnd w:id="25"/>
    </w:p>
    <w:p w14:paraId="47A1D531">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1.经济效益</w:t>
      </w:r>
    </w:p>
    <w:p w14:paraId="274BB258">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机关食堂工作是一项后勤保障工作，其直接和间接的经济效益难以计算。在本项目的实施过程中，其直接和间接的经济效益主要体现在以下几个方面：</w:t>
      </w:r>
    </w:p>
    <w:p w14:paraId="4FAD5AA4">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1</w:t>
      </w:r>
      <w:r>
        <w:rPr>
          <w:rFonts w:ascii="Times New Roman" w:hAnsi="仿宋_GB2312" w:eastAsia="仿宋_GB2312" w:cs="Times New Roman"/>
          <w:sz w:val="32"/>
          <w:szCs w:val="32"/>
        </w:rPr>
        <w:t>）盘龙区机关食堂</w:t>
      </w:r>
      <w:r>
        <w:rPr>
          <w:rFonts w:hint="eastAsia" w:ascii="Times New Roman" w:hAnsi="仿宋_GB2312" w:eastAsia="仿宋_GB2312" w:cs="Times New Roman"/>
          <w:sz w:val="32"/>
          <w:szCs w:val="32"/>
        </w:rPr>
        <w:t>本年内进行了服务外包</w:t>
      </w:r>
      <w:r>
        <w:rPr>
          <w:rFonts w:ascii="Times New Roman" w:hAnsi="仿宋_GB2312" w:eastAsia="仿宋_GB2312" w:cs="Times New Roman"/>
          <w:sz w:val="32"/>
          <w:szCs w:val="32"/>
        </w:rPr>
        <w:t>，通过公司完善的用人管理模式，最大限度地降低机关事务</w:t>
      </w:r>
      <w:r>
        <w:rPr>
          <w:rFonts w:hint="eastAsia" w:ascii="Times New Roman" w:hAnsi="仿宋_GB2312" w:eastAsia="仿宋_GB2312" w:cs="Times New Roman"/>
          <w:sz w:val="32"/>
          <w:szCs w:val="32"/>
        </w:rPr>
        <w:t>管理服务中心</w:t>
      </w:r>
      <w:r>
        <w:rPr>
          <w:rFonts w:ascii="Times New Roman" w:hAnsi="仿宋_GB2312" w:eastAsia="仿宋_GB2312" w:cs="Times New Roman"/>
          <w:sz w:val="32"/>
          <w:szCs w:val="32"/>
        </w:rPr>
        <w:t>人力资源利用成本和风险。如：工资薪酬的发放、社会保险的</w:t>
      </w:r>
      <w:r>
        <w:rPr>
          <w:rFonts w:hint="eastAsia" w:ascii="Times New Roman" w:hAnsi="仿宋_GB2312" w:eastAsia="仿宋_GB2312" w:cs="Times New Roman"/>
          <w:sz w:val="32"/>
          <w:szCs w:val="32"/>
        </w:rPr>
        <w:t>缴纳</w:t>
      </w:r>
      <w:r>
        <w:rPr>
          <w:rFonts w:ascii="Times New Roman" w:hAnsi="仿宋_GB2312" w:eastAsia="仿宋_GB2312" w:cs="Times New Roman"/>
          <w:sz w:val="32"/>
          <w:szCs w:val="32"/>
        </w:rPr>
        <w:t>、合同的签订、续订和解除，相关问题和争议的处理、日常一系列的人事管理等全部由</w:t>
      </w:r>
      <w:r>
        <w:rPr>
          <w:rFonts w:hint="eastAsia" w:ascii="Times New Roman" w:hAnsi="仿宋_GB2312" w:eastAsia="仿宋_GB2312" w:cs="Times New Roman"/>
          <w:sz w:val="32"/>
          <w:szCs w:val="32"/>
        </w:rPr>
        <w:t>中标</w:t>
      </w:r>
      <w:r>
        <w:rPr>
          <w:rFonts w:ascii="Times New Roman" w:hAnsi="仿宋_GB2312" w:eastAsia="仿宋_GB2312" w:cs="Times New Roman"/>
          <w:sz w:val="32"/>
          <w:szCs w:val="32"/>
        </w:rPr>
        <w:t>的专业公司负责。这样机关事务</w:t>
      </w:r>
      <w:r>
        <w:rPr>
          <w:rFonts w:hint="eastAsia" w:ascii="Times New Roman" w:hAnsi="仿宋_GB2312" w:eastAsia="仿宋_GB2312" w:cs="Times New Roman"/>
          <w:sz w:val="32"/>
          <w:szCs w:val="32"/>
        </w:rPr>
        <w:t>管理服务中心</w:t>
      </w:r>
      <w:r>
        <w:rPr>
          <w:rFonts w:ascii="Times New Roman" w:hAnsi="仿宋_GB2312" w:eastAsia="仿宋_GB2312" w:cs="Times New Roman"/>
          <w:sz w:val="32"/>
          <w:szCs w:val="32"/>
        </w:rPr>
        <w:t>不但提高了管理水平和服务水平，还有效地降低人员运行成本。</w:t>
      </w:r>
    </w:p>
    <w:p w14:paraId="2DC4E355">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2</w:t>
      </w:r>
      <w:r>
        <w:rPr>
          <w:rFonts w:ascii="Times New Roman" w:hAnsi="仿宋_GB2312" w:eastAsia="仿宋_GB2312" w:cs="Times New Roman"/>
          <w:sz w:val="32"/>
          <w:szCs w:val="32"/>
        </w:rPr>
        <w:t>）机关食堂的食品、菜品采购由采购办、财务室、食堂三方监管执行，加强了成本控制，节约了成本。</w:t>
      </w:r>
    </w:p>
    <w:p w14:paraId="3E8FBC85">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2.社会效益</w:t>
      </w:r>
    </w:p>
    <w:p w14:paraId="571CA01E">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1</w:t>
      </w:r>
      <w:r>
        <w:rPr>
          <w:rFonts w:ascii="Times New Roman" w:hAnsi="仿宋_GB2312" w:eastAsia="仿宋_GB2312" w:cs="Times New Roman"/>
          <w:sz w:val="32"/>
          <w:szCs w:val="32"/>
        </w:rPr>
        <w:t>）为区机关干部职工提供工作用餐，为工作、会议等活动的有序开展提供了有力的保障。</w:t>
      </w:r>
    </w:p>
    <w:p w14:paraId="61C9C285">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2</w:t>
      </w:r>
      <w:r>
        <w:rPr>
          <w:rFonts w:ascii="Times New Roman" w:hAnsi="仿宋_GB2312" w:eastAsia="仿宋_GB2312" w:cs="Times New Roman"/>
          <w:sz w:val="32"/>
          <w:szCs w:val="32"/>
        </w:rPr>
        <w:t>）</w:t>
      </w:r>
      <w:r>
        <w:rPr>
          <w:rFonts w:hint="eastAsia" w:ascii="Times New Roman" w:hAnsi="仿宋_GB2312" w:eastAsia="仿宋_GB2312" w:cs="Times New Roman"/>
          <w:sz w:val="32"/>
          <w:szCs w:val="32"/>
        </w:rPr>
        <w:t>日常</w:t>
      </w:r>
      <w:r>
        <w:rPr>
          <w:rFonts w:ascii="Times New Roman" w:hAnsi="仿宋_GB2312" w:eastAsia="仿宋_GB2312" w:cs="Times New Roman"/>
          <w:sz w:val="32"/>
          <w:szCs w:val="32"/>
        </w:rPr>
        <w:t>会议</w:t>
      </w:r>
      <w:r>
        <w:rPr>
          <w:rFonts w:hint="eastAsia" w:ascii="Times New Roman" w:hAnsi="仿宋_GB2312" w:eastAsia="仿宋_GB2312" w:cs="Times New Roman"/>
          <w:sz w:val="32"/>
          <w:szCs w:val="32"/>
        </w:rPr>
        <w:t>在</w:t>
      </w:r>
      <w:r>
        <w:rPr>
          <w:rFonts w:ascii="Times New Roman" w:hAnsi="仿宋_GB2312" w:eastAsia="仿宋_GB2312" w:cs="Times New Roman"/>
          <w:sz w:val="32"/>
          <w:szCs w:val="32"/>
        </w:rPr>
        <w:t>食堂</w:t>
      </w:r>
      <w:r>
        <w:rPr>
          <w:rFonts w:hint="eastAsia" w:ascii="Times New Roman" w:hAnsi="仿宋_GB2312" w:eastAsia="仿宋_GB2312" w:cs="Times New Roman"/>
          <w:sz w:val="32"/>
          <w:szCs w:val="32"/>
        </w:rPr>
        <w:t>用</w:t>
      </w:r>
      <w:r>
        <w:rPr>
          <w:rFonts w:ascii="Times New Roman" w:hAnsi="仿宋_GB2312" w:eastAsia="仿宋_GB2312" w:cs="Times New Roman"/>
          <w:sz w:val="32"/>
          <w:szCs w:val="32"/>
        </w:rPr>
        <w:t>工作餐，是认真贯彻落实中央、省、市关于提倡勤俭节约，杜绝铺张浪费，反对</w:t>
      </w:r>
      <w:r>
        <w:rPr>
          <w:rFonts w:ascii="Times New Roman" w:hAnsi="Times New Roman" w:eastAsia="仿宋_GB2312" w:cs="Times New Roman"/>
          <w:sz w:val="32"/>
          <w:szCs w:val="32"/>
        </w:rPr>
        <w:t>“</w:t>
      </w:r>
      <w:r>
        <w:rPr>
          <w:rFonts w:ascii="Times New Roman" w:hAnsi="仿宋_GB2312" w:eastAsia="仿宋_GB2312" w:cs="Times New Roman"/>
          <w:sz w:val="32"/>
          <w:szCs w:val="32"/>
        </w:rPr>
        <w:t>四风</w:t>
      </w:r>
      <w:r>
        <w:rPr>
          <w:rFonts w:ascii="Times New Roman" w:hAnsi="Times New Roman" w:eastAsia="仿宋_GB2312" w:cs="Times New Roman"/>
          <w:sz w:val="32"/>
          <w:szCs w:val="32"/>
        </w:rPr>
        <w:t>”</w:t>
      </w:r>
      <w:r>
        <w:rPr>
          <w:rFonts w:ascii="Times New Roman" w:hAnsi="仿宋_GB2312" w:eastAsia="仿宋_GB2312" w:cs="Times New Roman"/>
          <w:sz w:val="32"/>
          <w:szCs w:val="32"/>
        </w:rPr>
        <w:t>的具体体现。</w:t>
      </w:r>
    </w:p>
    <w:p w14:paraId="316C2A43">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3</w:t>
      </w:r>
      <w:r>
        <w:rPr>
          <w:rFonts w:ascii="Times New Roman" w:hAnsi="仿宋_GB2312" w:eastAsia="仿宋_GB2312" w:cs="Times New Roman"/>
          <w:sz w:val="32"/>
          <w:szCs w:val="32"/>
        </w:rPr>
        <w:t>）机关后勤保障工作有利于增加就业。</w:t>
      </w:r>
    </w:p>
    <w:p w14:paraId="7F538585">
      <w:pPr>
        <w:spacing w:line="560" w:lineRule="exact"/>
        <w:ind w:firstLine="640" w:firstLineChars="200"/>
        <w:rPr>
          <w:rFonts w:ascii="Times New Roman" w:hAnsi="仿宋_GB2312" w:eastAsia="仿宋_GB2312" w:cs="Times New Roman"/>
          <w:sz w:val="32"/>
          <w:szCs w:val="32"/>
        </w:rPr>
      </w:pPr>
      <w:r>
        <w:rPr>
          <w:rFonts w:ascii="Times New Roman" w:hAnsi="仿宋_GB2312" w:eastAsia="仿宋_GB2312" w:cs="Times New Roman"/>
          <w:sz w:val="32"/>
          <w:szCs w:val="32"/>
        </w:rPr>
        <w:t>食堂就业容量大</w:t>
      </w:r>
      <w:r>
        <w:rPr>
          <w:rFonts w:ascii="Times New Roman" w:hAnsi="Times New Roman" w:eastAsia="仿宋_GB2312" w:cs="Times New Roman"/>
          <w:sz w:val="32"/>
          <w:szCs w:val="32"/>
        </w:rPr>
        <w:t>,</w:t>
      </w:r>
      <w:r>
        <w:rPr>
          <w:rFonts w:ascii="Times New Roman" w:hAnsi="仿宋_GB2312" w:eastAsia="仿宋_GB2312" w:cs="Times New Roman"/>
          <w:sz w:val="32"/>
          <w:szCs w:val="32"/>
        </w:rPr>
        <w:t>对扩大就业具有重要作用。目前</w:t>
      </w:r>
      <w:r>
        <w:rPr>
          <w:rFonts w:ascii="Times New Roman" w:hAnsi="Times New Roman" w:eastAsia="仿宋_GB2312" w:cs="Times New Roman"/>
          <w:sz w:val="32"/>
          <w:szCs w:val="32"/>
        </w:rPr>
        <w:t>,</w:t>
      </w:r>
      <w:r>
        <w:rPr>
          <w:rFonts w:ascii="Times New Roman" w:hAnsi="仿宋_GB2312" w:eastAsia="仿宋_GB2312" w:cs="Times New Roman"/>
          <w:sz w:val="32"/>
          <w:szCs w:val="32"/>
        </w:rPr>
        <w:t>食堂吸纳的劳动力中大部分来自企</w:t>
      </w:r>
      <w:r>
        <w:rPr>
          <w:rFonts w:hint="eastAsia" w:ascii="Times New Roman" w:hAnsi="仿宋_GB2312" w:eastAsia="仿宋_GB2312" w:cs="Times New Roman"/>
          <w:sz w:val="32"/>
          <w:szCs w:val="32"/>
        </w:rPr>
        <w:t>水源区搬迁人员</w:t>
      </w:r>
      <w:r>
        <w:rPr>
          <w:rFonts w:ascii="Times New Roman" w:hAnsi="仿宋_GB2312" w:eastAsia="仿宋_GB2312" w:cs="Times New Roman"/>
          <w:sz w:val="32"/>
          <w:szCs w:val="32"/>
        </w:rPr>
        <w:t>、农村剩余劳动力及部队复转军人等</w:t>
      </w:r>
      <w:r>
        <w:rPr>
          <w:rFonts w:ascii="Times New Roman" w:hAnsi="Times New Roman" w:eastAsia="仿宋_GB2312" w:cs="Times New Roman"/>
          <w:sz w:val="32"/>
          <w:szCs w:val="32"/>
        </w:rPr>
        <w:t>,</w:t>
      </w:r>
      <w:r>
        <w:rPr>
          <w:rFonts w:ascii="Times New Roman" w:hAnsi="仿宋_GB2312" w:eastAsia="仿宋_GB2312" w:cs="Times New Roman"/>
          <w:sz w:val="32"/>
          <w:szCs w:val="32"/>
        </w:rPr>
        <w:t>对于缓解就业矛盾作出了重要贡献，对增加就业将起到积极的推动作用。</w:t>
      </w:r>
      <w:bookmarkStart w:id="26" w:name="_Toc15855"/>
    </w:p>
    <w:p w14:paraId="5F589A28">
      <w:pPr>
        <w:numPr>
          <w:ilvl w:val="0"/>
          <w:numId w:val="3"/>
        </w:numPr>
        <w:spacing w:line="560" w:lineRule="exact"/>
        <w:ind w:firstLine="640" w:firstLineChars="200"/>
        <w:rPr>
          <w:rFonts w:ascii="Times New Roman" w:hAnsi="黑体" w:eastAsia="黑体" w:cs="Times New Roman"/>
          <w:kern w:val="44"/>
          <w:sz w:val="32"/>
          <w:szCs w:val="32"/>
        </w:rPr>
      </w:pPr>
      <w:r>
        <w:rPr>
          <w:rFonts w:ascii="Times New Roman" w:hAnsi="黑体" w:eastAsia="黑体" w:cs="Times New Roman"/>
          <w:kern w:val="44"/>
          <w:sz w:val="32"/>
          <w:szCs w:val="32"/>
        </w:rPr>
        <w:t>项目主要经验及做法、存在的问题和建议</w:t>
      </w:r>
      <w:bookmarkEnd w:id="26"/>
      <w:bookmarkStart w:id="27" w:name="_Toc13701"/>
    </w:p>
    <w:p w14:paraId="0417A9AF">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（一）主要经验及做法</w:t>
      </w:r>
      <w:bookmarkEnd w:id="27"/>
    </w:p>
    <w:p w14:paraId="31A4039B">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1.强化组织领导</w:t>
      </w:r>
    </w:p>
    <w:p w14:paraId="301B5236">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成立由部门负责人任组长的绩效评价领导小组，保证了财政支出绩效评价各项工作的顺利开展。</w:t>
      </w:r>
    </w:p>
    <w:p w14:paraId="445561B5">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2.加强学习，强化绩效管理的理念</w:t>
      </w:r>
    </w:p>
    <w:p w14:paraId="085B40F8">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认真学习财政部《关于推进预算绩效管理的指导意见》（财预〔2014〕416号）、《云南省省级部门财政支出绩效办法》（云财预〔2016〕98号）、《盘龙区区级部门预算绩效自评管理暂行办法》、《昆明市盘龙区财政局关于开展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2022</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相关绩效管理文件，吃透文件精神，强化绩效管理的理念。</w:t>
      </w:r>
    </w:p>
    <w:p w14:paraId="1E8AE42E">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3.创新方式，落实责任</w:t>
      </w:r>
    </w:p>
    <w:p w14:paraId="669DBD84">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创新管理方式，落实岗位责任制，夯实基础工作，突出工作重点，强化制度建设，推动本单位预算绩效管理各项工作齐头并进。</w:t>
      </w:r>
      <w:bookmarkStart w:id="28" w:name="_（二）存在的问题_1"/>
      <w:bookmarkStart w:id="29" w:name="_Toc32098"/>
    </w:p>
    <w:p w14:paraId="07706DC4">
      <w:pPr>
        <w:widowControl/>
        <w:shd w:val="clear" w:color="auto" w:fill="FFFFFF"/>
        <w:spacing w:line="560" w:lineRule="exact"/>
        <w:ind w:firstLine="420" w:firstLineChars="200"/>
        <w:jc w:val="left"/>
        <w:outlineLvl w:val="2"/>
        <w:rPr>
          <w:rFonts w:ascii="Times New Roman" w:hAnsi="Times New Roman" w:eastAsia="楷体_GB2312" w:cs="Times New Roman"/>
          <w:sz w:val="32"/>
          <w:szCs w:val="32"/>
        </w:rPr>
      </w:pPr>
      <w:r>
        <w:fldChar w:fldCharType="begin"/>
      </w:r>
      <w:r>
        <w:instrText xml:space="preserve"> HYPERLINK \l "_（二）存在的问题_1" </w:instrText>
      </w:r>
      <w:r>
        <w:fldChar w:fldCharType="separate"/>
      </w:r>
      <w:r>
        <w:rPr>
          <w:rStyle w:val="14"/>
          <w:rFonts w:ascii="Times New Roman" w:hAnsi="Times New Roman" w:eastAsia="楷体_GB2312" w:cs="Times New Roman"/>
          <w:color w:val="auto"/>
          <w:sz w:val="32"/>
          <w:szCs w:val="32"/>
          <w:u w:val="none"/>
        </w:rPr>
        <w:t>（二）存在的问题</w:t>
      </w:r>
      <w:r>
        <w:rPr>
          <w:rStyle w:val="14"/>
          <w:rFonts w:ascii="Times New Roman" w:hAnsi="Times New Roman" w:eastAsia="楷体_GB2312" w:cs="Times New Roman"/>
          <w:color w:val="auto"/>
          <w:sz w:val="32"/>
          <w:szCs w:val="32"/>
          <w:u w:val="none"/>
        </w:rPr>
        <w:fldChar w:fldCharType="end"/>
      </w:r>
      <w:bookmarkEnd w:id="28"/>
      <w:bookmarkEnd w:id="29"/>
    </w:p>
    <w:p w14:paraId="0561A1E3">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1.业务补助经费主要用于机关食堂运行维护费用支出，因地点分散及服务对象众多，我单位对工作人员和服务的监管相对薄弱，考核评价体系及相应制度</w:t>
      </w:r>
      <w:r>
        <w:rPr>
          <w:rFonts w:hint="eastAsia" w:ascii="Times New Roman" w:hAnsi="Times New Roman" w:eastAsia="仿宋_GB2312" w:cs="Times New Roman"/>
          <w:color w:val="333333"/>
          <w:kern w:val="0"/>
          <w:sz w:val="32"/>
          <w:szCs w:val="32"/>
        </w:rPr>
        <w:t>有待进一步完善</w:t>
      </w:r>
      <w:r>
        <w:rPr>
          <w:rFonts w:ascii="Times New Roman" w:hAnsi="Times New Roman" w:eastAsia="仿宋_GB2312" w:cs="Times New Roman"/>
          <w:color w:val="333333"/>
          <w:kern w:val="0"/>
          <w:sz w:val="32"/>
          <w:szCs w:val="32"/>
        </w:rPr>
        <w:t>。</w:t>
      </w:r>
    </w:p>
    <w:p w14:paraId="4C01CB66">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2.为避免工作中出现矛盾，大部分人员的工资水平差距不大，致使部分人员的薪资水平与社会平均工资差异较大，使得这部分人工作积极性难以提高。</w:t>
      </w:r>
    </w:p>
    <w:p w14:paraId="586144B7">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3.因工资水平整体偏低，致使日常工作中人员流动性较大，部分人员的综合素质不高，在服务质量上和干部职工的要求还有差距。</w:t>
      </w:r>
      <w:bookmarkStart w:id="30" w:name="_Toc20639"/>
    </w:p>
    <w:p w14:paraId="7587CE1A">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（三）建议和改进措施</w:t>
      </w:r>
      <w:bookmarkEnd w:id="30"/>
    </w:p>
    <w:p w14:paraId="750C3B13">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14:paraId="5979FC97">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2.根据不同工作岗位的重要性、工作量、专业技术水平等，制定更加合理的薪资标准，不断激励并倡导所有人员</w:t>
      </w:r>
      <w:r>
        <w:rPr>
          <w:rFonts w:hint="eastAsia" w:ascii="Times New Roman" w:hAnsi="Times New Roman" w:eastAsia="仿宋_GB2312" w:cs="Times New Roman"/>
          <w:color w:val="333333"/>
          <w:kern w:val="0"/>
          <w:sz w:val="32"/>
          <w:szCs w:val="32"/>
        </w:rPr>
        <w:t>不断学习进步</w:t>
      </w:r>
      <w:r>
        <w:rPr>
          <w:rFonts w:ascii="Times New Roman" w:hAnsi="Times New Roman" w:eastAsia="仿宋_GB2312" w:cs="Times New Roman"/>
          <w:color w:val="333333"/>
          <w:kern w:val="0"/>
          <w:sz w:val="32"/>
          <w:szCs w:val="32"/>
        </w:rPr>
        <w:t>。</w:t>
      </w:r>
    </w:p>
    <w:p w14:paraId="1ACA01E8">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hint="eastAsia" w:ascii="Times New Roman" w:hAnsi="Times New Roman" w:eastAsia="仿宋_GB2312" w:cs="Times New Roman"/>
          <w:color w:val="333333"/>
          <w:kern w:val="0"/>
          <w:sz w:val="32"/>
          <w:szCs w:val="32"/>
        </w:rPr>
        <w:t>3</w:t>
      </w:r>
      <w:r>
        <w:rPr>
          <w:rFonts w:ascii="Times New Roman" w:hAnsi="Times New Roman" w:eastAsia="仿宋_GB2312" w:cs="Times New Roman"/>
          <w:color w:val="333333"/>
          <w:kern w:val="0"/>
          <w:sz w:val="32"/>
          <w:szCs w:val="32"/>
        </w:rPr>
        <w:t>.积极探索向社会购买服务的模式，继续扩大机关后勤服务社会化程度，由服务提供者向监管者转变。</w:t>
      </w:r>
    </w:p>
    <w:p w14:paraId="307ACABE">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9B40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0253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F7A90">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15628">
    <w:pPr>
      <w:pStyle w:val="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377E66">
                          <w:pPr>
                            <w:pStyle w:val="6"/>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wrap="none" lIns="0" tIns="0" rIns="0" bIns="0" upright="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D0zskBAACZ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k&#10;Su3pPdSY9ewxLw73bsClmf2AzqR6kMGkL+ohGMfmni7NFUMkPD2qVlVVYohjbL4gfvHy3AeI74Uz&#10;JBkNDTi93FR2fIQ4ps4pqZp1D0rrPEFt/3IgZvIUifvIMVlx2A2ToJ1rT6inx8E31OKeU6I/WOxr&#10;2pHZCLOxm42DD2rfIbVl5gX+7hCRROaWKoywU2GcWFY3bVdaiT/vOevlj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E8PTOyQEAAJkDAAAOAAAAAAAAAAEAIAAAAB4BAABkcnMvZTJvRG9j&#10;LnhtbFBLBQYAAAAABgAGAFkBAABZBQAAAAA=&#10;">
              <v:fill on="f" focussize="0,0"/>
              <v:stroke on="f"/>
              <v:imagedata o:title=""/>
              <o:lock v:ext="edit" aspectratio="f"/>
              <v:textbox inset="0mm,0mm,0mm,0mm" style="mso-fit-shape-to-text:t;">
                <w:txbxContent>
                  <w:p w14:paraId="77377E66">
                    <w:pPr>
                      <w:pStyle w:val="6"/>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313DC">
    <w:pPr>
      <w:pStyle w:val="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E0D95C"/>
    <w:multiLevelType w:val="singleLevel"/>
    <w:tmpl w:val="85E0D95C"/>
    <w:lvl w:ilvl="0" w:tentative="0">
      <w:start w:val="1"/>
      <w:numFmt w:val="chineseCounting"/>
      <w:suff w:val="nothing"/>
      <w:lvlText w:val="%1、"/>
      <w:lvlJc w:val="left"/>
      <w:rPr>
        <w:rFonts w:hint="eastAsia" w:ascii="黑体" w:hAnsi="黑体" w:eastAsia="黑体" w:cs="黑体"/>
      </w:rPr>
    </w:lvl>
  </w:abstractNum>
  <w:abstractNum w:abstractNumId="1">
    <w:nsid w:val="A7DA7518"/>
    <w:multiLevelType w:val="singleLevel"/>
    <w:tmpl w:val="A7DA7518"/>
    <w:lvl w:ilvl="0" w:tentative="0">
      <w:start w:val="2"/>
      <w:numFmt w:val="chineseCounting"/>
      <w:suff w:val="nothing"/>
      <w:lvlText w:val="（%1）"/>
      <w:lvlJc w:val="left"/>
      <w:rPr>
        <w:rFonts w:hint="eastAsia"/>
      </w:rPr>
    </w:lvl>
  </w:abstractNum>
  <w:abstractNum w:abstractNumId="2">
    <w:nsid w:val="6435C3DC"/>
    <w:multiLevelType w:val="singleLevel"/>
    <w:tmpl w:val="6435C3DC"/>
    <w:lvl w:ilvl="0" w:tentative="0">
      <w:start w:val="3"/>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D6"/>
    <w:rsid w:val="000067C5"/>
    <w:rsid w:val="00016188"/>
    <w:rsid w:val="000228DC"/>
    <w:rsid w:val="0003079A"/>
    <w:rsid w:val="00052DD1"/>
    <w:rsid w:val="00064085"/>
    <w:rsid w:val="00065FAB"/>
    <w:rsid w:val="000A189D"/>
    <w:rsid w:val="000C23F4"/>
    <w:rsid w:val="000D4284"/>
    <w:rsid w:val="000E03E5"/>
    <w:rsid w:val="00125208"/>
    <w:rsid w:val="00125431"/>
    <w:rsid w:val="00126F57"/>
    <w:rsid w:val="0013249A"/>
    <w:rsid w:val="0013320E"/>
    <w:rsid w:val="00161615"/>
    <w:rsid w:val="00176E0C"/>
    <w:rsid w:val="0017797D"/>
    <w:rsid w:val="001A07AF"/>
    <w:rsid w:val="001B7840"/>
    <w:rsid w:val="001D7066"/>
    <w:rsid w:val="001E6CD3"/>
    <w:rsid w:val="002A7442"/>
    <w:rsid w:val="003033E8"/>
    <w:rsid w:val="00370834"/>
    <w:rsid w:val="003759C8"/>
    <w:rsid w:val="00382F35"/>
    <w:rsid w:val="003A6B1A"/>
    <w:rsid w:val="00404B4C"/>
    <w:rsid w:val="004424D2"/>
    <w:rsid w:val="004641D6"/>
    <w:rsid w:val="0046763C"/>
    <w:rsid w:val="004B2FAD"/>
    <w:rsid w:val="004F1C6A"/>
    <w:rsid w:val="00517F76"/>
    <w:rsid w:val="00540427"/>
    <w:rsid w:val="005457FD"/>
    <w:rsid w:val="00560CAF"/>
    <w:rsid w:val="00566D4A"/>
    <w:rsid w:val="00581C86"/>
    <w:rsid w:val="005A5C58"/>
    <w:rsid w:val="005B595F"/>
    <w:rsid w:val="005C46F2"/>
    <w:rsid w:val="00625C2D"/>
    <w:rsid w:val="006272BF"/>
    <w:rsid w:val="00633A67"/>
    <w:rsid w:val="00636E7D"/>
    <w:rsid w:val="006455AF"/>
    <w:rsid w:val="00647808"/>
    <w:rsid w:val="00684C7D"/>
    <w:rsid w:val="006C6157"/>
    <w:rsid w:val="00702B18"/>
    <w:rsid w:val="00711002"/>
    <w:rsid w:val="00750121"/>
    <w:rsid w:val="0075317D"/>
    <w:rsid w:val="00753A9C"/>
    <w:rsid w:val="00797B22"/>
    <w:rsid w:val="007A2583"/>
    <w:rsid w:val="007A54AC"/>
    <w:rsid w:val="007C61D5"/>
    <w:rsid w:val="007F12BD"/>
    <w:rsid w:val="007F16C0"/>
    <w:rsid w:val="007F2B86"/>
    <w:rsid w:val="007F4380"/>
    <w:rsid w:val="0084602A"/>
    <w:rsid w:val="00862191"/>
    <w:rsid w:val="00874737"/>
    <w:rsid w:val="008A1F73"/>
    <w:rsid w:val="008E639C"/>
    <w:rsid w:val="008F235D"/>
    <w:rsid w:val="00912263"/>
    <w:rsid w:val="009514E1"/>
    <w:rsid w:val="009647CC"/>
    <w:rsid w:val="009845E8"/>
    <w:rsid w:val="00A079AD"/>
    <w:rsid w:val="00A169DA"/>
    <w:rsid w:val="00A246C6"/>
    <w:rsid w:val="00A340FE"/>
    <w:rsid w:val="00A53BF3"/>
    <w:rsid w:val="00A55682"/>
    <w:rsid w:val="00A766EB"/>
    <w:rsid w:val="00AA0784"/>
    <w:rsid w:val="00AC66B6"/>
    <w:rsid w:val="00B119F6"/>
    <w:rsid w:val="00B756D2"/>
    <w:rsid w:val="00B90055"/>
    <w:rsid w:val="00BB42A4"/>
    <w:rsid w:val="00BC16C8"/>
    <w:rsid w:val="00BD3A6A"/>
    <w:rsid w:val="00BE5D8B"/>
    <w:rsid w:val="00C331EC"/>
    <w:rsid w:val="00C52C64"/>
    <w:rsid w:val="00C94D6F"/>
    <w:rsid w:val="00CA1539"/>
    <w:rsid w:val="00CB5F00"/>
    <w:rsid w:val="00CC3DEA"/>
    <w:rsid w:val="00CD4325"/>
    <w:rsid w:val="00D23DD1"/>
    <w:rsid w:val="00D31FE5"/>
    <w:rsid w:val="00D334D3"/>
    <w:rsid w:val="00D8264F"/>
    <w:rsid w:val="00DB3B05"/>
    <w:rsid w:val="00DC164C"/>
    <w:rsid w:val="00DD1F9F"/>
    <w:rsid w:val="00E131B3"/>
    <w:rsid w:val="00E23CD1"/>
    <w:rsid w:val="00E24D83"/>
    <w:rsid w:val="00E44D2C"/>
    <w:rsid w:val="00E54629"/>
    <w:rsid w:val="00E76CAF"/>
    <w:rsid w:val="00E82695"/>
    <w:rsid w:val="00E854E6"/>
    <w:rsid w:val="00E9458B"/>
    <w:rsid w:val="00E94B83"/>
    <w:rsid w:val="00EB6335"/>
    <w:rsid w:val="00EF2A7D"/>
    <w:rsid w:val="00EF46C1"/>
    <w:rsid w:val="00F46785"/>
    <w:rsid w:val="00F65B66"/>
    <w:rsid w:val="00F722B8"/>
    <w:rsid w:val="00FC6E77"/>
    <w:rsid w:val="00FF14B8"/>
    <w:rsid w:val="06174A0E"/>
    <w:rsid w:val="0B200BBD"/>
    <w:rsid w:val="0BA7376B"/>
    <w:rsid w:val="0CA674F8"/>
    <w:rsid w:val="0CB133F8"/>
    <w:rsid w:val="0CEC0DCB"/>
    <w:rsid w:val="0D9B5F72"/>
    <w:rsid w:val="0FAC3627"/>
    <w:rsid w:val="10C94D5A"/>
    <w:rsid w:val="113518E6"/>
    <w:rsid w:val="165E2398"/>
    <w:rsid w:val="17D07B0F"/>
    <w:rsid w:val="18957DC1"/>
    <w:rsid w:val="1A6208A0"/>
    <w:rsid w:val="1C14219E"/>
    <w:rsid w:val="1D8E01DF"/>
    <w:rsid w:val="22101167"/>
    <w:rsid w:val="23DA27E5"/>
    <w:rsid w:val="25AD0FFF"/>
    <w:rsid w:val="26F6482F"/>
    <w:rsid w:val="27DB65C5"/>
    <w:rsid w:val="2A77636F"/>
    <w:rsid w:val="2D4F671D"/>
    <w:rsid w:val="32D677E9"/>
    <w:rsid w:val="340F5E43"/>
    <w:rsid w:val="35C8327C"/>
    <w:rsid w:val="3998162A"/>
    <w:rsid w:val="3BAF52E8"/>
    <w:rsid w:val="3E52597B"/>
    <w:rsid w:val="41612812"/>
    <w:rsid w:val="4443640D"/>
    <w:rsid w:val="47C72C0F"/>
    <w:rsid w:val="49774410"/>
    <w:rsid w:val="4D391862"/>
    <w:rsid w:val="4DB13B20"/>
    <w:rsid w:val="4F912761"/>
    <w:rsid w:val="55633DC9"/>
    <w:rsid w:val="57D31B65"/>
    <w:rsid w:val="58555460"/>
    <w:rsid w:val="5A711500"/>
    <w:rsid w:val="5B796C58"/>
    <w:rsid w:val="60DA0F38"/>
    <w:rsid w:val="6367521B"/>
    <w:rsid w:val="63C30F86"/>
    <w:rsid w:val="66172798"/>
    <w:rsid w:val="676C6B9F"/>
    <w:rsid w:val="682060D5"/>
    <w:rsid w:val="68696F6B"/>
    <w:rsid w:val="68D66149"/>
    <w:rsid w:val="68EA668B"/>
    <w:rsid w:val="69ED17AF"/>
    <w:rsid w:val="6AE22D92"/>
    <w:rsid w:val="6DB91709"/>
    <w:rsid w:val="6FA86684"/>
    <w:rsid w:val="71C107E9"/>
    <w:rsid w:val="72032ABB"/>
    <w:rsid w:val="73CB53E3"/>
    <w:rsid w:val="76263CDC"/>
    <w:rsid w:val="770A4EDC"/>
    <w:rsid w:val="77393590"/>
    <w:rsid w:val="774342DA"/>
    <w:rsid w:val="79686FAE"/>
    <w:rsid w:val="79BB02BD"/>
    <w:rsid w:val="79EA2473"/>
    <w:rsid w:val="7A4D6938"/>
    <w:rsid w:val="7BDD0399"/>
    <w:rsid w:val="7CD84B42"/>
    <w:rsid w:val="7D836E66"/>
    <w:rsid w:val="7E2B7728"/>
    <w:rsid w:val="7E947B8D"/>
    <w:rsid w:val="7F022BD3"/>
    <w:rsid w:val="7F7C494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widowControl/>
      <w:jc w:val="left"/>
      <w:outlineLvl w:val="0"/>
    </w:pPr>
    <w:rPr>
      <w:rFonts w:ascii="宋体" w:hAnsi="宋体" w:eastAsia="宋体" w:cs="宋体"/>
      <w:b/>
      <w:bCs/>
      <w:kern w:val="36"/>
      <w:sz w:val="48"/>
      <w:szCs w:val="48"/>
    </w:rPr>
  </w:style>
  <w:style w:type="paragraph" w:styleId="3">
    <w:name w:val="heading 2"/>
    <w:basedOn w:val="1"/>
    <w:next w:val="1"/>
    <w:link w:val="16"/>
    <w:qFormat/>
    <w:uiPriority w:val="9"/>
    <w:pPr>
      <w:widowControl/>
      <w:jc w:val="left"/>
      <w:outlineLvl w:val="1"/>
    </w:pPr>
    <w:rPr>
      <w:rFonts w:ascii="宋体" w:hAnsi="宋体" w:eastAsia="宋体" w:cs="宋体"/>
      <w:b/>
      <w:bCs/>
      <w:kern w:val="0"/>
      <w:sz w:val="36"/>
      <w:szCs w:val="36"/>
    </w:rPr>
  </w:style>
  <w:style w:type="paragraph" w:styleId="4">
    <w:name w:val="heading 3"/>
    <w:basedOn w:val="1"/>
    <w:next w:val="1"/>
    <w:link w:val="17"/>
    <w:qFormat/>
    <w:uiPriority w:val="9"/>
    <w:pPr>
      <w:widowControl/>
      <w:jc w:val="left"/>
      <w:outlineLvl w:val="2"/>
    </w:pPr>
    <w:rPr>
      <w:rFonts w:ascii="宋体" w:hAnsi="宋体" w:eastAsia="宋体" w:cs="宋体"/>
      <w:b/>
      <w:bCs/>
      <w:kern w:val="0"/>
      <w:sz w:val="27"/>
      <w:szCs w:val="27"/>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1"/>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tabs>
        <w:tab w:val="right" w:leader="dot" w:pos="8296"/>
      </w:tabs>
      <w:jc w:val="center"/>
    </w:pPr>
    <w:rPr>
      <w:rFonts w:ascii="Times New Roman" w:hAnsi="Times New Roman" w:eastAsia="黑体" w:cs="Times New Roman"/>
      <w:sz w:val="36"/>
    </w:rPr>
  </w:style>
  <w:style w:type="paragraph" w:styleId="9">
    <w:name w:val="toc 2"/>
    <w:basedOn w:val="1"/>
    <w:next w:val="1"/>
    <w:unhideWhenUsed/>
    <w:qFormat/>
    <w:uiPriority w:val="39"/>
    <w:pPr>
      <w:ind w:left="420" w:leftChars="200"/>
    </w:pPr>
  </w:style>
  <w:style w:type="paragraph" w:styleId="10">
    <w:name w:val="Normal (Web)"/>
    <w:basedOn w:val="1"/>
    <w:unhideWhenUsed/>
    <w:qFormat/>
    <w:uiPriority w:val="99"/>
    <w:pPr>
      <w:widowControl/>
      <w:jc w:val="left"/>
    </w:pPr>
    <w:rPr>
      <w:rFonts w:ascii="宋体" w:hAnsi="宋体" w:eastAsia="宋体" w:cs="宋体"/>
      <w:kern w:val="0"/>
      <w:sz w:val="24"/>
      <w:szCs w:val="24"/>
    </w:r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rPr>
  </w:style>
  <w:style w:type="character" w:customStyle="1" w:styleId="15">
    <w:name w:val="标题 1 Char"/>
    <w:basedOn w:val="12"/>
    <w:link w:val="2"/>
    <w:qFormat/>
    <w:uiPriority w:val="9"/>
    <w:rPr>
      <w:rFonts w:ascii="宋体" w:hAnsi="宋体" w:eastAsia="宋体" w:cs="宋体"/>
      <w:b/>
      <w:bCs/>
      <w:kern w:val="36"/>
      <w:sz w:val="48"/>
      <w:szCs w:val="48"/>
    </w:rPr>
  </w:style>
  <w:style w:type="character" w:customStyle="1" w:styleId="16">
    <w:name w:val="标题 2 Char"/>
    <w:basedOn w:val="12"/>
    <w:link w:val="3"/>
    <w:qFormat/>
    <w:uiPriority w:val="9"/>
    <w:rPr>
      <w:rFonts w:ascii="宋体" w:hAnsi="宋体" w:eastAsia="宋体" w:cs="宋体"/>
      <w:b/>
      <w:bCs/>
      <w:kern w:val="0"/>
      <w:sz w:val="36"/>
      <w:szCs w:val="36"/>
    </w:rPr>
  </w:style>
  <w:style w:type="character" w:customStyle="1" w:styleId="17">
    <w:name w:val="标题 3 Char"/>
    <w:basedOn w:val="12"/>
    <w:link w:val="4"/>
    <w:qFormat/>
    <w:uiPriority w:val="9"/>
    <w:rPr>
      <w:rFonts w:ascii="宋体" w:hAnsi="宋体" w:eastAsia="宋体" w:cs="宋体"/>
      <w:b/>
      <w:bCs/>
      <w:kern w:val="0"/>
      <w:sz w:val="27"/>
      <w:szCs w:val="27"/>
    </w:rPr>
  </w:style>
  <w:style w:type="character" w:customStyle="1" w:styleId="18">
    <w:name w:val="页眉 Char"/>
    <w:basedOn w:val="12"/>
    <w:link w:val="7"/>
    <w:qFormat/>
    <w:uiPriority w:val="99"/>
    <w:rPr>
      <w:sz w:val="18"/>
      <w:szCs w:val="18"/>
    </w:rPr>
  </w:style>
  <w:style w:type="character" w:customStyle="1" w:styleId="19">
    <w:name w:val="页脚 Char"/>
    <w:basedOn w:val="12"/>
    <w:link w:val="6"/>
    <w:qFormat/>
    <w:uiPriority w:val="99"/>
    <w:rPr>
      <w:sz w:val="18"/>
      <w:szCs w:val="18"/>
    </w:rPr>
  </w:style>
  <w:style w:type="paragraph" w:customStyle="1" w:styleId="2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21">
    <w:name w:val="批注框文本 Char"/>
    <w:basedOn w:val="12"/>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5205E6-89AA-4BBE-AB18-C298B77B8DB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5391</Words>
  <Characters>5591</Characters>
  <Lines>16</Lines>
  <Paragraphs>14</Paragraphs>
  <TotalTime>36</TotalTime>
  <ScaleCrop>false</ScaleCrop>
  <LinksUpToDate>false</LinksUpToDate>
  <CharactersWithSpaces>5639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景鸿成</cp:lastModifiedBy>
  <cp:lastPrinted>2022-04-28T01:18:00Z</cp:lastPrinted>
  <dcterms:modified xsi:type="dcterms:W3CDTF">2025-06-26T10:33:24Z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49605C98F52844C3995A65CFBF463EB7_13</vt:lpwstr>
  </property>
  <property fmtid="{D5CDD505-2E9C-101B-9397-08002B2CF9AE}" pid="4" name="KSOTemplateDocerSaveRecord">
    <vt:lpwstr>eyJoZGlkIjoiY2JlNzQyMzg5YmZjMjE5ZTE1MTdiMzJkYzQxNmE5NDciLCJ1c2VySWQiOiIyNTkzNDUzOTYifQ==</vt:lpwstr>
  </property>
</Properties>
</file>