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2F59E">
      <w:pPr>
        <w:spacing w:line="520" w:lineRule="exact"/>
        <w:ind w:left="840" w:hanging="840" w:hangingChars="300"/>
        <w:jc w:val="left"/>
        <w:rPr>
          <w:rFonts w:ascii="方正小标宋_GBK" w:hAnsi="Calibri" w:eastAsia="方正小标宋_GBK" w:cs="Times New Roman"/>
          <w:sz w:val="28"/>
          <w:szCs w:val="28"/>
        </w:rPr>
      </w:pPr>
    </w:p>
    <w:p w14:paraId="7F1BD98F"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52"/>
          <w:szCs w:val="52"/>
        </w:rPr>
      </w:pPr>
    </w:p>
    <w:p w14:paraId="61D73747">
      <w:pPr>
        <w:tabs>
          <w:tab w:val="left" w:pos="1215"/>
        </w:tabs>
        <w:spacing w:line="360" w:lineRule="auto"/>
        <w:jc w:val="center"/>
        <w:rPr>
          <w:rFonts w:hint="eastAsia" w:ascii="方正小标宋_GBK" w:hAnsi="Calibri" w:eastAsia="方正小标宋_GBK" w:cs="Calibri"/>
          <w:b/>
          <w:bCs/>
          <w:sz w:val="44"/>
          <w:szCs w:val="44"/>
          <w:lang w:eastAsia="zh-CN"/>
        </w:rPr>
      </w:pPr>
    </w:p>
    <w:p w14:paraId="1044DCCC">
      <w:pPr>
        <w:tabs>
          <w:tab w:val="left" w:pos="1215"/>
        </w:tabs>
        <w:spacing w:line="360" w:lineRule="auto"/>
        <w:jc w:val="center"/>
        <w:rPr>
          <w:rFonts w:ascii="方正小标宋_GBK" w:hAnsi="Calibri" w:eastAsia="方正小标宋_GBK" w:cs="Calibri"/>
          <w:b/>
          <w:bCs/>
          <w:sz w:val="44"/>
          <w:szCs w:val="44"/>
        </w:rPr>
      </w:pPr>
      <w:r>
        <w:rPr>
          <w:rFonts w:hint="eastAsia" w:ascii="方正小标宋_GBK" w:hAnsi="Calibri" w:eastAsia="方正小标宋_GBK" w:cs="Calibri"/>
          <w:b/>
          <w:bCs/>
          <w:sz w:val="44"/>
          <w:szCs w:val="44"/>
          <w:lang w:eastAsia="zh-CN"/>
        </w:rPr>
        <w:t>业务补助经费</w:t>
      </w: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项目支出绩效自评报告</w:t>
      </w:r>
    </w:p>
    <w:p w14:paraId="132427EC">
      <w:pPr>
        <w:tabs>
          <w:tab w:val="left" w:pos="1215"/>
        </w:tabs>
        <w:spacing w:line="360" w:lineRule="auto"/>
        <w:jc w:val="center"/>
        <w:rPr>
          <w:rFonts w:ascii="方正小标宋_GBK" w:hAnsi="Calibri" w:eastAsia="方正小标宋_GBK" w:cs="Calibri"/>
          <w:b/>
          <w:bCs/>
          <w:sz w:val="44"/>
          <w:szCs w:val="44"/>
        </w:rPr>
      </w:pP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（</w:t>
      </w:r>
      <w:r>
        <w:rPr>
          <w:rFonts w:hint="eastAsia" w:ascii="方正小标宋_GBK" w:hAnsi="Calibri" w:eastAsia="方正小标宋_GBK" w:cs="Calibri"/>
          <w:b/>
          <w:bCs/>
          <w:sz w:val="44"/>
          <w:szCs w:val="44"/>
          <w:lang w:eastAsia="zh-CN"/>
        </w:rPr>
        <w:t>2019年</w:t>
      </w:r>
      <w:r>
        <w:rPr>
          <w:rFonts w:hint="eastAsia" w:ascii="方正小标宋_GBK" w:hAnsi="Calibri" w:eastAsia="方正小标宋_GBK" w:cs="Calibri"/>
          <w:b/>
          <w:bCs/>
          <w:sz w:val="44"/>
          <w:szCs w:val="44"/>
        </w:rPr>
        <w:t>度）</w:t>
      </w:r>
    </w:p>
    <w:p w14:paraId="38595773"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52"/>
          <w:szCs w:val="52"/>
        </w:rPr>
      </w:pPr>
    </w:p>
    <w:p w14:paraId="7B0632D4">
      <w:pPr>
        <w:spacing w:before="120" w:after="120" w:line="48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69E145E1">
      <w:pPr>
        <w:spacing w:before="120" w:after="120" w:line="480" w:lineRule="auto"/>
        <w:jc w:val="center"/>
        <w:rPr>
          <w:rFonts w:ascii="Times New Roman" w:hAnsi="Times New Roman" w:eastAsia="宋体" w:cs="Times New Roman"/>
          <w:b/>
          <w:bCs/>
          <w:sz w:val="44"/>
          <w:szCs w:val="44"/>
        </w:rPr>
      </w:pPr>
    </w:p>
    <w:p w14:paraId="5B758054">
      <w:pPr>
        <w:spacing w:before="120" w:after="120" w:line="480" w:lineRule="auto"/>
        <w:jc w:val="center"/>
        <w:rPr>
          <w:rFonts w:ascii="Times New Roman" w:hAnsi="Times New Roman" w:eastAsia="黑体" w:cs="Times New Roman"/>
          <w:b/>
          <w:bCs/>
          <w:sz w:val="44"/>
          <w:szCs w:val="44"/>
        </w:rPr>
      </w:pPr>
    </w:p>
    <w:p w14:paraId="7E56A885"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2371725</wp:posOffset>
                </wp:positionH>
                <wp:positionV relativeFrom="paragraph">
                  <wp:posOffset>196215</wp:posOffset>
                </wp:positionV>
                <wp:extent cx="2495550" cy="0"/>
                <wp:effectExtent l="0" t="4445" r="0" b="508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86.75pt;margin-top:15.45pt;height:0pt;width:196.5pt;z-index:251660288;mso-width-relative:page;mso-height-relative:page;" filled="f" stroked="t" coordsize="21600,21600" o:gfxdata="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l6lyg1wAAAAkBAAAPAAAAAAAAAAEAIAAAACIAAABkcnMvZG93bnJldi54bWxQ&#10;SwECFAAUAAAACACHTuJAYjGlSfgBAADMAwAADgAAAAAAAAABACAAAAAm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部门名称（公章）：昆明市盘龙区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机关事务管理服务中心</w:t>
      </w:r>
    </w:p>
    <w:p w14:paraId="1E8846D2"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黑体"/>
          <w:b/>
          <w:bCs/>
          <w:sz w:val="28"/>
          <w:szCs w:val="28"/>
          <w:u w:val="single"/>
          <w:lang w:val="en-US"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221615</wp:posOffset>
                </wp:positionV>
                <wp:extent cx="2495550" cy="0"/>
                <wp:effectExtent l="0" t="4445" r="0" b="5080"/>
                <wp:wrapNone/>
                <wp:docPr id="4" name="直接箭头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7.45pt;height:0pt;width:196.5pt;z-index:251661312;mso-width-relative:page;mso-height-relative:page;" filled="f" stroked="t" coordsize="21600,21600" o:gfxdata="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GEXYNcAAAAJAQAADwAAAAAAAAABACAAAAAiAAAAZHJzL2Rvd25yZXYueG1s&#10;UEsBAhQAFAAAAAgAh07iQIsnMEP5AQAAzA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项目单位：昆明市盘龙区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机关事务管理服务中心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val="en-US" w:eastAsia="zh-CN"/>
        </w:rPr>
        <w:t xml:space="preserve">   </w:t>
      </w:r>
    </w:p>
    <w:p w14:paraId="406C1B20"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4445" r="0" b="508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2336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CC/u9cAAAAJAQAADwAAAAAAAAABACAAAAAiAAAAZHJzL2Rvd25yZXYueG1s&#10;UEsBAhQAFAAAAAgAh07iQBRH23b5AQAAzA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主管部门：昆明市盘龙区</w:t>
      </w:r>
      <w:r>
        <w:rPr>
          <w:rFonts w:hint="eastAsia" w:ascii="Times New Roman" w:hAnsi="Times New Roman" w:eastAsia="黑体" w:cs="黑体"/>
          <w:b/>
          <w:bCs/>
          <w:sz w:val="28"/>
          <w:szCs w:val="28"/>
          <w:lang w:eastAsia="zh-CN"/>
        </w:rPr>
        <w:t>机关事务管理服务中心</w:t>
      </w:r>
    </w:p>
    <w:p w14:paraId="0861AB2D">
      <w:pPr>
        <w:adjustRightInd w:val="0"/>
        <w:snapToGrid w:val="0"/>
        <w:spacing w:line="360" w:lineRule="auto"/>
        <w:ind w:left="1260" w:leftChars="600"/>
        <w:rPr>
          <w:rFonts w:hint="eastAsia" w:ascii="Times New Roman" w:hAnsi="Times New Roman" w:eastAsia="黑体" w:cs="Times New Roman"/>
          <w:b/>
          <w:bCs/>
          <w:sz w:val="28"/>
          <w:szCs w:val="28"/>
          <w:lang w:eastAsia="zh-CN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4445" r="0" b="5080"/>
                <wp:wrapNone/>
                <wp:docPr id="2" name="直接箭头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3360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CC/u9cAAAAJAQAADwAAAAAAAAABACAAAAAiAAAAZHJzL2Rvd25yZXYueG1s&#10;UEsBAhQAFAAAAAgAh07iQP1RTnz5AQAAzAMAAA4AAAAAAAAAAQAgAAAAJg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项目名称：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eastAsia="zh-CN"/>
        </w:rPr>
        <w:t>业务补助经费</w:t>
      </w:r>
    </w:p>
    <w:p w14:paraId="0E2D20C2">
      <w:pPr>
        <w:adjustRightInd w:val="0"/>
        <w:snapToGrid w:val="0"/>
        <w:spacing w:line="360" w:lineRule="auto"/>
        <w:ind w:left="1260" w:leftChars="600"/>
        <w:rPr>
          <w:rFonts w:ascii="Times New Roman" w:hAnsi="Times New Roman" w:eastAsia="黑体" w:cs="Times New Roman"/>
          <w:b/>
          <w:bCs/>
          <w:sz w:val="28"/>
          <w:szCs w:val="28"/>
        </w:rPr>
      </w:pPr>
      <w:r>
        <w:rPr>
          <w:rFonts w:ascii="Times New Roman" w:hAnsi="Times New Roman" w:eastAsia="黑体" w:cs="黑体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180975</wp:posOffset>
                </wp:positionV>
                <wp:extent cx="2495550" cy="0"/>
                <wp:effectExtent l="0" t="4445" r="0" b="508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35pt;margin-top:14.25pt;height:0pt;width:196.5pt;z-index:251664384;mso-width-relative:page;mso-height-relative:page;" filled="f" stroked="t" coordsize="21600,21600" o:gfxdata="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0IL+71wAAAAkBAAAPAAAAAAAAAAEAIAAAACIAAABkcnMvZG93bnJldi54bWxQ&#10;SwECFAAUAAAACACHTuJAxmrxY/gBAADMAwAADgAAAAAAAAABACAAAAAm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黑体" w:cs="黑体"/>
          <w:b/>
          <w:bCs/>
          <w:sz w:val="28"/>
          <w:szCs w:val="28"/>
        </w:rPr>
        <w:t>绩效自评日期：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20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20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年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月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黑体" w:cs="Times New Roman"/>
          <w:b/>
          <w:bCs/>
          <w:sz w:val="28"/>
          <w:szCs w:val="28"/>
        </w:rPr>
        <w:t>日</w:t>
      </w:r>
    </w:p>
    <w:p w14:paraId="261463F3">
      <w:pPr>
        <w:spacing w:line="360" w:lineRule="auto"/>
        <w:ind w:left="1218" w:leftChars="580"/>
        <w:rPr>
          <w:rFonts w:ascii="Times New Roman" w:hAnsi="Times New Roman" w:eastAsia="黑体" w:cs="Times New Roman"/>
          <w:b/>
          <w:bCs/>
          <w:sz w:val="28"/>
          <w:szCs w:val="28"/>
        </w:rPr>
      </w:pPr>
    </w:p>
    <w:p w14:paraId="4D3D1DB7">
      <w:pPr>
        <w:jc w:val="center"/>
        <w:rPr>
          <w:rFonts w:ascii="仿宋" w:hAnsi="仿宋" w:eastAsia="仿宋" w:cs="黑体"/>
          <w:b/>
          <w:bCs/>
          <w:sz w:val="32"/>
          <w:szCs w:val="32"/>
        </w:rPr>
      </w:pPr>
      <w:r>
        <w:rPr>
          <w:rFonts w:ascii="仿宋" w:hAnsi="仿宋" w:eastAsia="仿宋"/>
          <w:b/>
          <w:bCs/>
          <w:sz w:val="32"/>
          <w:szCs w:val="32"/>
        </w:rPr>
        <w:t>20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黑体"/>
          <w:b/>
          <w:bCs/>
          <w:sz w:val="32"/>
          <w:szCs w:val="32"/>
        </w:rPr>
        <w:t>年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黑体"/>
          <w:b/>
          <w:bCs/>
          <w:sz w:val="32"/>
          <w:szCs w:val="32"/>
        </w:rPr>
        <w:t>月</w:t>
      </w:r>
    </w:p>
    <w:p w14:paraId="22A6CA28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65A9EDE4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23F563DD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0E2D80B7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4668E232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0EFD0214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3C98629F">
      <w:pPr>
        <w:jc w:val="center"/>
        <w:rPr>
          <w:rFonts w:ascii="Times New Roman" w:hAnsi="Times New Roman" w:eastAsia="黑体" w:cs="黑体"/>
          <w:b/>
          <w:bCs/>
          <w:sz w:val="28"/>
          <w:szCs w:val="28"/>
        </w:rPr>
      </w:pPr>
    </w:p>
    <w:p w14:paraId="47693B2C">
      <w:pPr>
        <w:spacing w:line="360" w:lineRule="auto"/>
        <w:ind w:left="420" w:leftChars="200"/>
        <w:rPr>
          <w:rFonts w:ascii="Times New Roman" w:hAnsi="Times New Roman" w:eastAsia="黑体" w:cs="Times New Roman"/>
          <w:color w:val="000000"/>
          <w:sz w:val="24"/>
          <w:szCs w:val="24"/>
          <w:u w:color="000000"/>
          <w:lang w:val="zh-TW" w:eastAsia="zh-TW"/>
        </w:rPr>
      </w:pPr>
      <w:r>
        <w:rPr>
          <w:rFonts w:hint="eastAsia" w:ascii="Times New Roman" w:hAnsi="Times New Roman" w:eastAsia="黑体" w:cs="黑体"/>
          <w:color w:val="000000"/>
          <w:sz w:val="24"/>
          <w:szCs w:val="24"/>
          <w:u w:color="000000"/>
          <w:lang w:val="zh-TW" w:eastAsia="zh-TW"/>
        </w:rPr>
        <w:t>评价小组成员：</w:t>
      </w:r>
    </w:p>
    <w:tbl>
      <w:tblPr>
        <w:tblStyle w:val="10"/>
        <w:tblpPr w:leftFromText="180" w:rightFromText="180" w:vertAnchor="text" w:horzAnchor="margin" w:tblpY="72"/>
        <w:tblW w:w="81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620"/>
        <w:gridCol w:w="1753"/>
        <w:gridCol w:w="1950"/>
        <w:gridCol w:w="1159"/>
      </w:tblGrid>
      <w:tr w14:paraId="62F94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20" w:type="dxa"/>
            <w:vAlign w:val="center"/>
          </w:tcPr>
          <w:p w14:paraId="0F42BDB8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评价小组</w:t>
            </w:r>
          </w:p>
          <w:p w14:paraId="1E79F72A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机构职位</w:t>
            </w:r>
          </w:p>
        </w:tc>
        <w:tc>
          <w:tcPr>
            <w:tcW w:w="1620" w:type="dxa"/>
            <w:vAlign w:val="center"/>
          </w:tcPr>
          <w:p w14:paraId="3B0DFA0B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姓名</w:t>
            </w:r>
          </w:p>
        </w:tc>
        <w:tc>
          <w:tcPr>
            <w:tcW w:w="1753" w:type="dxa"/>
            <w:vAlign w:val="center"/>
          </w:tcPr>
          <w:p w14:paraId="4CA4C5A6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职务/职称</w:t>
            </w:r>
          </w:p>
        </w:tc>
        <w:tc>
          <w:tcPr>
            <w:tcW w:w="1950" w:type="dxa"/>
            <w:vAlign w:val="center"/>
          </w:tcPr>
          <w:p w14:paraId="4DFC0186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所属</w:t>
            </w:r>
          </w:p>
          <w:p w14:paraId="759CBAE9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单位/处室</w:t>
            </w:r>
          </w:p>
        </w:tc>
        <w:tc>
          <w:tcPr>
            <w:tcW w:w="1159" w:type="dxa"/>
            <w:vAlign w:val="center"/>
          </w:tcPr>
          <w:p w14:paraId="2B09A2AF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签字</w:t>
            </w:r>
          </w:p>
        </w:tc>
      </w:tr>
      <w:tr w14:paraId="6C789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620" w:type="dxa"/>
            <w:vAlign w:val="center"/>
          </w:tcPr>
          <w:p w14:paraId="5CE975A0">
            <w:pPr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组长</w:t>
            </w:r>
          </w:p>
        </w:tc>
        <w:tc>
          <w:tcPr>
            <w:tcW w:w="1620" w:type="dxa"/>
            <w:vAlign w:val="center"/>
          </w:tcPr>
          <w:p w14:paraId="55D70490">
            <w:pPr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肖伟</w:t>
            </w:r>
          </w:p>
        </w:tc>
        <w:tc>
          <w:tcPr>
            <w:tcW w:w="1753" w:type="dxa"/>
            <w:vAlign w:val="center"/>
          </w:tcPr>
          <w:p w14:paraId="674D946F">
            <w:pPr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>副主任</w:t>
            </w:r>
          </w:p>
        </w:tc>
        <w:tc>
          <w:tcPr>
            <w:tcW w:w="1950" w:type="dxa"/>
            <w:vAlign w:val="center"/>
          </w:tcPr>
          <w:p w14:paraId="13EDD814">
            <w:pPr>
              <w:pStyle w:val="19"/>
              <w:widowControl w:val="0"/>
              <w:spacing w:after="0" w:line="240" w:lineRule="auto"/>
              <w:jc w:val="center"/>
              <w:rPr>
                <w:rFonts w:hint="eastAsia" w:ascii="仿宋" w:hAnsi="仿宋" w:eastAsia="仿宋" w:cs="黑体"/>
                <w:color w:val="000000"/>
                <w:kern w:val="2"/>
                <w:sz w:val="32"/>
                <w:szCs w:val="32"/>
                <w:u w:val="none" w:color="000000"/>
                <w:lang w:val="zh-TW" w:eastAsia="zh-TW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区政府办</w:t>
            </w:r>
          </w:p>
        </w:tc>
        <w:tc>
          <w:tcPr>
            <w:tcW w:w="1159" w:type="dxa"/>
          </w:tcPr>
          <w:p w14:paraId="50138240">
            <w:pPr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 w14:paraId="0BEC4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620" w:type="dxa"/>
            <w:vAlign w:val="center"/>
          </w:tcPr>
          <w:p w14:paraId="59F012EB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副组长</w:t>
            </w:r>
          </w:p>
        </w:tc>
        <w:tc>
          <w:tcPr>
            <w:tcW w:w="1620" w:type="dxa"/>
            <w:vAlign w:val="center"/>
          </w:tcPr>
          <w:p w14:paraId="5527DFB4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闫鑫</w:t>
            </w:r>
          </w:p>
        </w:tc>
        <w:tc>
          <w:tcPr>
            <w:tcW w:w="1753" w:type="dxa"/>
            <w:vAlign w:val="center"/>
          </w:tcPr>
          <w:p w14:paraId="77BE4BE7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副主任</w:t>
            </w:r>
          </w:p>
        </w:tc>
        <w:tc>
          <w:tcPr>
            <w:tcW w:w="1950" w:type="dxa"/>
            <w:vAlign w:val="center"/>
          </w:tcPr>
          <w:p w14:paraId="3E05B593">
            <w:pPr>
              <w:pStyle w:val="19"/>
              <w:widowControl w:val="0"/>
              <w:spacing w:after="0" w:line="360" w:lineRule="auto"/>
              <w:jc w:val="center"/>
              <w:rPr>
                <w:rFonts w:hint="eastAsia" w:ascii="仿宋" w:hAnsi="仿宋" w:eastAsia="仿宋" w:cs="黑体"/>
                <w:color w:val="000000"/>
                <w:kern w:val="2"/>
                <w:sz w:val="32"/>
                <w:szCs w:val="32"/>
                <w:u w:val="none" w:color="000000"/>
                <w:lang w:val="zh-TW" w:eastAsia="zh-TW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区机关事务管理服务中心</w:t>
            </w:r>
          </w:p>
        </w:tc>
        <w:tc>
          <w:tcPr>
            <w:tcW w:w="1159" w:type="dxa"/>
          </w:tcPr>
          <w:p w14:paraId="78E849C3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 w14:paraId="118965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620" w:type="dxa"/>
            <w:vAlign w:val="center"/>
          </w:tcPr>
          <w:p w14:paraId="1D2C5FC2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副组长</w:t>
            </w:r>
          </w:p>
        </w:tc>
        <w:tc>
          <w:tcPr>
            <w:tcW w:w="1620" w:type="dxa"/>
            <w:vAlign w:val="center"/>
          </w:tcPr>
          <w:p w14:paraId="510C3C10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杨艳</w:t>
            </w:r>
          </w:p>
        </w:tc>
        <w:tc>
          <w:tcPr>
            <w:tcW w:w="1753" w:type="dxa"/>
            <w:vAlign w:val="center"/>
          </w:tcPr>
          <w:p w14:paraId="45FF606D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副主任</w:t>
            </w:r>
          </w:p>
        </w:tc>
        <w:tc>
          <w:tcPr>
            <w:tcW w:w="1950" w:type="dxa"/>
            <w:vAlign w:val="center"/>
          </w:tcPr>
          <w:p w14:paraId="562AE3FC">
            <w:pPr>
              <w:pStyle w:val="19"/>
              <w:widowControl w:val="0"/>
              <w:spacing w:after="0" w:line="360" w:lineRule="auto"/>
              <w:jc w:val="center"/>
              <w:rPr>
                <w:rFonts w:ascii="仿宋" w:hAnsi="仿宋" w:eastAsia="仿宋" w:cs="黑体"/>
                <w:color w:val="000000"/>
                <w:kern w:val="2"/>
                <w:sz w:val="32"/>
                <w:szCs w:val="32"/>
                <w:u w:val="none" w:color="000000"/>
                <w:lang w:val="zh-TW" w:eastAsia="zh-TW" w:bidi="ar-SA"/>
              </w:rPr>
            </w:pPr>
            <w:r>
              <w:rPr>
                <w:rFonts w:hint="eastAsia" w:ascii="仿宋" w:hAnsi="仿宋" w:eastAsia="仿宋" w:cs="黑体"/>
                <w:kern w:val="2"/>
                <w:sz w:val="24"/>
                <w:szCs w:val="24"/>
                <w:lang w:val="zh-TW" w:eastAsia="zh-CN"/>
              </w:rPr>
              <w:t>区机关事务管理服务中心</w:t>
            </w:r>
          </w:p>
        </w:tc>
        <w:tc>
          <w:tcPr>
            <w:tcW w:w="1159" w:type="dxa"/>
          </w:tcPr>
          <w:p w14:paraId="58F9A930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 w14:paraId="6C8E2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20" w:type="dxa"/>
            <w:vAlign w:val="center"/>
          </w:tcPr>
          <w:p w14:paraId="42334A5E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组员</w:t>
            </w:r>
          </w:p>
        </w:tc>
        <w:tc>
          <w:tcPr>
            <w:tcW w:w="1620" w:type="dxa"/>
          </w:tcPr>
          <w:p w14:paraId="45F93C16">
            <w:pPr>
              <w:spacing w:line="360" w:lineRule="auto"/>
              <w:rPr>
                <w:rFonts w:hint="default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和娟</w:t>
            </w:r>
          </w:p>
        </w:tc>
        <w:tc>
          <w:tcPr>
            <w:tcW w:w="1753" w:type="dxa"/>
          </w:tcPr>
          <w:p w14:paraId="177BD794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主任</w:t>
            </w:r>
          </w:p>
        </w:tc>
        <w:tc>
          <w:tcPr>
            <w:tcW w:w="1950" w:type="dxa"/>
          </w:tcPr>
          <w:p w14:paraId="69ADAEA5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办公室</w:t>
            </w:r>
          </w:p>
        </w:tc>
        <w:tc>
          <w:tcPr>
            <w:tcW w:w="1159" w:type="dxa"/>
          </w:tcPr>
          <w:p w14:paraId="3484AFBF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 w14:paraId="17F24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620" w:type="dxa"/>
            <w:vAlign w:val="center"/>
          </w:tcPr>
          <w:p w14:paraId="21E8998B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组员</w:t>
            </w:r>
          </w:p>
        </w:tc>
        <w:tc>
          <w:tcPr>
            <w:tcW w:w="1620" w:type="dxa"/>
          </w:tcPr>
          <w:p w14:paraId="41B83304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>刘荣地</w:t>
            </w:r>
          </w:p>
        </w:tc>
        <w:tc>
          <w:tcPr>
            <w:tcW w:w="1753" w:type="dxa"/>
          </w:tcPr>
          <w:p w14:paraId="21147DE1">
            <w:pPr>
              <w:spacing w:line="360" w:lineRule="auto"/>
              <w:jc w:val="center"/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主任</w:t>
            </w:r>
          </w:p>
        </w:tc>
        <w:tc>
          <w:tcPr>
            <w:tcW w:w="1950" w:type="dxa"/>
          </w:tcPr>
          <w:p w14:paraId="406139A6">
            <w:pPr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CN"/>
              </w:rPr>
              <w:t>会务中心</w:t>
            </w:r>
          </w:p>
        </w:tc>
        <w:tc>
          <w:tcPr>
            <w:tcW w:w="1159" w:type="dxa"/>
          </w:tcPr>
          <w:p w14:paraId="4C640054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 w:eastAsia="zh-TW"/>
              </w:rPr>
            </w:pPr>
          </w:p>
        </w:tc>
      </w:tr>
      <w:tr w14:paraId="6EC63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8102" w:type="dxa"/>
            <w:gridSpan w:val="5"/>
          </w:tcPr>
          <w:p w14:paraId="2D5621F7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报告撰写人（签字）：</w:t>
            </w:r>
          </w:p>
          <w:p w14:paraId="1969C517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 w14:paraId="1DD66B5E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 w14:paraId="64EFD15D">
            <w:pPr>
              <w:wordWrap w:val="0"/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               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年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月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日</w:t>
            </w:r>
          </w:p>
        </w:tc>
      </w:tr>
      <w:tr w14:paraId="13488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</w:trPr>
        <w:tc>
          <w:tcPr>
            <w:tcW w:w="8102" w:type="dxa"/>
            <w:gridSpan w:val="5"/>
          </w:tcPr>
          <w:p w14:paraId="1FC5D73D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评价工作负责人（签字）：</w:t>
            </w:r>
          </w:p>
          <w:p w14:paraId="70F83B68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 w14:paraId="59DB85F1">
            <w:pPr>
              <w:spacing w:line="360" w:lineRule="auto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</w:p>
          <w:p w14:paraId="7A20FEAC">
            <w:pPr>
              <w:wordWrap w:val="0"/>
              <w:spacing w:line="360" w:lineRule="auto"/>
              <w:jc w:val="center"/>
              <w:rPr>
                <w:rFonts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                    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年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月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黑体" w:cs="黑体"/>
                <w:color w:val="000000"/>
                <w:sz w:val="24"/>
                <w:szCs w:val="24"/>
                <w:u w:color="000000"/>
                <w:lang w:val="zh-TW"/>
              </w:rPr>
              <w:t>日</w:t>
            </w:r>
          </w:p>
        </w:tc>
      </w:tr>
    </w:tbl>
    <w:p w14:paraId="5FE31EB0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46C496C7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4C7B106B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143EFBCE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7401993B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42020ACA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39C9B80E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48911E84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0FA1439D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32879B2D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66189D77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296CFD6A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79A64CFE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3892A58D">
      <w:pPr>
        <w:widowControl/>
        <w:shd w:val="clear" w:color="auto" w:fill="FFFFFF"/>
        <w:jc w:val="center"/>
        <w:rPr>
          <w:rFonts w:ascii="宋体" w:hAnsi="宋体" w:eastAsia="宋体" w:cs="宋体"/>
          <w:color w:val="333333"/>
          <w:kern w:val="0"/>
          <w:szCs w:val="21"/>
        </w:rPr>
      </w:pPr>
    </w:p>
    <w:p w14:paraId="6070F506">
      <w:pPr>
        <w:widowControl/>
        <w:shd w:val="clear" w:color="auto" w:fill="FFFFFF"/>
        <w:jc w:val="center"/>
        <w:rPr>
          <w:rFonts w:hint="eastAsia" w:ascii="黑体" w:hAnsi="黑体" w:eastAsia="黑体" w:cs="黑体"/>
          <w:color w:val="333333"/>
          <w:kern w:val="0"/>
          <w:szCs w:val="21"/>
        </w:rPr>
      </w:pPr>
    </w:p>
    <w:p w14:paraId="27794F48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3"/>
          <w:rFonts w:hint="eastAsia" w:ascii="黑体" w:hAnsi="黑体" w:eastAsia="黑体" w:cs="黑体"/>
          <w:color w:val="auto"/>
          <w:u w:val="none"/>
        </w:rPr>
      </w:pPr>
      <w:r>
        <w:rPr>
          <w:rStyle w:val="13"/>
          <w:rFonts w:hint="eastAsia" w:ascii="黑体" w:hAnsi="黑体" w:eastAsia="黑体" w:cs="黑体"/>
          <w:color w:val="auto"/>
          <w:u w:val="none"/>
        </w:rPr>
        <w:t>目录</w:t>
      </w:r>
    </w:p>
    <w:p w14:paraId="35FE0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color w:val="auto"/>
          <w:sz w:val="18"/>
        </w:rPr>
      </w:pPr>
    </w:p>
    <w:p w14:paraId="3B01296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3"/>
          <w:rFonts w:hint="eastAsia" w:ascii="黑体" w:hAnsi="黑体" w:eastAsia="黑体" w:cs="黑体"/>
          <w:color w:val="auto"/>
          <w:sz w:val="28"/>
          <w:u w:val="none"/>
        </w:rPr>
      </w:pPr>
      <w:r>
        <w:rPr>
          <w:rStyle w:val="13"/>
          <w:rFonts w:hint="eastAsia" w:ascii="黑体" w:hAnsi="黑体" w:eastAsia="黑体" w:cs="黑体"/>
          <w:color w:val="auto"/>
          <w:sz w:val="28"/>
          <w:u w:val="none"/>
        </w:rPr>
        <w:t>摘要</w:t>
      </w:r>
    </w:p>
    <w:p w14:paraId="6EB51EF0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Style w:val="13"/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Style w:val="13"/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TOC \o "1-2" \h \z \u</w:instrText>
      </w:r>
      <w:r>
        <w:rPr>
          <w:rStyle w:val="13"/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_Toc15525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一、项目概况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_Toc15525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240C1DA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_Toc26348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（一）项目立项背景及目的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_Toc26348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3AF532C2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_Toc18198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（二）预算收支情况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_Toc18198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17F77DF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_Toc9801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二、评价结论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_Toc9801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4B22F1FF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_Toc29580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三、经验、问题和建议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_Toc29580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5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43F4DB3C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_Toc19810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（一）主要经验及做法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_Toc19810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5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12265619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_Toc13426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（二）存在的问题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_Toc13426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5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76CDA695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_Toc13630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（三）建议和改进措施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_Toc13630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6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04F3EDB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Style w:val="13"/>
          <w:rFonts w:hint="eastAsia" w:ascii="黑体" w:hAnsi="黑体" w:eastAsia="黑体" w:cs="黑体"/>
          <w:b w:val="0"/>
          <w:bCs w:val="0"/>
          <w:color w:val="auto"/>
          <w:sz w:val="28"/>
          <w:szCs w:val="28"/>
          <w:u w:val="none"/>
          <w:lang w:eastAsia="zh-CN"/>
        </w:rPr>
      </w:pPr>
      <w:r>
        <w:rPr>
          <w:rStyle w:val="13"/>
          <w:rFonts w:hint="eastAsia" w:ascii="黑体" w:hAnsi="黑体" w:eastAsia="黑体" w:cs="黑体"/>
          <w:b w:val="0"/>
          <w:bCs w:val="0"/>
          <w:color w:val="auto"/>
          <w:sz w:val="28"/>
          <w:szCs w:val="28"/>
          <w:u w:val="none"/>
          <w:lang w:eastAsia="zh-CN"/>
        </w:rPr>
        <w:t>正文</w:t>
      </w:r>
    </w:p>
    <w:p w14:paraId="1A1DD5BC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_Toc5587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一、项目基本情况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_Toc5587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7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678B04BB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_Toc31829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（一）项目概况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_Toc31829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7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51C4544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_Toc23679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（二）项目绩效目标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_Toc23679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9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6D9F0112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_Toc12095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二、绩效评价工作情况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_Toc12095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9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056296B8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_Toc12677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(一)评价的目的和依据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_Toc12677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9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7C0E8A3E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_Toc8908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（二）绩效评价工作方案制定过程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_Toc8908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10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5E598CF0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_Toc30814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（三）绩效评价原则及评价方法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_Toc30814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10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3BD25F13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_Toc1639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(四) 绩效评价实施过程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_Toc1639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11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5D7914C2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_Toc20289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（五）绩效评价的局限性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_Toc20289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12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0BEF5CFC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_Toc32321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三、评价结论</w:t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  <w:lang w:eastAsia="zh-CN"/>
        </w:rPr>
        <w:t>和</w:t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绩效分析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_Toc32321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12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33732C5E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_Toc27975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(一)评价结论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_Toc27975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12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45065EB0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_Toc8725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（二）具体绩效分析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_Toc8725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13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F06C9D9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_Toc23606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四、成本效益分析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_Toc23606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13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7F8491E4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_Toc18853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（一）项目经济性分析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_Toc18853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13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63D65FC8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_Toc32152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（二）项目的效益性分析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_Toc32152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13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05EC5685">
      <w:pPr>
        <w:pStyle w:val="7"/>
        <w:keepNext w:val="0"/>
        <w:keepLines w:val="0"/>
        <w:pageBreakBefore w:val="0"/>
        <w:widowControl w:val="0"/>
        <w:tabs>
          <w:tab w:val="right" w:leader="dot" w:pos="8306"/>
          <w:tab w:val="clear" w:pos="829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_Toc15855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44"/>
          <w:sz w:val="28"/>
          <w:szCs w:val="28"/>
        </w:rPr>
        <w:t>五、项目主要经验及做法、存在的问题和建议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_Toc15855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7AB62CCF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_Toc13701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（一）主要经验及做法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_Toc13701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14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74A2D65E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_Toc32098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（二）存在的问题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_Toc32098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15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0629C97">
      <w:pPr>
        <w:pStyle w:val="8"/>
        <w:keepNext w:val="0"/>
        <w:keepLines w:val="0"/>
        <w:pageBreakBefore w:val="0"/>
        <w:widowControl w:val="0"/>
        <w:tabs>
          <w:tab w:val="right" w:leader="dot" w:pos="830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HYPERLINK \l _Toc20639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kern w:val="2"/>
          <w:sz w:val="28"/>
          <w:szCs w:val="28"/>
        </w:rPr>
        <w:t>（三）建议和改进措施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ab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instrText xml:space="preserve"> PAGEREF _Toc20639 </w:instrTex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15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2CC1FE65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黑体" w:hAnsi="黑体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fldChar w:fldCharType="end"/>
      </w:r>
    </w:p>
    <w:p w14:paraId="0A23E559">
      <w:pPr>
        <w:spacing w:line="540" w:lineRule="exact"/>
        <w:rPr>
          <w:rFonts w:ascii="黑体" w:hAnsi="黑体" w:eastAsia="黑体" w:cs="Times New Roman"/>
          <w:szCs w:val="32"/>
        </w:rPr>
      </w:pPr>
    </w:p>
    <w:p w14:paraId="5A174B5F">
      <w:pPr>
        <w:spacing w:line="540" w:lineRule="exact"/>
        <w:rPr>
          <w:rFonts w:ascii="黑体" w:hAnsi="黑体" w:eastAsia="黑体" w:cs="Times New Roman"/>
          <w:szCs w:val="32"/>
        </w:rPr>
      </w:pPr>
    </w:p>
    <w:p w14:paraId="74F3731B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hint="eastAsia" w:cs="Calibri" w:asciiTheme="minorEastAsia" w:hAnsiTheme="minorEastAsia"/>
          <w:b/>
          <w:bCs/>
          <w:sz w:val="44"/>
          <w:szCs w:val="44"/>
          <w:lang w:eastAsia="zh-CN"/>
        </w:rPr>
      </w:pPr>
      <w:r>
        <w:rPr>
          <w:rFonts w:hint="eastAsia" w:asciiTheme="minorEastAsia" w:hAnsiTheme="minorEastAsia"/>
          <w:b/>
          <w:sz w:val="44"/>
          <w:szCs w:val="44"/>
        </w:rPr>
        <w:t>昆明市盘龙区</w:t>
      </w:r>
      <w:r>
        <w:rPr>
          <w:rFonts w:hint="eastAsia" w:cs="Calibri" w:asciiTheme="minorEastAsia" w:hAnsiTheme="minorEastAsia"/>
          <w:b/>
          <w:bCs/>
          <w:sz w:val="44"/>
          <w:szCs w:val="44"/>
          <w:lang w:eastAsia="zh-CN"/>
        </w:rPr>
        <w:t>机关事务管理服务中心</w:t>
      </w:r>
    </w:p>
    <w:p w14:paraId="4DB109CF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cs="Calibri" w:asciiTheme="minorEastAsia" w:hAnsiTheme="minorEastAsia"/>
          <w:b/>
          <w:bCs/>
          <w:sz w:val="44"/>
          <w:szCs w:val="44"/>
          <w:lang w:eastAsia="zh-CN"/>
        </w:rPr>
        <w:t>业务补助经费</w:t>
      </w:r>
      <w:r>
        <w:rPr>
          <w:rFonts w:hint="eastAsia" w:asciiTheme="minorEastAsia" w:hAnsiTheme="minorEastAsia"/>
          <w:b/>
          <w:sz w:val="44"/>
          <w:szCs w:val="44"/>
        </w:rPr>
        <w:t>项目支出绩效自评报告</w:t>
      </w:r>
    </w:p>
    <w:p w14:paraId="67A16AC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ascii="仿宋" w:hAnsi="仿宋" w:eastAsia="仿宋" w:cs="宋体"/>
          <w:b/>
          <w:bCs/>
          <w:color w:val="333333"/>
          <w:kern w:val="0"/>
          <w:sz w:val="36"/>
          <w:szCs w:val="36"/>
        </w:rPr>
      </w:pPr>
    </w:p>
    <w:p w14:paraId="4ACB789A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center"/>
        <w:rPr>
          <w:rFonts w:ascii="方正小标宋_GBK" w:hAnsi="黑体" w:eastAsia="方正小标宋_GBK" w:cs="Times New Roman"/>
          <w:sz w:val="28"/>
          <w:szCs w:val="32"/>
        </w:rPr>
      </w:pPr>
      <w:r>
        <w:rPr>
          <w:rFonts w:hint="eastAsia" w:ascii="方正小标宋_GBK" w:hAnsi="黑体" w:eastAsia="方正小标宋_GBK" w:cs="Times New Roman"/>
          <w:sz w:val="28"/>
          <w:szCs w:val="32"/>
        </w:rPr>
        <w:t>摘要</w:t>
      </w:r>
    </w:p>
    <w:p w14:paraId="5C542BA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0" w:name="_Toc15525"/>
      <w:r>
        <w:rPr>
          <w:rFonts w:hint="eastAsia" w:ascii="黑体" w:hAnsi="黑体" w:eastAsia="黑体" w:cstheme="minorBidi"/>
          <w:kern w:val="44"/>
          <w:sz w:val="32"/>
          <w:szCs w:val="32"/>
        </w:rPr>
        <w:t>一、项目概况</w:t>
      </w:r>
      <w:bookmarkEnd w:id="0"/>
    </w:p>
    <w:p w14:paraId="5A55A7D8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" w:name="_Toc26348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（一）项目立项背景及目的</w:t>
      </w:r>
      <w:bookmarkEnd w:id="1"/>
    </w:p>
    <w:p w14:paraId="71F51661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为贯彻党的十九大精神以及习近平总书记系列重要讲话精神，围绕区委、区政府中心工作，切实履行各项职责，高效服务，保障区委、区政府的各项工作高效有序运转。根据《关于印发&lt;昆明市盘龙区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主要职责内设机构和人员编制规定&gt;的通知》（盘政办通</w:t>
      </w:r>
      <w:r>
        <w:rPr>
          <w:rFonts w:hint="eastAsia" w:cs="Arial Unicode MS" w:asciiTheme="minorEastAsia" w:hAnsiTheme="minorEastAsia"/>
          <w:color w:val="333333"/>
          <w:kern w:val="0"/>
          <w:sz w:val="32"/>
          <w:szCs w:val="32"/>
        </w:rPr>
        <w:t>﹝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2005</w:t>
      </w:r>
      <w:r>
        <w:rPr>
          <w:rFonts w:hint="eastAsia" w:ascii="宋体" w:hAnsi="宋体" w:eastAsia="宋体" w:cs="Arial Unicode MS"/>
          <w:color w:val="333333"/>
          <w:kern w:val="0"/>
          <w:sz w:val="32"/>
          <w:szCs w:val="32"/>
        </w:rPr>
        <w:t>﹞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34号）文件精神，区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主要承担区级机关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餐饮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保障服务。</w:t>
      </w:r>
    </w:p>
    <w:p w14:paraId="3A62E1B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" w:name="_Toc18198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（二）预算收支情况</w:t>
      </w:r>
      <w:bookmarkEnd w:id="2"/>
    </w:p>
    <w:p w14:paraId="18E28F4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黑体" w:hAnsi="黑体" w:eastAsia="黑体" w:cstheme="minorBidi"/>
          <w:kern w:val="44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为确保区级机关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餐饮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保障工作到位，需申请业务经费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2019年实际收到财政拨款4160700元，实际支出4160700元。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 </w:t>
      </w:r>
    </w:p>
    <w:p w14:paraId="6500C61B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3" w:name="_Toc9801"/>
      <w:r>
        <w:rPr>
          <w:rFonts w:hint="eastAsia" w:ascii="黑体" w:hAnsi="黑体" w:eastAsia="黑体" w:cstheme="minorBidi"/>
          <w:kern w:val="44"/>
          <w:sz w:val="32"/>
          <w:szCs w:val="32"/>
        </w:rPr>
        <w:t>二、评价结论</w:t>
      </w:r>
      <w:bookmarkEnd w:id="3"/>
    </w:p>
    <w:p w14:paraId="45FFD21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评分结果</w:t>
      </w:r>
    </w:p>
    <w:p w14:paraId="3BFD2B9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根据制定的绩效指标考评体系，本次绩效考核得分9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分，绩效评价等级为优秀。</w:t>
      </w:r>
    </w:p>
    <w:p w14:paraId="12CF7A9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主要结论</w:t>
      </w:r>
    </w:p>
    <w:p w14:paraId="2FD5466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本项目不属于投资建设类项目，主要内容为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我单位管理的机关食堂食材费、劳务派遣人员加班费、电费、煤气费、劳保用品费、材料维修费等支出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度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该项工作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完成效益较好，保证了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区委、区政府各项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工作的顺利开展。</w:t>
      </w:r>
    </w:p>
    <w:p w14:paraId="753F9680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4" w:name="_Toc29580"/>
      <w:r>
        <w:rPr>
          <w:rFonts w:hint="eastAsia" w:ascii="黑体" w:hAnsi="黑体" w:eastAsia="黑体" w:cstheme="minorBidi"/>
          <w:kern w:val="44"/>
          <w:sz w:val="32"/>
          <w:szCs w:val="32"/>
        </w:rPr>
        <w:t>三、经验、问题和建议</w:t>
      </w:r>
      <w:bookmarkEnd w:id="4"/>
    </w:p>
    <w:p w14:paraId="732C8ED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5" w:name="_Toc19810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（一）主要经验及做法</w:t>
      </w:r>
      <w:bookmarkEnd w:id="5"/>
    </w:p>
    <w:p w14:paraId="354879D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盘龙区区级部门预算绩效自评管理暂行办法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》、</w:t>
      </w:r>
      <w:r>
        <w:rPr>
          <w:rFonts w:hint="eastAsia" w:ascii="仿宋_GB2312" w:hAnsi="仿宋_GB2312" w:eastAsia="仿宋_GB2312" w:cs="仿宋_GB2312"/>
          <w:sz w:val="32"/>
          <w:szCs w:val="32"/>
        </w:rPr>
        <w:t>《昆明市盘龙区财政局关于开展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2019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年度区级预算支出绩效自评工作的通知》（盘财〔20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号）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文件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精神，成立了自评小组，通过前期调研工作，充分了解评价项目有关情况；通过查看资金使用情况，核实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2019年业务补助经费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的各项支出的合法性、合规性；通过分析目标完成情况，查找存在的问题及总结好的经验方法，较好的完成了自评工作。</w:t>
      </w:r>
    </w:p>
    <w:p w14:paraId="261716C7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6" w:name="_Toc13426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（二）存在的问题</w:t>
      </w:r>
      <w:bookmarkEnd w:id="6"/>
    </w:p>
    <w:p w14:paraId="5DBED2C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业务补助经费主要用于机关食堂运行维护费用支出，因地点分散及服务对象众多，我单位对工作人员和服务的监管相对薄弱，考核评价体系及相应制度欠缺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</w:p>
    <w:p w14:paraId="0527168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2.为避免工作中出现矛盾，大部分人员的工资水平差距不大，致使部分人员的薪资水平与社会平均工资差异较大，使得这部分人工作积极性难以提高。</w:t>
      </w:r>
    </w:p>
    <w:p w14:paraId="7EB55B1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因工资水平整体偏低，致使日常工作中人员流动性较大，部分人员的综合素质不高，在服务质量上和干部职工的要求还有差距。</w:t>
      </w:r>
    </w:p>
    <w:p w14:paraId="7555843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4.因种种特殊原因，向社会购买服务的范围有待进一步扩大。</w:t>
      </w:r>
    </w:p>
    <w:p w14:paraId="324539E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7" w:name="_Toc13630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（三）建议和改进措施</w:t>
      </w:r>
      <w:bookmarkEnd w:id="7"/>
    </w:p>
    <w:p w14:paraId="0B74ECE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1.根据不同的服务内容，制定更加科学、合理、细致的考核评价体系，强化对各类服务人员的日常监管，切实提高服务水平。</w:t>
      </w:r>
    </w:p>
    <w:p w14:paraId="2CFE842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根据不同工作岗位的重要性、工作量、专业技术水平等，制定更加合理的薪资标准，不断激励并倡导所有人员新城必学赶超的良好工作氛围。</w:t>
      </w:r>
    </w:p>
    <w:p w14:paraId="689EAD9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3.继续推行“减员增资”的工作方法，科学设置工作岗位的具体工作职责，压缩劳务派遣人员数量，不断提高劳务派遣人员的薪资收入，确保留得住人、干的成事。</w:t>
      </w:r>
    </w:p>
    <w:p w14:paraId="0326188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4.积极探索向社会购买服务的模式，继续扩大机关后勤服务社会化程度，由服务提供者向监管者转变。</w:t>
      </w:r>
    </w:p>
    <w:p w14:paraId="2EDC08A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p w14:paraId="5F91931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01A9207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6D076E32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0A806590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0773382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4ED28C05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2820B056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20DF918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4CB70D01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sz w:val="44"/>
          <w:szCs w:val="44"/>
        </w:rPr>
      </w:pPr>
    </w:p>
    <w:p w14:paraId="3598A948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b/>
          <w:bCs/>
          <w:sz w:val="44"/>
          <w:szCs w:val="44"/>
        </w:rPr>
      </w:pPr>
    </w:p>
    <w:p w14:paraId="5BC5463C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rPr>
          <w:rFonts w:ascii="方正小标宋_GBK" w:eastAsia="方正小标宋_GBK"/>
          <w:b/>
          <w:bCs/>
          <w:sz w:val="44"/>
          <w:szCs w:val="44"/>
        </w:rPr>
      </w:pPr>
      <w:r>
        <w:rPr>
          <w:rFonts w:hint="eastAsia" w:ascii="方正小标宋_GBK" w:eastAsia="方正小标宋_GBK"/>
          <w:b/>
          <w:bCs/>
          <w:sz w:val="44"/>
          <w:szCs w:val="44"/>
        </w:rPr>
        <w:t>正文：昆明市盘龙区</w:t>
      </w:r>
      <w:r>
        <w:rPr>
          <w:rFonts w:hint="eastAsia" w:ascii="方正小标宋_GBK" w:eastAsia="方正小标宋_GBK"/>
          <w:b/>
          <w:bCs/>
          <w:sz w:val="44"/>
          <w:szCs w:val="44"/>
          <w:lang w:eastAsia="zh-CN"/>
        </w:rPr>
        <w:t>机关事务管理服务中心业务补助经费</w:t>
      </w:r>
      <w:r>
        <w:rPr>
          <w:rFonts w:hint="eastAsia" w:ascii="方正小标宋_GBK" w:eastAsia="方正小标宋_GBK"/>
          <w:b/>
          <w:bCs/>
          <w:sz w:val="44"/>
          <w:szCs w:val="44"/>
        </w:rPr>
        <w:t>项目支出绩效自评报告</w:t>
      </w:r>
    </w:p>
    <w:p w14:paraId="65D464B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360"/>
        <w:jc w:val="left"/>
        <w:outlineLvl w:val="0"/>
        <w:rPr>
          <w:rFonts w:ascii="仿宋" w:hAnsi="仿宋" w:eastAsia="仿宋" w:cs="宋体"/>
          <w:color w:val="333333"/>
          <w:kern w:val="0"/>
          <w:sz w:val="29"/>
          <w:szCs w:val="29"/>
        </w:rPr>
      </w:pPr>
    </w:p>
    <w:p w14:paraId="183D44D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8" w:name="_Toc5587"/>
      <w:r>
        <w:rPr>
          <w:rFonts w:hint="eastAsia" w:ascii="黑体" w:hAnsi="黑体" w:eastAsia="黑体" w:cstheme="minorBidi"/>
          <w:kern w:val="44"/>
          <w:sz w:val="32"/>
          <w:szCs w:val="32"/>
        </w:rPr>
        <w:t>一、项目基本情况</w:t>
      </w:r>
      <w:bookmarkEnd w:id="8"/>
    </w:p>
    <w:p w14:paraId="69418A5E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9" w:name="_Toc31829"/>
      <w:bookmarkStart w:id="10" w:name="_Toc531033281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（一）项目概况</w:t>
      </w:r>
      <w:bookmarkEnd w:id="9"/>
      <w:bookmarkEnd w:id="10"/>
    </w:p>
    <w:p w14:paraId="6CE4724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项目立项背景及目的</w:t>
      </w:r>
    </w:p>
    <w:p w14:paraId="4C46342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机关事务管理服务中心的主要工作职责是为区委、区政府及区级国家机关各部委办局提供机关后勤综合服务。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为贯彻党的十九大</w:t>
      </w:r>
      <w:bookmarkStart w:id="31" w:name="_GoBack"/>
      <w:bookmarkEnd w:id="31"/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精神以及习近平总书记系列重要讲话精神，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我单位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紧紧围绕区委、区政府中心工作，切实履行各项职责，高效服务，力促发展，保障了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区委、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区政府各项工作高效有序运转。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通过机关食堂用餐服务，狠抓日常工作落实及服务监管，为区委、区政府提供了坚强有力的后勤保障服务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</w:p>
    <w:p w14:paraId="3C6DCF5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后勤服务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正常开展，上级机关交办事项办理到位，需申请业务经费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元，用于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机关食堂食材费、劳务派遣人员加班费、电费、煤气费、劳保用品费、材料维修费等支出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</w:p>
    <w:p w14:paraId="0D173E9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项目实施情况</w:t>
      </w:r>
    </w:p>
    <w:p w14:paraId="4558F27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在区委、区政府的正确领导下，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充分调动工作人员的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积极性，全年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提供餐饮服务281108人次，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接待用餐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157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桌次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，其中：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早餐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122116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人次、中餐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151300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人次、晚餐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7629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人次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。</w:t>
      </w:r>
    </w:p>
    <w:p w14:paraId="231C05A5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项目资金来源及使用情况 </w:t>
      </w:r>
    </w:p>
    <w:p w14:paraId="654DFF9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（1）项目经费来源</w:t>
      </w:r>
    </w:p>
    <w:p w14:paraId="2FB7A6F5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根据昆明市盘龙区财政局《关于下达盘龙区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部门预算的批复》（盘财〔201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〕1号）文件安排项目资金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416.07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万元，资金来源全部为区级财政拨款。</w:t>
      </w:r>
    </w:p>
    <w:p w14:paraId="5814C18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（2）项目经费使用情况</w:t>
      </w:r>
    </w:p>
    <w:p w14:paraId="0AF4DDD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截至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12月31日，业务经费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元已全部支出，主要用于支付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机关食堂食材费、劳务派遣人员加班费、电费、煤气费、劳保用品费、材料维修费等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，具体详见下表：</w:t>
      </w:r>
    </w:p>
    <w:p w14:paraId="58290EF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right"/>
        <w:rPr>
          <w:rFonts w:ascii="仿宋_GB2312" w:hAnsi="微软雅黑" w:eastAsia="仿宋_GB2312" w:cs="宋体"/>
          <w:color w:val="333333"/>
          <w:kern w:val="0"/>
          <w:szCs w:val="24"/>
        </w:rPr>
      </w:pPr>
      <w:r>
        <w:rPr>
          <w:rFonts w:hint="eastAsia" w:ascii="仿宋_GB2312" w:hAnsi="仿宋" w:eastAsia="仿宋_GB2312" w:cs="宋体"/>
          <w:color w:val="333333"/>
          <w:kern w:val="0"/>
          <w:sz w:val="24"/>
          <w:szCs w:val="29"/>
        </w:rPr>
        <w:t>单位：元</w:t>
      </w:r>
    </w:p>
    <w:tbl>
      <w:tblPr>
        <w:tblStyle w:val="10"/>
        <w:tblW w:w="879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3"/>
        <w:gridCol w:w="2541"/>
        <w:gridCol w:w="2083"/>
        <w:gridCol w:w="1734"/>
      </w:tblGrid>
      <w:tr w14:paraId="588D820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073C39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auto"/>
                <w:kern w:val="0"/>
                <w:sz w:val="24"/>
                <w:szCs w:val="24"/>
              </w:rPr>
              <w:t>项目内容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50A04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仿宋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auto"/>
                <w:kern w:val="0"/>
                <w:sz w:val="24"/>
                <w:szCs w:val="24"/>
              </w:rPr>
              <w:t>年初预算资金安排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269129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auto"/>
                <w:kern w:val="0"/>
                <w:sz w:val="24"/>
                <w:szCs w:val="24"/>
              </w:rPr>
              <w:t>实际支出数</w:t>
            </w:r>
          </w:p>
        </w:tc>
        <w:tc>
          <w:tcPr>
            <w:tcW w:w="1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248EB27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微软雅黑" w:eastAsia="仿宋_GB2312" w:cs="宋体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b/>
                <w:color w:val="auto"/>
                <w:kern w:val="0"/>
                <w:sz w:val="24"/>
                <w:szCs w:val="24"/>
              </w:rPr>
              <w:t>预算执行率</w:t>
            </w:r>
          </w:p>
        </w:tc>
      </w:tr>
      <w:tr w14:paraId="48AFBBF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7D40F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微软雅黑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食材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7CCCE5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3123919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8CFD4E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3123919</w:t>
            </w:r>
          </w:p>
        </w:tc>
        <w:tc>
          <w:tcPr>
            <w:tcW w:w="1734" w:type="dxa"/>
            <w:vMerge w:val="restart"/>
            <w:tcBorders>
              <w:top w:val="nil"/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6A79DD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%</w:t>
            </w:r>
          </w:p>
          <w:p w14:paraId="59DE633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3B2D0D7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894A04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微软雅黑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加班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88387E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211720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568BD5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微软雅黑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211720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182BCD5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27C7A28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1806CF7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燃料费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099F12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167464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570D0A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167464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65F4F5DD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6A8A2B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CFBAB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材料维修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费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24F9C3F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569137.19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4F89A72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569137.19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7D0A443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5126142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6DA8F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清洁用品</w:t>
            </w: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</w:rPr>
              <w:t>费</w:t>
            </w:r>
          </w:p>
        </w:tc>
        <w:tc>
          <w:tcPr>
            <w:tcW w:w="2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4B80CCB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90922.81</w:t>
            </w:r>
          </w:p>
        </w:tc>
        <w:tc>
          <w:tcPr>
            <w:tcW w:w="208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08E2279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default" w:ascii="仿宋_GB2312" w:hAnsi="微软雅黑" w:eastAsia="仿宋_GB2312" w:cs="宋体"/>
                <w:color w:val="auto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90922.81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0BE4253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02DA3F1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C8FBC0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其他费用</w:t>
            </w:r>
          </w:p>
        </w:tc>
        <w:tc>
          <w:tcPr>
            <w:tcW w:w="2541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4F4C8DE3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59497</w:t>
            </w:r>
          </w:p>
        </w:tc>
        <w:tc>
          <w:tcPr>
            <w:tcW w:w="2083" w:type="dxa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456BF635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ascii="仿宋_GB2312" w:hAnsi="微软雅黑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59497</w:t>
            </w:r>
          </w:p>
        </w:tc>
        <w:tc>
          <w:tcPr>
            <w:tcW w:w="1734" w:type="dxa"/>
            <w:vMerge w:val="continue"/>
            <w:tcBorders>
              <w:left w:val="nil"/>
              <w:right w:val="single" w:color="000000" w:sz="6" w:space="0"/>
            </w:tcBorders>
            <w:shd w:val="clear" w:color="auto" w:fill="FFFFFF"/>
            <w:vAlign w:val="center"/>
          </w:tcPr>
          <w:p w14:paraId="34875B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  <w:tr w14:paraId="2D92BDB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0" w:hRule="atLeast"/>
          <w:jc w:val="center"/>
        </w:trPr>
        <w:tc>
          <w:tcPr>
            <w:tcW w:w="2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A3F58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auto"/>
                <w:kern w:val="0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B4F65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4160700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ECDF3DF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微软雅黑" w:eastAsia="仿宋_GB2312" w:cs="宋体"/>
                <w:color w:val="auto"/>
                <w:kern w:val="0"/>
                <w:sz w:val="24"/>
                <w:szCs w:val="24"/>
                <w:lang w:val="en-US" w:eastAsia="zh-CN"/>
              </w:rPr>
              <w:t>4160700</w:t>
            </w:r>
          </w:p>
        </w:tc>
        <w:tc>
          <w:tcPr>
            <w:tcW w:w="1734" w:type="dxa"/>
            <w:vMerge w:val="continue"/>
            <w:tcBorders>
              <w:left w:val="nil"/>
              <w:bottom w:val="single" w:color="auto" w:sz="4" w:space="0"/>
              <w:right w:val="single" w:color="000000" w:sz="6" w:space="0"/>
            </w:tcBorders>
            <w:shd w:val="clear" w:color="auto" w:fill="FFFFFF"/>
            <w:vAlign w:val="center"/>
          </w:tcPr>
          <w:p w14:paraId="28F4F172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ottom"/>
              <w:rPr>
                <w:rFonts w:ascii="仿宋_GB2312" w:hAnsi="仿宋" w:eastAsia="仿宋_GB2312" w:cs="宋体"/>
                <w:color w:val="auto"/>
                <w:kern w:val="0"/>
                <w:sz w:val="24"/>
                <w:szCs w:val="24"/>
                <w:highlight w:val="yellow"/>
              </w:rPr>
            </w:pPr>
          </w:p>
        </w:tc>
      </w:tr>
    </w:tbl>
    <w:p w14:paraId="27EF190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 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项目组织及管理情况 </w:t>
      </w:r>
    </w:p>
    <w:p w14:paraId="4925F10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（1）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食材费情况</w:t>
      </w:r>
    </w:p>
    <w:p w14:paraId="5B349C5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我单位负责四个食堂的运行工作，所有食材的供应均签订了供货协议，食材费在当月供货完成后按月支付。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通过对资金支付申请、付款单据等相关原始资料的检查，本项目资金拨付审批手续完整，支出依据合规，未发现虚列套取、截留、挤占、挪用情况和超标准开支的情况。</w:t>
      </w:r>
    </w:p>
    <w:p w14:paraId="2F3060E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（2）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加班费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情况</w:t>
      </w:r>
    </w:p>
    <w:p w14:paraId="0F5E739D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我单位负责四个食堂的运行工作，该服务事项由劳务派遣人员提供，我单位通过综合比选的方式确定了劳务派遣公司。按照服务合同约定，劳务派遣人员的加班费在当月考勤核对完成后按月支付。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通过对资金支付申请、付款单据等相关原始资料的检查，本项目资金拨付审批手续完整，支出依据合规，未发现虚列套取、截留、挤占、挪用情况和超标准开支的情况。</w:t>
      </w:r>
    </w:p>
    <w:p w14:paraId="0690BCD6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1" w:name="_Toc23679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（二）项目绩效目标</w:t>
      </w:r>
      <w:bookmarkEnd w:id="11"/>
    </w:p>
    <w:p w14:paraId="71FCC5C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总目标</w:t>
      </w:r>
    </w:p>
    <w:p w14:paraId="3B76D11D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为确保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区委、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区政府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后勤服务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正常开展，上级机关交办事项办理到位，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为各集中办公区工作人员提供餐饮服务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</w:p>
    <w:p w14:paraId="650E63F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年度目标</w:t>
      </w:r>
    </w:p>
    <w:p w14:paraId="02D5322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0"/>
        <w:rPr>
          <w:rFonts w:ascii="仿宋_GB2312" w:hAnsi="仿宋" w:eastAsia="仿宋_GB2312" w:cs="宋体"/>
          <w:color w:val="333333"/>
          <w:kern w:val="0"/>
          <w:sz w:val="32"/>
          <w:szCs w:val="32"/>
          <w:lang w:val="en-US"/>
        </w:rPr>
      </w:pPr>
      <w:bookmarkStart w:id="12" w:name="_Toc15266"/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完成集中办公区工作人员餐饮服务，做好食品留样工作，确保食品安全，全年组织员工健康体检不少于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1次。</w:t>
      </w:r>
      <w:bookmarkEnd w:id="12"/>
    </w:p>
    <w:p w14:paraId="47C69D6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微软雅黑" w:hAnsi="微软雅黑" w:eastAsia="微软雅黑"/>
          <w:b w:val="0"/>
          <w:bCs w:val="0"/>
          <w:color w:val="333333"/>
        </w:rPr>
      </w:pPr>
      <w:bookmarkStart w:id="13" w:name="_Toc12095"/>
      <w:r>
        <w:rPr>
          <w:rFonts w:hint="eastAsia" w:ascii="黑体" w:hAnsi="黑体" w:eastAsia="黑体" w:cstheme="minorBidi"/>
          <w:kern w:val="44"/>
          <w:sz w:val="32"/>
          <w:szCs w:val="32"/>
        </w:rPr>
        <w:t>二、绩效评价工作情况</w:t>
      </w:r>
      <w:bookmarkEnd w:id="13"/>
    </w:p>
    <w:p w14:paraId="29B9500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4" w:name="_Toc12677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(一)评价的目的和依据</w:t>
      </w:r>
      <w:bookmarkEnd w:id="14"/>
    </w:p>
    <w:p w14:paraId="55CC1F3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评价目的</w:t>
      </w:r>
    </w:p>
    <w:p w14:paraId="72D4397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通过对项目实施以及财政专项资金使用情况的调研和评价，客观反映项目的实施状态、财政资金使用效益，总结项目成功经验，科学研判项目实施以及资金使用过程中存在的难题和局限，为进一步提升预算管理水平、提高公共服务质量、优化公共资源配置提供决策参考。</w:t>
      </w:r>
    </w:p>
    <w:p w14:paraId="22997F8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评价主要依据</w:t>
      </w:r>
    </w:p>
    <w:p w14:paraId="1D008055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（1）政府部门文件</w:t>
      </w:r>
    </w:p>
    <w:p w14:paraId="5DC5D276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《昆明市盘龙区财政局关于开展2019年度区级预算支出绩效自评工作的通知》（盘财〔2020〕1号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等文件。</w:t>
      </w:r>
    </w:p>
    <w:p w14:paraId="491B2A1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（2）项目资料</w:t>
      </w:r>
    </w:p>
    <w:p w14:paraId="743E81A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项目预算批复等相关文件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项目相关支出合同等。</w:t>
      </w:r>
    </w:p>
    <w:p w14:paraId="49B092D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（3）财务资料及相关制度和标准</w:t>
      </w:r>
    </w:p>
    <w:p w14:paraId="77BD04C5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财务资料：会计账簿、会计凭证、会计报表、决算报表等财务资料。</w:t>
      </w:r>
    </w:p>
    <w:p w14:paraId="6812AA2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《中华人民共和国会计法》《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事业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单位会计制度》等。</w:t>
      </w:r>
    </w:p>
    <w:p w14:paraId="5D48D99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5" w:name="_Toc8908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（二）绩效评价工作方案制定过程</w:t>
      </w:r>
      <w:bookmarkEnd w:id="15"/>
    </w:p>
    <w:p w14:paraId="2D995F6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1.前期调研</w:t>
      </w:r>
    </w:p>
    <w:p w14:paraId="22E51F2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本次绩效评价开始前，评价组对项目开展情况、资金使用管理情况、财务账务处理等进行了前期调研，掌握了项目运行的第一手资料，为该项目绩效评价工作的开展打下了坚实的基础。</w:t>
      </w:r>
    </w:p>
    <w:p w14:paraId="6168C9F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2.研究文件</w:t>
      </w:r>
    </w:p>
    <w:p w14:paraId="7F207BED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评价组对《盘龙区区级部门预算绩效自评管理暂行办法》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《昆明市盘龙区财政局关于开展2019年度区级预算支出绩效自评工作的通知》（盘财〔2020〕1号）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进行了认真研究，吃透文件精神，以确保绩效评价工作符合区财政局的相关要求。</w:t>
      </w:r>
    </w:p>
    <w:p w14:paraId="22F1E3C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3.绩效评价指标体系及工作方案的设计</w:t>
      </w:r>
    </w:p>
    <w:p w14:paraId="7E33E4D1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参照《盘龙区区级部门预算绩效自评管理暂行办法》的项目支出共性指标，结合项目资金使用部门的职能职责和项目资金的具体用途，设计该项目支出的绩效评价指标体系和评价工作方案，以确保方案可行，绩效评价指标符合项目实际，具有准确性和可操作性。</w:t>
      </w:r>
    </w:p>
    <w:p w14:paraId="6AAF807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6" w:name="_Toc30814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（三）绩效评价原则及评价方法</w:t>
      </w:r>
      <w:bookmarkEnd w:id="16"/>
    </w:p>
    <w:p w14:paraId="44D7AAB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1.绩效评价原则</w:t>
      </w:r>
    </w:p>
    <w:p w14:paraId="784E12D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评价工作组秉承科学规范、客观公正、定性定量的原则，采取计划标准、历史标准相结合的方式开展绩效评价。</w:t>
      </w:r>
    </w:p>
    <w:p w14:paraId="20BC8EB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2.绩效评价方法</w:t>
      </w:r>
    </w:p>
    <w:p w14:paraId="1B7EEB5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此次评价采用现场抽查、随机调查、文献查阅等方式进行，采取了以下几种评价方法。</w:t>
      </w:r>
    </w:p>
    <w:p w14:paraId="2D345FC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比较分析法：把两个相互联系的指标数据加以比较分析，借以做出程度性判断，分绝对数比较和相对数比较，如将实际成本与预算成本相比较。 </w:t>
      </w:r>
    </w:p>
    <w:p w14:paraId="348D68D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访谈法：随机访谈了相关工作人员，根据被询问者的答复搜集客观的、不带偏见的事实材料和评语。 </w:t>
      </w:r>
    </w:p>
    <w:p w14:paraId="5FC0615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抽查法：抽查全部资金到位情况等。</w:t>
      </w:r>
    </w:p>
    <w:p w14:paraId="6A49D20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问卷调查法：围绕财务制度执行情况，相关管理办法是否执行等情况向相关人员开展广泛调查，获取第一手资料。</w:t>
      </w:r>
    </w:p>
    <w:p w14:paraId="7D4171C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7" w:name="_Toc1639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(四) 绩效评价实施过程</w:t>
      </w:r>
      <w:bookmarkEnd w:id="17"/>
    </w:p>
    <w:p w14:paraId="50D0F26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数据填报和采集</w:t>
      </w:r>
    </w:p>
    <w:p w14:paraId="780019B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评价组严格按照昆明市盘龙区财政局关于印发《盘龙区区级部门预算绩效自评管理暂行办法》的要求，结合本单位项目支出财务资料和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决算资料进行相关数据采集和填报。</w:t>
      </w:r>
    </w:p>
    <w:p w14:paraId="519F647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社会调查</w:t>
      </w:r>
    </w:p>
    <w:p w14:paraId="5CE2B001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outlineLvl w:val="2"/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根据本项目的具体情况，本单位项目组成员针对本项目设计调查问卷，对本项目受益对象随机发放并收回了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50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份有效调查问卷，平均得分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分。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  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数据分析和撰写报告</w:t>
      </w:r>
    </w:p>
    <w:p w14:paraId="75FAC54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评价组在前期数据采集和填报的基础上，对项目的成本控制、各项绩效指标进行了详细分析，严格按照《盘龙区区级部门预算绩效自评管理暂行办法》的要求撰写项目支出绩效评价报告。</w:t>
      </w:r>
    </w:p>
    <w:p w14:paraId="5B2FD059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18" w:name="_Toc20289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（五）绩效评价的局限性</w:t>
      </w:r>
      <w:bookmarkEnd w:id="18"/>
    </w:p>
    <w:p w14:paraId="2AE12D77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由于该项目为经费类项目，故以本单位实际开展日常工作情况为绩效效果进行考评，且资金管理由本单位进行统一管理。</w:t>
      </w:r>
    </w:p>
    <w:p w14:paraId="03FB80F8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19" w:name="_Toc32321"/>
      <w:r>
        <w:rPr>
          <w:rFonts w:hint="eastAsia" w:ascii="黑体" w:hAnsi="黑体" w:eastAsia="黑体" w:cstheme="minorBidi"/>
          <w:kern w:val="44"/>
          <w:sz w:val="32"/>
          <w:szCs w:val="32"/>
        </w:rPr>
        <w:t>三、评价结论</w:t>
      </w:r>
      <w:r>
        <w:rPr>
          <w:rFonts w:hint="eastAsia" w:ascii="黑体" w:hAnsi="黑体" w:eastAsia="黑体" w:cstheme="minorBidi"/>
          <w:kern w:val="44"/>
          <w:sz w:val="32"/>
          <w:szCs w:val="32"/>
          <w:lang w:eastAsia="zh-CN"/>
        </w:rPr>
        <w:t>和</w:t>
      </w:r>
      <w:r>
        <w:rPr>
          <w:rFonts w:hint="eastAsia" w:ascii="黑体" w:hAnsi="黑体" w:eastAsia="黑体" w:cstheme="minorBidi"/>
          <w:kern w:val="44"/>
          <w:sz w:val="32"/>
          <w:szCs w:val="32"/>
        </w:rPr>
        <w:t>绩效分析</w:t>
      </w:r>
      <w:bookmarkEnd w:id="19"/>
    </w:p>
    <w:p w14:paraId="6D26FD9A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0" w:name="_Toc27975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(一)评价结论</w:t>
      </w:r>
      <w:bookmarkEnd w:id="20"/>
    </w:p>
    <w:p w14:paraId="24411DCD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 xml:space="preserve">评价结果 </w:t>
      </w:r>
    </w:p>
    <w:p w14:paraId="5A0C923E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对投入类指标、过程类指标和产出效益类指标的分析，本项目立项规范，绩效目标质量较好，项目管理制度执行情况良好。项目严格执行财务管理相关制度的规定，财务制度健全，管理规范，做到了专款专用，无贪污、截留、挪用现象。</w:t>
      </w:r>
    </w:p>
    <w:p w14:paraId="404F330D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综上，根据《盘龙区区级部门预算绩效自评管理暂行办法》，项目绩效评价得分为9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分，自评结果为优。</w:t>
      </w:r>
    </w:p>
    <w:p w14:paraId="55A1A39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主要绩效</w:t>
      </w:r>
    </w:p>
    <w:p w14:paraId="1798C49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本项目不属于投资建设类项目，主要内容为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我单位管理的机关食堂食材费、劳务派遣人员加班费、电费、煤气费、劳保用品费、材料维修费等支出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度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该项工作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完成效益较好，保证了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区委、区政府各项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工作的顺利开展。</w:t>
      </w:r>
    </w:p>
    <w:p w14:paraId="52C619C4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1" w:name="_Toc8725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（二）具体绩效分析</w:t>
      </w:r>
      <w:bookmarkEnd w:id="21"/>
    </w:p>
    <w:p w14:paraId="09C04CA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具体详见附件1（业务经费项目支出绩效评价共性指标体系）</w:t>
      </w:r>
      <w:bookmarkStart w:id="22" w:name="_Toc522800820"/>
      <w:bookmarkEnd w:id="22"/>
    </w:p>
    <w:p w14:paraId="603D9BA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23" w:name="_Toc23606"/>
      <w:r>
        <w:rPr>
          <w:rFonts w:hint="eastAsia" w:ascii="黑体" w:hAnsi="黑体" w:eastAsia="黑体" w:cstheme="minorBidi"/>
          <w:kern w:val="44"/>
          <w:sz w:val="32"/>
          <w:szCs w:val="32"/>
        </w:rPr>
        <w:t>四、成本效益分析</w:t>
      </w:r>
      <w:bookmarkEnd w:id="23"/>
    </w:p>
    <w:p w14:paraId="62854803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4" w:name="_Toc18853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（一）项目经济性分析</w:t>
      </w:r>
      <w:bookmarkEnd w:id="24"/>
    </w:p>
    <w:p w14:paraId="72CDF27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项目成本控制情况</w:t>
      </w:r>
    </w:p>
    <w:p w14:paraId="1130AA2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根据昆明市盘龙区财政局昆明市盘龙区财政局《关于下达盘龙区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部门预算的批复》（盘财〔201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〕1号）下达“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业务补助经费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”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元，本次绩效评价实际到位资金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元，用于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机关食堂食材费、劳务派遣人员加班费、电费、煤气费、劳保用品费、材料维修费等支出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机关事务管理服务中心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相关财务资料显示资金支出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4160700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元，项目资金使用控制在预算范围内。</w:t>
      </w:r>
    </w:p>
    <w:p w14:paraId="0D1C0C5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项目的效率性分析</w:t>
      </w:r>
    </w:p>
    <w:p w14:paraId="2FA8D51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根据相关的项目资料显示，截止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2019年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12月31日，本单位各项工作均有序进行。</w:t>
      </w:r>
    </w:p>
    <w:p w14:paraId="6F6E99CC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5" w:name="_Toc32152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（二）项目的效益性分析</w:t>
      </w:r>
      <w:bookmarkEnd w:id="25"/>
    </w:p>
    <w:p w14:paraId="1181E8F6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经济效益</w:t>
      </w:r>
    </w:p>
    <w:p w14:paraId="102C83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机关食堂工作是一项后勤保障工作，其直接和间接的经济效益难以计算。在本项目的实施过程中，其直接和间接的经济效益主要体现在以下几个方面：</w:t>
      </w:r>
    </w:p>
    <w:p w14:paraId="49A969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盘龙区机关食堂人员进行劳务派遣，通过公司完善的用人管理模式，最大限度地降低机关事务局人力资源利用成本和风险。如：工资薪酬的发放、社会保险的代收代缴、合同的签订、续订和解除，相关问题和争议的处理、日常一系列的人事管理等全部由聘请的专业公司负责。这样机关事务局不但提高了管理水平和服务水平，还有效地降低人员运行成本。</w:t>
      </w:r>
    </w:p>
    <w:p w14:paraId="156EB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机关食堂的食品、菜品采购由采购办、财务室、食堂三方监管执行，加强了成本控制，节约了成本。</w:t>
      </w:r>
    </w:p>
    <w:p w14:paraId="52379064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社会效益</w:t>
      </w:r>
    </w:p>
    <w:p w14:paraId="772125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为区机关干部职工提供工作用餐，为工作、会议等活动的有序开展提供了有力的保障。</w:t>
      </w:r>
    </w:p>
    <w:p w14:paraId="2FBC36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会议用食堂工作餐，是认真贯彻落实中央、省、市关于提倡勤俭节约，杜绝铺张浪费，反对“四风”的具体体现。</w:t>
      </w:r>
    </w:p>
    <w:p w14:paraId="61E73C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机关后勤保障工作有利于增加就业。</w:t>
      </w:r>
    </w:p>
    <w:p w14:paraId="7C114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食堂就业容量大,对扩大就业具有重要作用。目前,食堂吸纳的劳动力中大部分来自企事业单位下岗分流人员、农村剩余劳动力及部队复转军人等,对于缓解就业矛盾作出了重要贡献，对增加就业将起到积极的推动作用。</w:t>
      </w:r>
    </w:p>
    <w:p w14:paraId="783BD0C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40" w:after="330" w:line="500" w:lineRule="exact"/>
        <w:ind w:firstLine="643" w:firstLineChars="200"/>
        <w:jc w:val="both"/>
        <w:rPr>
          <w:rFonts w:ascii="黑体" w:hAnsi="黑体" w:eastAsia="黑体" w:cstheme="minorBidi"/>
          <w:kern w:val="44"/>
          <w:sz w:val="32"/>
          <w:szCs w:val="32"/>
        </w:rPr>
      </w:pPr>
      <w:bookmarkStart w:id="26" w:name="_Toc15855"/>
      <w:r>
        <w:rPr>
          <w:rFonts w:hint="eastAsia" w:ascii="黑体" w:hAnsi="黑体" w:eastAsia="黑体" w:cstheme="minorBidi"/>
          <w:kern w:val="44"/>
          <w:sz w:val="32"/>
          <w:szCs w:val="32"/>
        </w:rPr>
        <w:t>五、项目主要经验及做法、存在的问题和建议</w:t>
      </w:r>
      <w:bookmarkEnd w:id="26"/>
    </w:p>
    <w:p w14:paraId="67FCBF3D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27" w:name="_Toc13701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（一）主要经验及做法</w:t>
      </w:r>
      <w:bookmarkEnd w:id="27"/>
    </w:p>
    <w:p w14:paraId="3A4FDEBC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1.强化组织领导</w:t>
      </w:r>
    </w:p>
    <w:p w14:paraId="41F7194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成立由部门负责人任组长的绩效评价领导小组，保证了财政支出绩效评价各项工作的顺利开展。</w:t>
      </w:r>
    </w:p>
    <w:p w14:paraId="05EDAA3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2.加强学习，强化绩效管理的理念。</w:t>
      </w:r>
    </w:p>
    <w:p w14:paraId="10C93246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认真学习财政部《关于推进预算绩效管理的指导意见》（财预〔2014〕416号）、云南省财政厅《云南省省级部门财政支出绩效办法》（云财预〔2016〕98号）、《盘龙区区级部门预算绩效自评管理暂行办法》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、《昆明市盘龙区财政局关于开展2019年度区级预算支出绩效自评工作的通知》（盘财〔2020〕1号）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相关绩效管理文件，吃透文件精神，强化绩效管理的理念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57C7EDF2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3.创新方式，落实责任</w:t>
      </w:r>
    </w:p>
    <w:p w14:paraId="44AC863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创新管理方式，落实岗位责任制，夯实基础工作，突出工作重点，强化制度建设，推动本单位预算绩效管理各项工作齐头并进。</w:t>
      </w:r>
    </w:p>
    <w:p w14:paraId="1D8302BF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color w:val="auto"/>
          <w:kern w:val="2"/>
          <w:sz w:val="32"/>
          <w:szCs w:val="32"/>
          <w:u w:val="none"/>
        </w:rPr>
      </w:pPr>
      <w:bookmarkStart w:id="28" w:name="_Toc32098"/>
      <w:bookmarkStart w:id="29" w:name="_（二）存在的问题_1"/>
      <w:r>
        <w:rPr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fldChar w:fldCharType="begin"/>
      </w:r>
      <w:r>
        <w:rPr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instrText xml:space="preserve"> HYPERLINK \l "_（二）存在的问题_1" </w:instrText>
      </w:r>
      <w:r>
        <w:rPr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fldChar w:fldCharType="separate"/>
      </w:r>
      <w:r>
        <w:rPr>
          <w:rStyle w:val="13"/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t>（二）存在的问题</w:t>
      </w:r>
      <w:r>
        <w:rPr>
          <w:rFonts w:hint="eastAsia" w:ascii="楷体_GB2312" w:eastAsia="楷体_GB2312" w:hAnsiTheme="majorHAnsi" w:cstheme="majorBidi"/>
          <w:color w:val="auto"/>
          <w:kern w:val="2"/>
          <w:sz w:val="32"/>
          <w:szCs w:val="32"/>
          <w:u w:val="none"/>
        </w:rPr>
        <w:fldChar w:fldCharType="end"/>
      </w:r>
      <w:bookmarkEnd w:id="28"/>
    </w:p>
    <w:bookmarkEnd w:id="29"/>
    <w:p w14:paraId="44ACF98F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业务补助经费主要用于机关食堂运行维护费用支出，因地点分散及服务对象众多，我单位对工作人员和服务的监管相对薄弱，考核评价体系及相应制度欠缺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</w:rPr>
        <w:t>。</w:t>
      </w:r>
    </w:p>
    <w:p w14:paraId="69943AA9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2.为避免工作中出现矛盾，大部分人员的工资水平差距不大，致使部分人员的薪资水平与社会平均工资差异较大，使得这部分人工作积极性难以提高。</w:t>
      </w:r>
    </w:p>
    <w:p w14:paraId="443A627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因工资水平整体偏低，致使日常工作中人员流动性较大，部分人员的综合素质不高，在服务质量上和干部职工的要求还有差距。</w:t>
      </w:r>
    </w:p>
    <w:p w14:paraId="7F7C911A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4.因种种特殊原因，向社会购买服务的范围有待进一步扩大。</w:t>
      </w:r>
    </w:p>
    <w:p w14:paraId="78790FC5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00" w:lineRule="exact"/>
        <w:ind w:firstLine="643" w:firstLineChars="200"/>
        <w:jc w:val="both"/>
        <w:rPr>
          <w:rFonts w:ascii="楷体_GB2312" w:eastAsia="楷体_GB2312" w:hAnsiTheme="majorHAnsi" w:cstheme="majorBidi"/>
          <w:kern w:val="2"/>
          <w:sz w:val="32"/>
          <w:szCs w:val="32"/>
        </w:rPr>
      </w:pPr>
      <w:bookmarkStart w:id="30" w:name="_Toc20639"/>
      <w:r>
        <w:rPr>
          <w:rFonts w:hint="eastAsia" w:ascii="楷体_GB2312" w:eastAsia="楷体_GB2312" w:hAnsiTheme="majorHAnsi" w:cstheme="majorBidi"/>
          <w:kern w:val="2"/>
          <w:sz w:val="32"/>
          <w:szCs w:val="32"/>
        </w:rPr>
        <w:t>（三）建议和改进措施</w:t>
      </w:r>
      <w:bookmarkEnd w:id="30"/>
    </w:p>
    <w:p w14:paraId="4FAA6618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1.根据不同的服务内容，制定更加科学、合理、细致的考核评价体系，强化对各类服务人员的日常监管，切实提高服务水平。</w:t>
      </w:r>
    </w:p>
    <w:p w14:paraId="0958F750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eastAsia="zh-CN"/>
        </w:rPr>
        <w:t>根据不同工作岗位的重要性、工作量、专业技术水平等，制定更加合理的薪资标准，不断激励并倡导所有人员新城必学赶超的良好工作氛围。</w:t>
      </w:r>
    </w:p>
    <w:p w14:paraId="1DD1667B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3.继续推行“减员增资”的工作方法，科学设置工作岗位的具体工作职责，压缩劳务派遣人员数量，不断提高劳务派遣人员的薪资收入，确保留得住人、干的成事。</w:t>
      </w:r>
    </w:p>
    <w:p w14:paraId="70527D23">
      <w:pPr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705"/>
        <w:jc w:val="left"/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宋体"/>
          <w:color w:val="333333"/>
          <w:kern w:val="0"/>
          <w:sz w:val="32"/>
          <w:szCs w:val="32"/>
          <w:lang w:val="en-US" w:eastAsia="zh-CN"/>
        </w:rPr>
        <w:t>4.积极探索向社会购买服务的模式，继续扩大机关后勤服务社会化程度，由服务提供者向监管者转变。</w:t>
      </w:r>
    </w:p>
    <w:p w14:paraId="16E586C2">
      <w:pPr>
        <w:widowControl/>
        <w:shd w:val="clear" w:color="auto" w:fill="FFFFFF"/>
        <w:ind w:firstLine="555"/>
        <w:jc w:val="left"/>
        <w:outlineLvl w:val="2"/>
        <w:rPr>
          <w:rFonts w:ascii="仿宋_GB2312" w:hAnsi="仿宋" w:eastAsia="仿宋_GB2312" w:cs="宋体"/>
          <w:color w:val="333333"/>
          <w:kern w:val="0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A7B7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A6BDF0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NJQg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CA6BDF0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621A7"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1D6"/>
    <w:rsid w:val="000067C5"/>
    <w:rsid w:val="00016188"/>
    <w:rsid w:val="0003079A"/>
    <w:rsid w:val="00052DD1"/>
    <w:rsid w:val="00064085"/>
    <w:rsid w:val="00065FAB"/>
    <w:rsid w:val="000A189D"/>
    <w:rsid w:val="000C23F4"/>
    <w:rsid w:val="000D4284"/>
    <w:rsid w:val="000E03E5"/>
    <w:rsid w:val="00125208"/>
    <w:rsid w:val="00125431"/>
    <w:rsid w:val="00126F57"/>
    <w:rsid w:val="0013320E"/>
    <w:rsid w:val="00161615"/>
    <w:rsid w:val="00176E0C"/>
    <w:rsid w:val="0017797D"/>
    <w:rsid w:val="001A07AF"/>
    <w:rsid w:val="001B7840"/>
    <w:rsid w:val="001D7066"/>
    <w:rsid w:val="001E6CD3"/>
    <w:rsid w:val="002A7442"/>
    <w:rsid w:val="003033E8"/>
    <w:rsid w:val="00370834"/>
    <w:rsid w:val="003759C8"/>
    <w:rsid w:val="00382F35"/>
    <w:rsid w:val="003A6B1A"/>
    <w:rsid w:val="00404B4C"/>
    <w:rsid w:val="004424D2"/>
    <w:rsid w:val="004641D6"/>
    <w:rsid w:val="0046763C"/>
    <w:rsid w:val="004F1C6A"/>
    <w:rsid w:val="00517F76"/>
    <w:rsid w:val="00540427"/>
    <w:rsid w:val="005457FD"/>
    <w:rsid w:val="00560CAF"/>
    <w:rsid w:val="00566D4A"/>
    <w:rsid w:val="00581C86"/>
    <w:rsid w:val="005A5C58"/>
    <w:rsid w:val="005C46F2"/>
    <w:rsid w:val="00625C2D"/>
    <w:rsid w:val="006272BF"/>
    <w:rsid w:val="00633A67"/>
    <w:rsid w:val="00636E7D"/>
    <w:rsid w:val="006455AF"/>
    <w:rsid w:val="00647808"/>
    <w:rsid w:val="00684C7D"/>
    <w:rsid w:val="006C6157"/>
    <w:rsid w:val="00702B18"/>
    <w:rsid w:val="00750121"/>
    <w:rsid w:val="0075317D"/>
    <w:rsid w:val="00753A9C"/>
    <w:rsid w:val="00797B22"/>
    <w:rsid w:val="007A2583"/>
    <w:rsid w:val="007A54AC"/>
    <w:rsid w:val="007C61D5"/>
    <w:rsid w:val="007F12BD"/>
    <w:rsid w:val="007F16C0"/>
    <w:rsid w:val="007F2B86"/>
    <w:rsid w:val="007F4380"/>
    <w:rsid w:val="0084602A"/>
    <w:rsid w:val="00862191"/>
    <w:rsid w:val="00874737"/>
    <w:rsid w:val="008A1F73"/>
    <w:rsid w:val="008E639C"/>
    <w:rsid w:val="008F235D"/>
    <w:rsid w:val="00912263"/>
    <w:rsid w:val="009647CC"/>
    <w:rsid w:val="009845E8"/>
    <w:rsid w:val="00A079AD"/>
    <w:rsid w:val="00A169DA"/>
    <w:rsid w:val="00A246C6"/>
    <w:rsid w:val="00A340FE"/>
    <w:rsid w:val="00A53BF3"/>
    <w:rsid w:val="00A55682"/>
    <w:rsid w:val="00A766EB"/>
    <w:rsid w:val="00AA0784"/>
    <w:rsid w:val="00B119F6"/>
    <w:rsid w:val="00B756D2"/>
    <w:rsid w:val="00B90055"/>
    <w:rsid w:val="00BB42A4"/>
    <w:rsid w:val="00BC16C8"/>
    <w:rsid w:val="00BD3A6A"/>
    <w:rsid w:val="00BE5D8B"/>
    <w:rsid w:val="00C331EC"/>
    <w:rsid w:val="00C52C64"/>
    <w:rsid w:val="00CA1539"/>
    <w:rsid w:val="00CB5F00"/>
    <w:rsid w:val="00CC3DEA"/>
    <w:rsid w:val="00CD4325"/>
    <w:rsid w:val="00D23DD1"/>
    <w:rsid w:val="00D31FE5"/>
    <w:rsid w:val="00D334D3"/>
    <w:rsid w:val="00D8264F"/>
    <w:rsid w:val="00DB3B05"/>
    <w:rsid w:val="00DC164C"/>
    <w:rsid w:val="00DD1F9F"/>
    <w:rsid w:val="00E131B3"/>
    <w:rsid w:val="00E23CD1"/>
    <w:rsid w:val="00E24D83"/>
    <w:rsid w:val="00E44D2C"/>
    <w:rsid w:val="00E54629"/>
    <w:rsid w:val="00E76CAF"/>
    <w:rsid w:val="00E854E6"/>
    <w:rsid w:val="00E9458B"/>
    <w:rsid w:val="00E94B83"/>
    <w:rsid w:val="00EB6335"/>
    <w:rsid w:val="00EF2A7D"/>
    <w:rsid w:val="00F46785"/>
    <w:rsid w:val="00F65B66"/>
    <w:rsid w:val="00F722B8"/>
    <w:rsid w:val="00FC6E77"/>
    <w:rsid w:val="00FF14B8"/>
    <w:rsid w:val="07E53AA5"/>
    <w:rsid w:val="0CA674F8"/>
    <w:rsid w:val="0CB133F8"/>
    <w:rsid w:val="0CEC0DCB"/>
    <w:rsid w:val="0D9B5F72"/>
    <w:rsid w:val="17D07B0F"/>
    <w:rsid w:val="1C14219E"/>
    <w:rsid w:val="22101167"/>
    <w:rsid w:val="23DA27E5"/>
    <w:rsid w:val="27DB65C5"/>
    <w:rsid w:val="2A77636F"/>
    <w:rsid w:val="3998162A"/>
    <w:rsid w:val="404C688B"/>
    <w:rsid w:val="4443640D"/>
    <w:rsid w:val="4DB13B20"/>
    <w:rsid w:val="55633DC9"/>
    <w:rsid w:val="676C6B9F"/>
    <w:rsid w:val="6AE22D92"/>
    <w:rsid w:val="73CB53E3"/>
    <w:rsid w:val="774342DA"/>
    <w:rsid w:val="7E947B8D"/>
    <w:rsid w:val="7F022BD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5"/>
    <w:qFormat/>
    <w:uiPriority w:val="9"/>
    <w:pPr>
      <w:widowControl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16"/>
    <w:qFormat/>
    <w:uiPriority w:val="9"/>
    <w:pPr>
      <w:widowControl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unhideWhenUsed/>
    <w:qFormat/>
    <w:uiPriority w:val="39"/>
    <w:pPr>
      <w:tabs>
        <w:tab w:val="right" w:leader="dot" w:pos="8296"/>
      </w:tabs>
      <w:jc w:val="center"/>
    </w:pPr>
    <w:rPr>
      <w:rFonts w:ascii="Times New Roman" w:hAnsi="Times New Roman" w:eastAsia="黑体" w:cs="Times New Roman"/>
      <w:sz w:val="36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styleId="9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</w:rPr>
  </w:style>
  <w:style w:type="character" w:customStyle="1" w:styleId="14">
    <w:name w:val="标题 1 Char"/>
    <w:basedOn w:val="11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5">
    <w:name w:val="标题 2 Char"/>
    <w:basedOn w:val="11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6">
    <w:name w:val="标题 3 Char"/>
    <w:basedOn w:val="11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sz w:val="18"/>
      <w:szCs w:val="18"/>
    </w:rPr>
  </w:style>
  <w:style w:type="paragraph" w:customStyle="1" w:styleId="19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val="none" w:color="00000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35CAA9E-ED59-4A4A-AE73-F9F20DA307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16</Pages>
  <Words>815</Words>
  <Characters>863</Characters>
  <Lines>62</Lines>
  <Paragraphs>17</Paragraphs>
  <TotalTime>2</TotalTime>
  <ScaleCrop>false</ScaleCrop>
  <LinksUpToDate>false</LinksUpToDate>
  <CharactersWithSpaces>961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2019-04-19T05:07:00Z</dcterms:created>
  <dc:creator>蒋仁玲</dc:creator>
  <cp:lastModifiedBy>景鸿成</cp:lastModifiedBy>
  <cp:lastPrinted>2020-05-09T06:38:00Z</cp:lastPrinted>
  <dcterms:modified xsi:type="dcterms:W3CDTF">2025-06-26T10:35:21Z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EB7DEA332A1A49EDAA57738D230EE5AC_13</vt:lpwstr>
  </property>
  <property fmtid="{D5CDD505-2E9C-101B-9397-08002B2CF9AE}" pid="4" name="KSOTemplateDocerSaveRecord">
    <vt:lpwstr>eyJoZGlkIjoiY2JlNzQyMzg5YmZjMjE5ZTE1MTdiMzJkYzQxNmE5NDciLCJ1c2VySWQiOiIyNTkzNDUzOTYifQ==</vt:lpwstr>
  </property>
</Properties>
</file>