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3B49D">
      <w:pPr>
        <w:spacing w:line="520" w:lineRule="exact"/>
        <w:ind w:left="840" w:hanging="840" w:hangingChars="300"/>
        <w:jc w:val="left"/>
        <w:rPr>
          <w:rFonts w:ascii="方正小标宋_GBK" w:hAnsi="Calibri" w:eastAsia="方正小标宋_GBK" w:cs="Times New Roman"/>
          <w:sz w:val="28"/>
          <w:szCs w:val="28"/>
        </w:rPr>
      </w:pPr>
    </w:p>
    <w:p w14:paraId="6A5EBDCA">
      <w:pPr>
        <w:spacing w:before="120" w:after="120" w:line="480" w:lineRule="auto"/>
        <w:jc w:val="center"/>
        <w:rPr>
          <w:rFonts w:ascii="Times New Roman" w:hAnsi="Times New Roman" w:eastAsia="黑体" w:cs="Times New Roman"/>
          <w:b/>
          <w:bCs/>
          <w:sz w:val="52"/>
          <w:szCs w:val="52"/>
        </w:rPr>
      </w:pPr>
    </w:p>
    <w:p w14:paraId="2BDB8C7F">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昆明市盘龙区人民政府办公室业务经费项目支出绩效自评报告</w:t>
      </w:r>
    </w:p>
    <w:p w14:paraId="2637A4BC">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（2019年度）</w:t>
      </w:r>
    </w:p>
    <w:p w14:paraId="26E7542D">
      <w:pPr>
        <w:spacing w:before="120" w:after="120" w:line="480" w:lineRule="auto"/>
        <w:jc w:val="center"/>
        <w:rPr>
          <w:rFonts w:ascii="Times New Roman" w:hAnsi="Times New Roman" w:eastAsia="黑体" w:cs="Times New Roman"/>
          <w:b/>
          <w:bCs/>
          <w:sz w:val="52"/>
          <w:szCs w:val="52"/>
        </w:rPr>
      </w:pPr>
    </w:p>
    <w:p w14:paraId="529A6A32">
      <w:pPr>
        <w:spacing w:before="120" w:after="120" w:line="480" w:lineRule="auto"/>
        <w:jc w:val="center"/>
        <w:rPr>
          <w:rFonts w:ascii="Times New Roman" w:hAnsi="Times New Roman" w:eastAsia="宋体" w:cs="Times New Roman"/>
          <w:b/>
          <w:bCs/>
          <w:sz w:val="44"/>
          <w:szCs w:val="44"/>
        </w:rPr>
      </w:pPr>
    </w:p>
    <w:p w14:paraId="35143E9D">
      <w:pPr>
        <w:spacing w:before="120" w:after="120" w:line="480" w:lineRule="auto"/>
        <w:jc w:val="center"/>
        <w:rPr>
          <w:rFonts w:ascii="Times New Roman" w:hAnsi="Times New Roman" w:eastAsia="宋体" w:cs="Times New Roman"/>
          <w:b/>
          <w:bCs/>
          <w:sz w:val="44"/>
          <w:szCs w:val="44"/>
        </w:rPr>
      </w:pPr>
    </w:p>
    <w:p w14:paraId="0C4DB863">
      <w:pPr>
        <w:spacing w:before="120" w:after="120" w:line="480" w:lineRule="auto"/>
        <w:jc w:val="center"/>
        <w:rPr>
          <w:rFonts w:ascii="Times New Roman" w:hAnsi="Times New Roman" w:eastAsia="黑体" w:cs="Times New Roman"/>
          <w:b/>
          <w:bCs/>
          <w:sz w:val="44"/>
          <w:szCs w:val="44"/>
        </w:rPr>
      </w:pPr>
    </w:p>
    <w:p w14:paraId="13FA87E2">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iMaVJ+AEAAMwDAAAOAAAAZHJzL2Uyb0RvYy54bWytU8GO&#10;0zAQvSPxD5bvNG1FEBs13UOr5bJApV0+wHWcxMLxWGO3aX+CH0DiBJyA0975Glg+g7HTlmW57IEc&#10;LNvjeW/em8nsfNcZtlXoNdiST0ZjzpSVUGnblPzN9cWT55z5IGwlDFhV8r3y/Hz++NGsd4WaQgum&#10;UsgIxPqidyVvQ3BFlnnZqk74EThlKVgDdiLQEZusQtETemey6Xj8LOsBK4cglfd0uxyC/ICIDwGE&#10;utZSLUFuOmXDgIrKiECSfKud5/NUbV0rGV7XtVeBmZKT0pBWIqH9Oq7ZfCaKBoVrtTyUIB5Swj1N&#10;ndCWSE9QSxEE26D+B6rTEsFDHUYSumwQkhwhFZPxPW+uWuFU0kJWe3cy3f8/WPlqu0Kmq5LnnFnR&#10;UcNv39/8fPfp9tvXHx9vfn3/EPdfPrM8WtU7X1DGwq4wipU7e+UuQb71zMKiFbZRqeTrvSOcSczI&#10;/kqJB++IcN2/hIreiE2A5Nuuxi5CkiNsl9qzP7VH7QKTdDl9epbnOXVOHmOZKI6JDn14oaBjcVNy&#10;H1Dopg0LsJaGAHCSaMT20odYliiOCZHVwoU2Js2Csawv+Vk+zVOCB6OrGIzPPDbrhUG2FXGa0pc0&#10;UuTuM4SNrQYSY2OeSoN4YD56MLi5hmq/wqNR1ORU22Eg4xTdPSc7//yE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6lyg1wAAAAkBAAAPAAAAAAAAAAEAIAAAACIAAABkcnMvZG93bnJldi54bWxQ&#10;SwECFAAUAAAACACHTuJAYjGlSf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部门名称（公章）：昆明市盘龙区人民政府办公室</w:t>
      </w:r>
    </w:p>
    <w:p w14:paraId="37F25446">
      <w:pPr>
        <w:adjustRightInd w:val="0"/>
        <w:snapToGrid w:val="0"/>
        <w:spacing w:line="360" w:lineRule="auto"/>
        <w:ind w:left="1260" w:leftChars="600"/>
        <w:rPr>
          <w:rFonts w:ascii="Times New Roman" w:hAnsi="Times New Roman" w:eastAsia="黑体" w:cs="黑体"/>
          <w:b/>
          <w:bCs/>
          <w:sz w:val="28"/>
          <w:szCs w:val="28"/>
          <w:u w:val="single"/>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JzBD+QEAAMwDAAAOAAAAZHJzL2Uyb0RvYy54bWytU8GO&#10;0zAQvSPxD5bvNG3VIjZquodWy2WBSrt8gOs4iYXjscZu0/4EP4DECTjBnvbO18DyGYydtizLZQ/k&#10;YNkez3vz3kxm57vWsK1Cr8EWfDQYcqashFLbuuBvry+eveDMB2FLYcCqgu+V5+fzp09mncvVGBow&#10;pUJGINbnnSt4E4LLs8zLRrXCD8ApS8EKsBWBjlhnJYqO0FuTjYfD51kHWDoEqbyn22Uf5AdEfAwg&#10;VJWWagly0yobelRURgSS5BvtPJ+naqtKyfCmqrwKzBSclIa0Egnt13HN5jOR1yhco+WhBPGYEh5o&#10;aoW2RHqCWoog2Ab1P1CtlggeqjCQ0Ga9kOQIqRgNH3hz1Qinkhay2ruT6f7/wcrX2xUyXRZ8wpkV&#10;LTX87sPtz/ef726+/fh0++v7x7j/+oVNolWd8zllLOwKo1i5s1fuEuQ7zywsGmFrlUq+3jvCGcWM&#10;7K+UePCOCNfdKyjpjdgESL7tKmwjJDnCdqk9+1N71C4wSZfjydl0OqXOyWMsE/kx0aEPLxW0LG4K&#10;7gMKXTdhAdbSEACOEo3YXvoQyxL5MSGyWrjQxqRZMJZ1BT+bjqcpwYPRZQzGZx7r9cIg24o4TelL&#10;Gily/xnCxpY9ibExT6VBPDAfPejdXEO5X+HRKGpyqu0wkHGK7p+TnX9+w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GEXYNcAAAAJAQAADwAAAAAAAAABACAAAAAiAAAAZHJzL2Rvd25yZXYueG1s&#10;UEsBAhQAFAAAAAgAh07iQIsnMEP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项目单位：昆明市盘龙区人民政府办公室</w:t>
      </w:r>
    </w:p>
    <w:p w14:paraId="2FB32D64">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UR9t2+QEAAMwDAAAOAAAAZHJzL2Uyb0RvYy54bWytU81u&#10;EzEQviPxDpbvZJOUILrKpodE5VKgUssDOF7vroXtscZONnkJXgCJE3ACTr3zNFAeg7HzQymXHtiD&#10;ZXs83zffN7PTs401bK0waHAVHw2GnCknodaurfib6/MnzzkLUbhaGHCq4lsV+Nns8aNp70s1hg5M&#10;rZARiAtl7yvexejLogiyU1aEAXjlKNgAWhHpiG1Ro+gJ3ZpiPBw+K3rA2iNIFQLdLnZBvkfEhwBC&#10;02ipFiBXVrm4Q0VlRCRJodM+8FmutmmUjK+bJqjITMVJacwrkdB+mdZiNhVli8J3Wu5LEA8p4Z4m&#10;K7Qj0iPUQkTBVqj/gbJaIgRo4kCCLXZCsiOkYjS8581VJ7zKWsjq4I+mh/8HK1+tL5HpuuInnDlh&#10;qeG3729+vvt0++3rj483v75/SPsvn9lJsqr3oaSMubvEJFZu3JW/APk2MAfzTrhW5ZKvt55wRimj&#10;+CslHYInwmX/Emp6I1YRsm+bBm2CJEfYJrdne2yP2kQm6XL89HQymVDn5CFWiPKQ6DHEFwosS5uK&#10;h4hCt12cg3M0BICjTCPWFyGmskR5SEisDs61MXkWjGN9xU8n40lOCGB0nYLpWcB2OTfI1iJNU/6y&#10;RorcfYawcvWOxLiUp/Ig7pkPHuzcXEK9vcSDUdTkXNt+INMU3T1nO//8hL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BRH23b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主管部门：昆明市盘龙区人民政府</w:t>
      </w:r>
    </w:p>
    <w:p w14:paraId="5B0D775C">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9UU58+QEAAMwDAAAOAAAAZHJzL2Uyb0RvYy54bWytU8GO&#10;0zAQvSPxD5bvNG1EERs13UOr5bJApV0+wHWcxMLxWGO3aX+CH0DiBJyA0975Glg+g7HTlmW57IEc&#10;LNvjeW/em8nsfNcZtlXoNdiST0ZjzpSVUGnblPzN9cWT55z5IGwlDFhV8r3y/Hz++NGsd4XKoQVT&#10;KWQEYn3Ru5K3Ibgiy7xsVSf8CJyyFKwBOxHoiE1WoegJvTNZPh4/y3rAyiFI5T3dLocgPyDiQwCh&#10;rrVUS5CbTtkwoKIyIpAk32rn+TxVW9dKhtd17VVgpuSkNKSVSGi/jms2n4miQeFaLQ8liIeUcE9T&#10;J7Ql0hPUUgTBNqj/geq0RPBQh5GELhuEJEdIxWR8z5urVjiVtJDV3p1M9/8PVr7arpDpquQ5Z1Z0&#10;1PDb9zc/3326/fb1x8ebX98/xP2XzyyPVvXOF5SxsCuMYuXOXrlLkG89s7BohW1UKvl67whnEjOy&#10;v1LiwTsiXPcvoaI3YhMg+barsYuQ5AjbpfbsT+1Ru8AkXeZPz6bTKXVOHmOZKI6JDn14oaBjcVNy&#10;H1Dopg0LsJaGAHCSaMT20odYliiOCZHVwoU2Js2Csawv+dk0n6YED0ZXMRifeWzWC4NsK+I0pS9p&#10;pMjdZwgbWw0kxsY8lQbxwHz0YHBzDdV+hUejqMmptsNAxim6e052/vkJ5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P1RTnz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Times New Roman"/>
          <w:b/>
          <w:bCs/>
          <w:sz w:val="28"/>
          <w:szCs w:val="28"/>
        </w:rPr>
        <w:t>业务经费</w:t>
      </w:r>
    </w:p>
    <w:p w14:paraId="18320A83">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GavFj+AEAAMwDAAAOAAAAZHJzL2Uyb0RvYy54bWytU72O&#10;EzEQ7pF4B8s92SQiiFtlc0Wiozkg0h0P4Hi9uxa2xxo72eQleAEkKqACqut5Gjgeg7HzA3c0V7CF&#10;Zc/M983MN7PT8601bKMwaHAVHw2GnCknodaurfib64snzzkLUbhaGHCq4jsV+Pns8aNp70s1hg5M&#10;rZARiQtl7yvexejLogiyU1aEAXjlyNkAWhHpiW1Ro+iJ3ZpiPBw+K3rA2iNIFQJZF3snPzDiQwih&#10;abRUC5Brq1zcs6IyIlJLodM+8FmutmmUjK+bJqjITMWp05hPSkL3VTqL2VSULQrfaXkoQTykhHs9&#10;WaEdJT1RLUQUbI36HyqrJUKAJg4k2GLfSFaEuhgN72lz1Qmvci8kdfAn0cP/o5WvNktkuqZN4MwJ&#10;SwO/fX/z892n229ff3y8+fX9Q7p/+cxGSareh5IQc7fE1Kzcuit/CfJtYA7mnXCtyiVf7zzxZERx&#10;B5IewVPCVf8SaooR6whZt22DNlGSImybx7M7jUdtI5NkHD89m0wmNDl59BWiPAI9hvhCgWXpUvEQ&#10;Uei2i3NwjpYAcJTTiM1liNQIAY+AlNXBhTYm74JxrK/42WQ8yYAARtfJmcICtqu5QbYRaZvyl1Qh&#10;sjthCGtX7+3GJZzKi3jIfNRgr+YK6t0SU3Cy05Az3WEh0xb9/c5Rf37C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0IL+71wAAAAkBAAAPAAAAAAAAAAEAIAAAACIAAABkcnMvZG93bnJldi54bWxQ&#10;SwECFAAUAAAACACHTuJAxmrxY/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Times New Roman"/>
          <w:b/>
          <w:bCs/>
          <w:sz w:val="28"/>
          <w:szCs w:val="28"/>
        </w:rPr>
        <w:t>2020年2月24日</w:t>
      </w:r>
    </w:p>
    <w:p w14:paraId="67686403">
      <w:pPr>
        <w:spacing w:line="360" w:lineRule="auto"/>
        <w:ind w:left="1218" w:leftChars="580"/>
        <w:rPr>
          <w:rFonts w:ascii="Times New Roman" w:hAnsi="Times New Roman" w:eastAsia="黑体" w:cs="Times New Roman"/>
          <w:b/>
          <w:bCs/>
          <w:sz w:val="28"/>
          <w:szCs w:val="28"/>
        </w:rPr>
      </w:pPr>
    </w:p>
    <w:p w14:paraId="6A9DE84F">
      <w:pPr>
        <w:jc w:val="center"/>
        <w:rPr>
          <w:rFonts w:ascii="Times New Roman" w:hAnsi="Times New Roman" w:eastAsia="黑体" w:cs="黑体"/>
          <w:b/>
          <w:bCs/>
          <w:sz w:val="28"/>
          <w:szCs w:val="28"/>
        </w:rPr>
      </w:pPr>
    </w:p>
    <w:p w14:paraId="1D50319D">
      <w:pPr>
        <w:jc w:val="center"/>
        <w:rPr>
          <w:rFonts w:ascii="Times New Roman" w:hAnsi="Times New Roman" w:eastAsia="黑体" w:cs="黑体"/>
          <w:b/>
          <w:bCs/>
          <w:sz w:val="28"/>
          <w:szCs w:val="28"/>
        </w:rPr>
      </w:pPr>
    </w:p>
    <w:p w14:paraId="189ECDF9">
      <w:pPr>
        <w:jc w:val="center"/>
        <w:rPr>
          <w:rFonts w:ascii="Times New Roman" w:hAnsi="Times New Roman" w:eastAsia="黑体" w:cs="黑体"/>
          <w:b/>
          <w:bCs/>
          <w:sz w:val="28"/>
          <w:szCs w:val="28"/>
        </w:rPr>
      </w:pPr>
    </w:p>
    <w:p w14:paraId="0A327F3B">
      <w:pPr>
        <w:jc w:val="center"/>
        <w:rPr>
          <w:rFonts w:ascii="Times New Roman" w:hAnsi="Times New Roman" w:eastAsia="黑体" w:cs="黑体"/>
          <w:b/>
          <w:bCs/>
          <w:sz w:val="28"/>
          <w:szCs w:val="28"/>
        </w:rPr>
      </w:pPr>
    </w:p>
    <w:p w14:paraId="7699776F">
      <w:pPr>
        <w:jc w:val="center"/>
        <w:rPr>
          <w:rFonts w:ascii="Times New Roman" w:hAnsi="Times New Roman" w:eastAsia="黑体" w:cs="黑体"/>
          <w:b/>
          <w:bCs/>
          <w:sz w:val="28"/>
          <w:szCs w:val="28"/>
        </w:rPr>
      </w:pPr>
    </w:p>
    <w:p w14:paraId="7DE97ECE">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0"/>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688"/>
        <w:gridCol w:w="1553"/>
        <w:gridCol w:w="1621"/>
      </w:tblGrid>
      <w:tr w14:paraId="2FD9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765B3FA9">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14:paraId="31F43A78">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14:paraId="30A0B5D8">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88" w:type="dxa"/>
            <w:vAlign w:val="center"/>
          </w:tcPr>
          <w:p w14:paraId="18BE3D2F">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553" w:type="dxa"/>
            <w:vAlign w:val="center"/>
          </w:tcPr>
          <w:p w14:paraId="1A95959E">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14:paraId="0625D920">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14:paraId="58E85A5C">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14:paraId="00C2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20" w:type="dxa"/>
            <w:vAlign w:val="center"/>
          </w:tcPr>
          <w:p w14:paraId="4619388D">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620" w:type="dxa"/>
          </w:tcPr>
          <w:p w14:paraId="38D76705">
            <w:pP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普 佳</w:t>
            </w:r>
          </w:p>
        </w:tc>
        <w:tc>
          <w:tcPr>
            <w:tcW w:w="1688" w:type="dxa"/>
          </w:tcPr>
          <w:p w14:paraId="4CDA24EE">
            <w:pP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政府办主任</w:t>
            </w:r>
          </w:p>
        </w:tc>
        <w:tc>
          <w:tcPr>
            <w:tcW w:w="1553" w:type="dxa"/>
          </w:tcPr>
          <w:p w14:paraId="4CAF87AD">
            <w:pPr>
              <w:rPr>
                <w:rFonts w:ascii="Times New Roman" w:hAnsi="Times New Roman" w:eastAsia="黑体" w:cs="黑体"/>
                <w:color w:val="000000"/>
                <w:sz w:val="24"/>
                <w:szCs w:val="24"/>
                <w:u w:color="000000"/>
                <w:lang w:val="zh-TW" w:eastAsia="zh-TW"/>
              </w:rPr>
            </w:pPr>
          </w:p>
        </w:tc>
        <w:tc>
          <w:tcPr>
            <w:tcW w:w="1621" w:type="dxa"/>
          </w:tcPr>
          <w:p w14:paraId="4121E674">
            <w:pPr>
              <w:rPr>
                <w:rFonts w:ascii="Times New Roman" w:hAnsi="Times New Roman" w:eastAsia="黑体" w:cs="黑体"/>
                <w:color w:val="000000"/>
                <w:sz w:val="24"/>
                <w:szCs w:val="24"/>
                <w:u w:color="000000"/>
                <w:lang w:val="zh-TW" w:eastAsia="zh-TW"/>
              </w:rPr>
            </w:pPr>
          </w:p>
        </w:tc>
      </w:tr>
      <w:tr w14:paraId="28FF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620" w:type="dxa"/>
            <w:vAlign w:val="center"/>
          </w:tcPr>
          <w:p w14:paraId="4E72B635">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620" w:type="dxa"/>
          </w:tcPr>
          <w:p w14:paraId="1BD3F596">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肖 伟</w:t>
            </w:r>
          </w:p>
        </w:tc>
        <w:tc>
          <w:tcPr>
            <w:tcW w:w="1688" w:type="dxa"/>
          </w:tcPr>
          <w:p w14:paraId="6C05A0D9">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政府办副主任</w:t>
            </w:r>
          </w:p>
        </w:tc>
        <w:tc>
          <w:tcPr>
            <w:tcW w:w="1553" w:type="dxa"/>
          </w:tcPr>
          <w:p w14:paraId="34D82489">
            <w:pPr>
              <w:spacing w:line="360" w:lineRule="auto"/>
              <w:rPr>
                <w:rFonts w:ascii="Times New Roman" w:hAnsi="Times New Roman" w:eastAsia="黑体" w:cs="黑体"/>
                <w:color w:val="000000"/>
                <w:sz w:val="24"/>
                <w:szCs w:val="24"/>
                <w:u w:color="000000"/>
                <w:lang w:val="zh-TW" w:eastAsia="zh-TW"/>
              </w:rPr>
            </w:pPr>
          </w:p>
        </w:tc>
        <w:tc>
          <w:tcPr>
            <w:tcW w:w="1621" w:type="dxa"/>
          </w:tcPr>
          <w:p w14:paraId="0C5FC3F5">
            <w:pPr>
              <w:spacing w:line="360" w:lineRule="auto"/>
              <w:rPr>
                <w:rFonts w:ascii="Times New Roman" w:hAnsi="Times New Roman" w:eastAsia="黑体" w:cs="黑体"/>
                <w:color w:val="000000"/>
                <w:sz w:val="24"/>
                <w:szCs w:val="24"/>
                <w:u w:color="000000"/>
                <w:lang w:val="zh-TW" w:eastAsia="zh-TW"/>
              </w:rPr>
            </w:pPr>
          </w:p>
        </w:tc>
      </w:tr>
      <w:tr w14:paraId="17B7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14:paraId="05BD62C7">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组员</w:t>
            </w:r>
          </w:p>
        </w:tc>
        <w:tc>
          <w:tcPr>
            <w:tcW w:w="1620" w:type="dxa"/>
          </w:tcPr>
          <w:p w14:paraId="7E8B89B4">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李宇</w:t>
            </w:r>
          </w:p>
        </w:tc>
        <w:tc>
          <w:tcPr>
            <w:tcW w:w="1688" w:type="dxa"/>
          </w:tcPr>
          <w:p w14:paraId="4697A38C">
            <w:pPr>
              <w:spacing w:line="360" w:lineRule="auto"/>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rPr>
              <w:t>政府办副主任</w:t>
            </w:r>
          </w:p>
        </w:tc>
        <w:tc>
          <w:tcPr>
            <w:tcW w:w="1553" w:type="dxa"/>
          </w:tcPr>
          <w:p w14:paraId="71CE2612">
            <w:pPr>
              <w:spacing w:line="360" w:lineRule="auto"/>
              <w:rPr>
                <w:rFonts w:ascii="Times New Roman" w:hAnsi="Times New Roman" w:eastAsia="黑体" w:cs="黑体"/>
                <w:color w:val="000000"/>
                <w:sz w:val="24"/>
                <w:szCs w:val="24"/>
                <w:u w:color="000000"/>
                <w:lang w:val="zh-TW" w:eastAsia="zh-TW"/>
              </w:rPr>
            </w:pPr>
          </w:p>
        </w:tc>
        <w:tc>
          <w:tcPr>
            <w:tcW w:w="1621" w:type="dxa"/>
          </w:tcPr>
          <w:p w14:paraId="2FA47EAF">
            <w:pPr>
              <w:spacing w:line="360" w:lineRule="auto"/>
              <w:rPr>
                <w:rFonts w:ascii="Times New Roman" w:hAnsi="Times New Roman" w:eastAsia="黑体" w:cs="黑体"/>
                <w:color w:val="000000"/>
                <w:sz w:val="24"/>
                <w:szCs w:val="24"/>
                <w:u w:color="000000"/>
                <w:lang w:val="zh-TW" w:eastAsia="zh-TW"/>
              </w:rPr>
            </w:pPr>
          </w:p>
        </w:tc>
      </w:tr>
      <w:tr w14:paraId="3C46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47D3EA56">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组员</w:t>
            </w:r>
          </w:p>
        </w:tc>
        <w:tc>
          <w:tcPr>
            <w:tcW w:w="1620" w:type="dxa"/>
          </w:tcPr>
          <w:p w14:paraId="45CC59FA">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李文虹</w:t>
            </w:r>
          </w:p>
        </w:tc>
        <w:tc>
          <w:tcPr>
            <w:tcW w:w="1688" w:type="dxa"/>
          </w:tcPr>
          <w:p w14:paraId="67ED9703">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会计</w:t>
            </w:r>
          </w:p>
        </w:tc>
        <w:tc>
          <w:tcPr>
            <w:tcW w:w="1553" w:type="dxa"/>
          </w:tcPr>
          <w:p w14:paraId="144610F3">
            <w:pPr>
              <w:spacing w:line="360" w:lineRule="auto"/>
              <w:rPr>
                <w:rFonts w:ascii="Times New Roman" w:hAnsi="Times New Roman" w:eastAsia="黑体" w:cs="黑体"/>
                <w:color w:val="000000"/>
                <w:sz w:val="24"/>
                <w:szCs w:val="24"/>
                <w:u w:color="000000"/>
                <w:lang w:val="zh-TW" w:eastAsia="zh-TW"/>
              </w:rPr>
            </w:pPr>
          </w:p>
        </w:tc>
        <w:tc>
          <w:tcPr>
            <w:tcW w:w="1621" w:type="dxa"/>
          </w:tcPr>
          <w:p w14:paraId="0E0AAD19">
            <w:pPr>
              <w:spacing w:line="360" w:lineRule="auto"/>
              <w:rPr>
                <w:rFonts w:ascii="Times New Roman" w:hAnsi="Times New Roman" w:eastAsia="黑体" w:cs="黑体"/>
                <w:color w:val="000000"/>
                <w:sz w:val="24"/>
                <w:szCs w:val="24"/>
                <w:u w:color="000000"/>
                <w:lang w:val="zh-TW" w:eastAsia="zh-TW"/>
              </w:rPr>
            </w:pPr>
          </w:p>
        </w:tc>
      </w:tr>
      <w:tr w14:paraId="775F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14:paraId="2C030101">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报告撰写人（签字）：李文虹</w:t>
            </w:r>
          </w:p>
          <w:p w14:paraId="3ECC11DF">
            <w:pPr>
              <w:spacing w:line="360" w:lineRule="auto"/>
              <w:rPr>
                <w:rFonts w:ascii="Times New Roman" w:hAnsi="Times New Roman" w:eastAsia="黑体" w:cs="黑体"/>
                <w:color w:val="000000"/>
                <w:sz w:val="24"/>
                <w:szCs w:val="24"/>
                <w:u w:color="000000"/>
                <w:lang w:val="zh-TW"/>
              </w:rPr>
            </w:pPr>
          </w:p>
          <w:p w14:paraId="4A194B8E">
            <w:pPr>
              <w:spacing w:line="360" w:lineRule="auto"/>
              <w:rPr>
                <w:rFonts w:ascii="Times New Roman" w:hAnsi="Times New Roman" w:eastAsia="黑体" w:cs="黑体"/>
                <w:color w:val="000000"/>
                <w:sz w:val="24"/>
                <w:szCs w:val="24"/>
                <w:u w:color="000000"/>
                <w:lang w:val="zh-TW"/>
              </w:rPr>
            </w:pPr>
          </w:p>
          <w:p w14:paraId="35E5713D">
            <w:pPr>
              <w:wordWrap w:val="0"/>
              <w:spacing w:line="360" w:lineRule="auto"/>
              <w:ind w:right="480"/>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 xml:space="preserve">                                     年  月  日</w:t>
            </w:r>
          </w:p>
        </w:tc>
      </w:tr>
      <w:tr w14:paraId="1520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14:paraId="4BA7530D">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14:paraId="386E1D0E">
            <w:pPr>
              <w:spacing w:line="360" w:lineRule="auto"/>
              <w:rPr>
                <w:rFonts w:ascii="Times New Roman" w:hAnsi="Times New Roman" w:eastAsia="黑体" w:cs="黑体"/>
                <w:color w:val="000000"/>
                <w:sz w:val="24"/>
                <w:szCs w:val="24"/>
                <w:u w:color="000000"/>
                <w:lang w:val="zh-TW"/>
              </w:rPr>
            </w:pPr>
          </w:p>
          <w:p w14:paraId="0C440D74">
            <w:pPr>
              <w:spacing w:line="360" w:lineRule="auto"/>
              <w:rPr>
                <w:rFonts w:ascii="Times New Roman" w:hAnsi="Times New Roman" w:eastAsia="黑体" w:cs="黑体"/>
                <w:color w:val="000000"/>
                <w:sz w:val="24"/>
                <w:szCs w:val="24"/>
                <w:u w:color="000000"/>
                <w:lang w:val="zh-TW"/>
              </w:rPr>
            </w:pPr>
          </w:p>
          <w:p w14:paraId="7BC3F51A">
            <w:pPr>
              <w:wordWrap w:val="0"/>
              <w:spacing w:line="360" w:lineRule="auto"/>
              <w:ind w:right="480" w:firstLine="5280" w:firstLineChars="2200"/>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14:paraId="4E534E9F">
      <w:pPr>
        <w:widowControl/>
        <w:shd w:val="clear" w:color="auto" w:fill="FFFFFF"/>
        <w:jc w:val="center"/>
        <w:rPr>
          <w:rFonts w:ascii="宋体" w:hAnsi="宋体" w:eastAsia="宋体" w:cs="宋体"/>
          <w:color w:val="333333"/>
          <w:kern w:val="0"/>
          <w:szCs w:val="21"/>
        </w:rPr>
      </w:pPr>
    </w:p>
    <w:p w14:paraId="11473F10">
      <w:pPr>
        <w:widowControl/>
        <w:shd w:val="clear" w:color="auto" w:fill="FFFFFF"/>
        <w:jc w:val="center"/>
        <w:rPr>
          <w:rFonts w:ascii="宋体" w:hAnsi="宋体" w:eastAsia="宋体" w:cs="宋体"/>
          <w:color w:val="333333"/>
          <w:kern w:val="0"/>
          <w:szCs w:val="21"/>
        </w:rPr>
      </w:pPr>
    </w:p>
    <w:p w14:paraId="26FDA60E">
      <w:pPr>
        <w:widowControl/>
        <w:shd w:val="clear" w:color="auto" w:fill="FFFFFF"/>
        <w:jc w:val="center"/>
        <w:rPr>
          <w:rFonts w:ascii="宋体" w:hAnsi="宋体" w:eastAsia="宋体" w:cs="宋体"/>
          <w:color w:val="333333"/>
          <w:kern w:val="0"/>
          <w:szCs w:val="21"/>
        </w:rPr>
      </w:pPr>
    </w:p>
    <w:p w14:paraId="3C1B7261">
      <w:pPr>
        <w:widowControl/>
        <w:shd w:val="clear" w:color="auto" w:fill="FFFFFF"/>
        <w:jc w:val="center"/>
        <w:rPr>
          <w:rFonts w:ascii="宋体" w:hAnsi="宋体" w:eastAsia="宋体" w:cs="宋体"/>
          <w:color w:val="333333"/>
          <w:kern w:val="0"/>
          <w:szCs w:val="21"/>
        </w:rPr>
      </w:pPr>
    </w:p>
    <w:p w14:paraId="2D01DA7D">
      <w:pPr>
        <w:widowControl/>
        <w:shd w:val="clear" w:color="auto" w:fill="FFFFFF"/>
        <w:jc w:val="center"/>
        <w:rPr>
          <w:rFonts w:ascii="宋体" w:hAnsi="宋体" w:eastAsia="宋体" w:cs="宋体"/>
          <w:color w:val="333333"/>
          <w:kern w:val="0"/>
          <w:szCs w:val="21"/>
        </w:rPr>
      </w:pPr>
    </w:p>
    <w:p w14:paraId="60C46D67">
      <w:pPr>
        <w:widowControl/>
        <w:shd w:val="clear" w:color="auto" w:fill="FFFFFF"/>
        <w:jc w:val="center"/>
        <w:rPr>
          <w:rFonts w:ascii="宋体" w:hAnsi="宋体" w:eastAsia="宋体" w:cs="宋体"/>
          <w:color w:val="333333"/>
          <w:kern w:val="0"/>
          <w:szCs w:val="21"/>
        </w:rPr>
      </w:pPr>
    </w:p>
    <w:p w14:paraId="73DC42E8">
      <w:pPr>
        <w:widowControl/>
        <w:shd w:val="clear" w:color="auto" w:fill="FFFFFF"/>
        <w:jc w:val="center"/>
        <w:rPr>
          <w:rFonts w:ascii="宋体" w:hAnsi="宋体" w:eastAsia="宋体" w:cs="宋体"/>
          <w:color w:val="333333"/>
          <w:kern w:val="0"/>
          <w:szCs w:val="21"/>
        </w:rPr>
      </w:pPr>
    </w:p>
    <w:p w14:paraId="2AD1C9C6">
      <w:pPr>
        <w:widowControl/>
        <w:shd w:val="clear" w:color="auto" w:fill="FFFFFF"/>
        <w:jc w:val="center"/>
        <w:rPr>
          <w:rFonts w:ascii="宋体" w:hAnsi="宋体" w:eastAsia="宋体" w:cs="宋体"/>
          <w:color w:val="333333"/>
          <w:kern w:val="0"/>
          <w:szCs w:val="21"/>
        </w:rPr>
      </w:pPr>
    </w:p>
    <w:p w14:paraId="246DBF07">
      <w:pPr>
        <w:widowControl/>
        <w:shd w:val="clear" w:color="auto" w:fill="FFFFFF"/>
        <w:jc w:val="center"/>
        <w:rPr>
          <w:rFonts w:ascii="宋体" w:hAnsi="宋体" w:eastAsia="宋体" w:cs="宋体"/>
          <w:color w:val="333333"/>
          <w:kern w:val="0"/>
          <w:szCs w:val="21"/>
        </w:rPr>
      </w:pPr>
    </w:p>
    <w:p w14:paraId="43D4A628">
      <w:pPr>
        <w:widowControl/>
        <w:shd w:val="clear" w:color="auto" w:fill="FFFFFF"/>
        <w:jc w:val="center"/>
        <w:rPr>
          <w:rFonts w:ascii="宋体" w:hAnsi="宋体" w:eastAsia="宋体" w:cs="宋体"/>
          <w:color w:val="333333"/>
          <w:kern w:val="0"/>
          <w:szCs w:val="21"/>
        </w:rPr>
      </w:pPr>
    </w:p>
    <w:p w14:paraId="5ED2F3A6">
      <w:pPr>
        <w:widowControl/>
        <w:shd w:val="clear" w:color="auto" w:fill="FFFFFF"/>
        <w:jc w:val="center"/>
        <w:rPr>
          <w:rFonts w:ascii="宋体" w:hAnsi="宋体" w:eastAsia="宋体" w:cs="宋体"/>
          <w:color w:val="333333"/>
          <w:kern w:val="0"/>
          <w:szCs w:val="21"/>
        </w:rPr>
      </w:pPr>
    </w:p>
    <w:p w14:paraId="6F769F73">
      <w:pPr>
        <w:widowControl/>
        <w:shd w:val="clear" w:color="auto" w:fill="FFFFFF"/>
        <w:jc w:val="center"/>
        <w:rPr>
          <w:rFonts w:ascii="宋体" w:hAnsi="宋体" w:eastAsia="宋体" w:cs="宋体"/>
          <w:color w:val="333333"/>
          <w:kern w:val="0"/>
          <w:szCs w:val="21"/>
        </w:rPr>
      </w:pPr>
    </w:p>
    <w:p w14:paraId="66EE5B62">
      <w:pPr>
        <w:widowControl/>
        <w:shd w:val="clear" w:color="auto" w:fill="FFFFFF"/>
        <w:jc w:val="center"/>
        <w:rPr>
          <w:rFonts w:ascii="宋体" w:hAnsi="宋体" w:eastAsia="宋体" w:cs="宋体"/>
          <w:color w:val="333333"/>
          <w:kern w:val="0"/>
          <w:szCs w:val="21"/>
        </w:rPr>
      </w:pPr>
    </w:p>
    <w:p w14:paraId="150BE47D">
      <w:pPr>
        <w:widowControl/>
        <w:shd w:val="clear" w:color="auto" w:fill="FFFFFF"/>
        <w:jc w:val="center"/>
        <w:rPr>
          <w:rFonts w:ascii="宋体" w:hAnsi="宋体" w:eastAsia="宋体" w:cs="宋体"/>
          <w:color w:val="333333"/>
          <w:kern w:val="0"/>
          <w:szCs w:val="21"/>
        </w:rPr>
      </w:pPr>
    </w:p>
    <w:p w14:paraId="1AB6D5D2">
      <w:pPr>
        <w:widowControl/>
        <w:shd w:val="clear" w:color="auto" w:fill="FFFFFF"/>
        <w:jc w:val="center"/>
        <w:rPr>
          <w:rFonts w:ascii="宋体" w:hAnsi="宋体" w:eastAsia="宋体" w:cs="宋体"/>
          <w:color w:val="333333"/>
          <w:kern w:val="0"/>
          <w:szCs w:val="21"/>
        </w:rPr>
      </w:pPr>
    </w:p>
    <w:p w14:paraId="0E127247">
      <w:pPr>
        <w:widowControl/>
        <w:shd w:val="clear" w:color="auto" w:fill="FFFFFF"/>
        <w:jc w:val="center"/>
        <w:rPr>
          <w:rFonts w:ascii="宋体" w:hAnsi="宋体" w:eastAsia="宋体" w:cs="宋体"/>
          <w:color w:val="333333"/>
          <w:kern w:val="0"/>
          <w:szCs w:val="21"/>
        </w:rPr>
      </w:pPr>
    </w:p>
    <w:p w14:paraId="27FD187A">
      <w:pPr>
        <w:widowControl/>
        <w:shd w:val="clear" w:color="auto" w:fill="FFFFFF"/>
        <w:jc w:val="center"/>
        <w:rPr>
          <w:rFonts w:ascii="宋体" w:hAnsi="宋体" w:eastAsia="宋体" w:cs="宋体"/>
          <w:color w:val="333333"/>
          <w:kern w:val="0"/>
          <w:szCs w:val="21"/>
        </w:rPr>
      </w:pPr>
    </w:p>
    <w:p w14:paraId="223B101B">
      <w:pPr>
        <w:widowControl/>
        <w:shd w:val="clear" w:color="auto" w:fill="FFFFFF"/>
        <w:jc w:val="center"/>
        <w:rPr>
          <w:rFonts w:ascii="宋体" w:hAnsi="宋体" w:eastAsia="宋体" w:cs="宋体"/>
          <w:color w:val="333333"/>
          <w:kern w:val="0"/>
          <w:szCs w:val="21"/>
        </w:rPr>
      </w:pPr>
    </w:p>
    <w:p w14:paraId="61C7C035">
      <w:pPr>
        <w:widowControl/>
        <w:shd w:val="clear" w:color="auto" w:fill="FFFFFF"/>
        <w:jc w:val="center"/>
        <w:rPr>
          <w:rFonts w:ascii="宋体" w:hAnsi="宋体" w:eastAsia="宋体" w:cs="宋体"/>
          <w:color w:val="333333"/>
          <w:kern w:val="0"/>
          <w:szCs w:val="21"/>
        </w:rPr>
      </w:pPr>
    </w:p>
    <w:p w14:paraId="658797A9">
      <w:pPr>
        <w:widowControl/>
        <w:shd w:val="clear" w:color="auto" w:fill="FFFFFF"/>
        <w:jc w:val="center"/>
        <w:rPr>
          <w:rFonts w:ascii="宋体" w:hAnsi="宋体" w:eastAsia="宋体" w:cs="宋体"/>
          <w:color w:val="333333"/>
          <w:kern w:val="0"/>
          <w:szCs w:val="21"/>
        </w:rPr>
      </w:pPr>
    </w:p>
    <w:p w14:paraId="60A771E5">
      <w:pPr>
        <w:pStyle w:val="7"/>
        <w:rPr>
          <w:rStyle w:val="13"/>
          <w:u w:val="none"/>
        </w:rPr>
      </w:pPr>
      <w:r>
        <w:rPr>
          <w:rStyle w:val="13"/>
          <w:rFonts w:hint="eastAsia"/>
          <w:u w:val="none"/>
        </w:rPr>
        <w:t>目录</w:t>
      </w:r>
    </w:p>
    <w:p w14:paraId="0086AA29">
      <w:pPr>
        <w:rPr>
          <w:sz w:val="18"/>
        </w:rPr>
      </w:pPr>
    </w:p>
    <w:p w14:paraId="622AB800">
      <w:pPr>
        <w:pStyle w:val="7"/>
        <w:rPr>
          <w:rStyle w:val="13"/>
          <w:sz w:val="28"/>
          <w:u w:val="none"/>
        </w:rPr>
      </w:pPr>
      <w:r>
        <w:rPr>
          <w:rStyle w:val="13"/>
          <w:rFonts w:hint="eastAsia"/>
          <w:sz w:val="28"/>
          <w:u w:val="none"/>
        </w:rPr>
        <w:t>摘要</w:t>
      </w:r>
    </w:p>
    <w:p w14:paraId="72F33C77">
      <w:pPr>
        <w:pStyle w:val="7"/>
        <w:rPr>
          <w:rStyle w:val="13"/>
          <w:sz w:val="21"/>
        </w:rPr>
      </w:pPr>
      <w:r>
        <w:rPr>
          <w:rStyle w:val="13"/>
        </w:rPr>
        <w:fldChar w:fldCharType="begin"/>
      </w:r>
      <w:r>
        <w:rPr>
          <w:rStyle w:val="13"/>
          <w:rFonts w:hint="eastAsia"/>
        </w:rPr>
        <w:instrText xml:space="preserve">TOC \o "1-2" \h \z \u</w:instrText>
      </w:r>
      <w:r>
        <w:rPr>
          <w:rStyle w:val="13"/>
        </w:rPr>
        <w:fldChar w:fldCharType="separate"/>
      </w:r>
      <w:r>
        <w:fldChar w:fldCharType="begin"/>
      </w:r>
      <w:r>
        <w:instrText xml:space="preserve"> HYPERLINK \l "_Toc7383801" </w:instrText>
      </w:r>
      <w:r>
        <w:fldChar w:fldCharType="separate"/>
      </w:r>
      <w:r>
        <w:rPr>
          <w:rStyle w:val="13"/>
          <w:rFonts w:hint="eastAsia"/>
          <w:sz w:val="21"/>
        </w:rPr>
        <w:t>一、项目概况</w:t>
      </w:r>
      <w:r>
        <w:rPr>
          <w:rStyle w:val="13"/>
          <w:sz w:val="21"/>
        </w:rPr>
        <w:tab/>
      </w:r>
      <w:r>
        <w:rPr>
          <w:rStyle w:val="13"/>
          <w:sz w:val="21"/>
        </w:rPr>
        <w:fldChar w:fldCharType="begin"/>
      </w:r>
      <w:r>
        <w:rPr>
          <w:rStyle w:val="13"/>
          <w:sz w:val="21"/>
        </w:rPr>
        <w:instrText xml:space="preserve"> PAGEREF _Toc7383801 \h </w:instrText>
      </w:r>
      <w:r>
        <w:rPr>
          <w:rStyle w:val="13"/>
          <w:sz w:val="21"/>
        </w:rPr>
        <w:fldChar w:fldCharType="separate"/>
      </w:r>
      <w:r>
        <w:rPr>
          <w:rStyle w:val="13"/>
          <w:sz w:val="21"/>
        </w:rPr>
        <w:t>5</w:t>
      </w:r>
      <w:r>
        <w:rPr>
          <w:rStyle w:val="13"/>
          <w:sz w:val="21"/>
        </w:rPr>
        <w:fldChar w:fldCharType="end"/>
      </w:r>
      <w:r>
        <w:rPr>
          <w:rStyle w:val="13"/>
          <w:sz w:val="21"/>
        </w:rPr>
        <w:fldChar w:fldCharType="end"/>
      </w:r>
    </w:p>
    <w:p w14:paraId="526D8171">
      <w:pPr>
        <w:pStyle w:val="7"/>
        <w:rPr>
          <w:rStyle w:val="13"/>
          <w:sz w:val="21"/>
        </w:rPr>
      </w:pPr>
      <w:r>
        <w:fldChar w:fldCharType="begin"/>
      </w:r>
      <w:r>
        <w:instrText xml:space="preserve"> HYPERLINK \l "_Toc7383802" </w:instrText>
      </w:r>
      <w:r>
        <w:fldChar w:fldCharType="separate"/>
      </w:r>
      <w:r>
        <w:rPr>
          <w:rStyle w:val="13"/>
          <w:rFonts w:hint="eastAsia"/>
          <w:sz w:val="21"/>
        </w:rPr>
        <w:t>（一）项目立项背景及目的</w:t>
      </w:r>
      <w:r>
        <w:rPr>
          <w:rStyle w:val="13"/>
          <w:sz w:val="21"/>
        </w:rPr>
        <w:tab/>
      </w:r>
      <w:r>
        <w:rPr>
          <w:rStyle w:val="13"/>
          <w:sz w:val="21"/>
        </w:rPr>
        <w:fldChar w:fldCharType="begin"/>
      </w:r>
      <w:r>
        <w:rPr>
          <w:rStyle w:val="13"/>
          <w:sz w:val="21"/>
        </w:rPr>
        <w:instrText xml:space="preserve"> PAGEREF _Toc7383802 \h </w:instrText>
      </w:r>
      <w:r>
        <w:rPr>
          <w:rStyle w:val="13"/>
          <w:sz w:val="21"/>
        </w:rPr>
        <w:fldChar w:fldCharType="separate"/>
      </w:r>
      <w:r>
        <w:rPr>
          <w:rStyle w:val="13"/>
          <w:sz w:val="21"/>
        </w:rPr>
        <w:t>5</w:t>
      </w:r>
      <w:r>
        <w:rPr>
          <w:rStyle w:val="13"/>
          <w:sz w:val="21"/>
        </w:rPr>
        <w:fldChar w:fldCharType="end"/>
      </w:r>
      <w:r>
        <w:rPr>
          <w:rStyle w:val="13"/>
          <w:sz w:val="21"/>
        </w:rPr>
        <w:fldChar w:fldCharType="end"/>
      </w:r>
    </w:p>
    <w:p w14:paraId="1567A984">
      <w:pPr>
        <w:pStyle w:val="7"/>
        <w:rPr>
          <w:rStyle w:val="13"/>
          <w:sz w:val="21"/>
        </w:rPr>
      </w:pPr>
      <w:r>
        <w:fldChar w:fldCharType="begin"/>
      </w:r>
      <w:r>
        <w:instrText xml:space="preserve"> HYPERLINK \l "_Toc7383803" </w:instrText>
      </w:r>
      <w:r>
        <w:fldChar w:fldCharType="separate"/>
      </w:r>
      <w:r>
        <w:rPr>
          <w:rStyle w:val="13"/>
          <w:rFonts w:hint="eastAsia"/>
          <w:sz w:val="21"/>
        </w:rPr>
        <w:t>（二）预算收支情况</w:t>
      </w:r>
      <w:r>
        <w:rPr>
          <w:rStyle w:val="13"/>
          <w:sz w:val="21"/>
        </w:rPr>
        <w:tab/>
      </w:r>
      <w:r>
        <w:rPr>
          <w:rStyle w:val="13"/>
          <w:sz w:val="21"/>
        </w:rPr>
        <w:fldChar w:fldCharType="begin"/>
      </w:r>
      <w:r>
        <w:rPr>
          <w:rStyle w:val="13"/>
          <w:sz w:val="21"/>
        </w:rPr>
        <w:instrText xml:space="preserve"> PAGEREF _Toc7383803 \h </w:instrText>
      </w:r>
      <w:r>
        <w:rPr>
          <w:rStyle w:val="13"/>
          <w:sz w:val="21"/>
        </w:rPr>
        <w:fldChar w:fldCharType="separate"/>
      </w:r>
      <w:r>
        <w:rPr>
          <w:rStyle w:val="13"/>
          <w:sz w:val="21"/>
        </w:rPr>
        <w:t>6</w:t>
      </w:r>
      <w:r>
        <w:rPr>
          <w:rStyle w:val="13"/>
          <w:sz w:val="21"/>
        </w:rPr>
        <w:fldChar w:fldCharType="end"/>
      </w:r>
      <w:r>
        <w:rPr>
          <w:rStyle w:val="13"/>
          <w:sz w:val="21"/>
        </w:rPr>
        <w:fldChar w:fldCharType="end"/>
      </w:r>
    </w:p>
    <w:p w14:paraId="18A46F84">
      <w:pPr>
        <w:pStyle w:val="7"/>
        <w:rPr>
          <w:rStyle w:val="13"/>
          <w:sz w:val="21"/>
        </w:rPr>
      </w:pPr>
      <w:r>
        <w:fldChar w:fldCharType="begin"/>
      </w:r>
      <w:r>
        <w:instrText xml:space="preserve"> HYPERLINK \l "_Toc7383804" </w:instrText>
      </w:r>
      <w:r>
        <w:fldChar w:fldCharType="separate"/>
      </w:r>
      <w:r>
        <w:rPr>
          <w:rStyle w:val="13"/>
          <w:rFonts w:hint="eastAsia"/>
          <w:sz w:val="21"/>
        </w:rPr>
        <w:t>二、评价结论</w:t>
      </w:r>
      <w:r>
        <w:rPr>
          <w:rStyle w:val="13"/>
          <w:sz w:val="21"/>
        </w:rPr>
        <w:tab/>
      </w:r>
      <w:r>
        <w:rPr>
          <w:rStyle w:val="13"/>
          <w:sz w:val="21"/>
        </w:rPr>
        <w:fldChar w:fldCharType="begin"/>
      </w:r>
      <w:r>
        <w:rPr>
          <w:rStyle w:val="13"/>
          <w:sz w:val="21"/>
        </w:rPr>
        <w:instrText xml:space="preserve"> PAGEREF _Toc7383804 \h </w:instrText>
      </w:r>
      <w:r>
        <w:rPr>
          <w:rStyle w:val="13"/>
          <w:sz w:val="21"/>
        </w:rPr>
        <w:fldChar w:fldCharType="separate"/>
      </w:r>
      <w:r>
        <w:rPr>
          <w:rStyle w:val="13"/>
          <w:sz w:val="21"/>
        </w:rPr>
        <w:t>6</w:t>
      </w:r>
      <w:r>
        <w:rPr>
          <w:rStyle w:val="13"/>
          <w:sz w:val="21"/>
        </w:rPr>
        <w:fldChar w:fldCharType="end"/>
      </w:r>
      <w:r>
        <w:rPr>
          <w:rStyle w:val="13"/>
          <w:sz w:val="21"/>
        </w:rPr>
        <w:fldChar w:fldCharType="end"/>
      </w:r>
    </w:p>
    <w:p w14:paraId="508EA736">
      <w:pPr>
        <w:pStyle w:val="7"/>
        <w:rPr>
          <w:rStyle w:val="13"/>
          <w:sz w:val="21"/>
        </w:rPr>
      </w:pPr>
      <w:r>
        <w:fldChar w:fldCharType="begin"/>
      </w:r>
      <w:r>
        <w:instrText xml:space="preserve"> HYPERLINK \l "_Toc7383805" </w:instrText>
      </w:r>
      <w:r>
        <w:fldChar w:fldCharType="separate"/>
      </w:r>
      <w:r>
        <w:rPr>
          <w:rStyle w:val="13"/>
          <w:rFonts w:hint="eastAsia"/>
          <w:sz w:val="21"/>
        </w:rPr>
        <w:t>三、经验、问题和建议</w:t>
      </w:r>
      <w:r>
        <w:rPr>
          <w:rStyle w:val="13"/>
          <w:sz w:val="21"/>
        </w:rPr>
        <w:tab/>
      </w:r>
      <w:r>
        <w:rPr>
          <w:rStyle w:val="13"/>
          <w:sz w:val="21"/>
        </w:rPr>
        <w:fldChar w:fldCharType="begin"/>
      </w:r>
      <w:r>
        <w:rPr>
          <w:rStyle w:val="13"/>
          <w:sz w:val="21"/>
        </w:rPr>
        <w:instrText xml:space="preserve"> PAGEREF _Toc7383805 \h </w:instrText>
      </w:r>
      <w:r>
        <w:rPr>
          <w:rStyle w:val="13"/>
          <w:sz w:val="21"/>
        </w:rPr>
        <w:fldChar w:fldCharType="separate"/>
      </w:r>
      <w:r>
        <w:rPr>
          <w:rStyle w:val="13"/>
          <w:sz w:val="21"/>
        </w:rPr>
        <w:t>7</w:t>
      </w:r>
      <w:r>
        <w:rPr>
          <w:rStyle w:val="13"/>
          <w:sz w:val="21"/>
        </w:rPr>
        <w:fldChar w:fldCharType="end"/>
      </w:r>
      <w:r>
        <w:rPr>
          <w:rStyle w:val="13"/>
          <w:sz w:val="21"/>
        </w:rPr>
        <w:fldChar w:fldCharType="end"/>
      </w:r>
    </w:p>
    <w:p w14:paraId="522BAA3D">
      <w:pPr>
        <w:pStyle w:val="7"/>
        <w:rPr>
          <w:rStyle w:val="13"/>
          <w:sz w:val="21"/>
        </w:rPr>
      </w:pPr>
      <w:r>
        <w:fldChar w:fldCharType="begin"/>
      </w:r>
      <w:r>
        <w:instrText xml:space="preserve"> HYPERLINK \l "_Toc7383806" </w:instrText>
      </w:r>
      <w:r>
        <w:fldChar w:fldCharType="separate"/>
      </w:r>
      <w:r>
        <w:rPr>
          <w:rStyle w:val="13"/>
          <w:rFonts w:hint="eastAsia"/>
          <w:sz w:val="21"/>
        </w:rPr>
        <w:t>（一）主要经验及做法</w:t>
      </w:r>
      <w:r>
        <w:rPr>
          <w:rStyle w:val="13"/>
          <w:sz w:val="21"/>
        </w:rPr>
        <w:tab/>
      </w:r>
      <w:r>
        <w:rPr>
          <w:rStyle w:val="13"/>
          <w:sz w:val="21"/>
        </w:rPr>
        <w:fldChar w:fldCharType="begin"/>
      </w:r>
      <w:r>
        <w:rPr>
          <w:rStyle w:val="13"/>
          <w:sz w:val="21"/>
        </w:rPr>
        <w:instrText xml:space="preserve"> PAGEREF _Toc7383806 \h </w:instrText>
      </w:r>
      <w:r>
        <w:rPr>
          <w:rStyle w:val="13"/>
          <w:sz w:val="21"/>
        </w:rPr>
        <w:fldChar w:fldCharType="separate"/>
      </w:r>
      <w:r>
        <w:rPr>
          <w:rStyle w:val="13"/>
          <w:sz w:val="21"/>
        </w:rPr>
        <w:t>7</w:t>
      </w:r>
      <w:r>
        <w:rPr>
          <w:rStyle w:val="13"/>
          <w:sz w:val="21"/>
        </w:rPr>
        <w:fldChar w:fldCharType="end"/>
      </w:r>
      <w:r>
        <w:rPr>
          <w:rStyle w:val="13"/>
          <w:sz w:val="21"/>
        </w:rPr>
        <w:fldChar w:fldCharType="end"/>
      </w:r>
    </w:p>
    <w:p w14:paraId="112DF67A">
      <w:pPr>
        <w:pStyle w:val="7"/>
        <w:rPr>
          <w:rStyle w:val="13"/>
          <w:sz w:val="21"/>
        </w:rPr>
      </w:pPr>
      <w:r>
        <w:fldChar w:fldCharType="begin"/>
      </w:r>
      <w:r>
        <w:instrText xml:space="preserve"> HYPERLINK \l "_Toc7383807" </w:instrText>
      </w:r>
      <w:r>
        <w:fldChar w:fldCharType="separate"/>
      </w:r>
      <w:r>
        <w:rPr>
          <w:rStyle w:val="13"/>
          <w:rFonts w:hint="eastAsia"/>
          <w:sz w:val="21"/>
        </w:rPr>
        <w:t>（二）存在的问题</w:t>
      </w:r>
      <w:r>
        <w:rPr>
          <w:rStyle w:val="13"/>
          <w:sz w:val="21"/>
        </w:rPr>
        <w:tab/>
      </w:r>
      <w:r>
        <w:rPr>
          <w:rStyle w:val="13"/>
          <w:sz w:val="21"/>
        </w:rPr>
        <w:fldChar w:fldCharType="begin"/>
      </w:r>
      <w:r>
        <w:rPr>
          <w:rStyle w:val="13"/>
          <w:sz w:val="21"/>
        </w:rPr>
        <w:instrText xml:space="preserve"> PAGEREF _Toc7383807 \h </w:instrText>
      </w:r>
      <w:r>
        <w:rPr>
          <w:rStyle w:val="13"/>
          <w:sz w:val="21"/>
        </w:rPr>
        <w:fldChar w:fldCharType="separate"/>
      </w:r>
      <w:r>
        <w:rPr>
          <w:rStyle w:val="13"/>
          <w:sz w:val="21"/>
        </w:rPr>
        <w:t>7</w:t>
      </w:r>
      <w:r>
        <w:rPr>
          <w:rStyle w:val="13"/>
          <w:sz w:val="21"/>
        </w:rPr>
        <w:fldChar w:fldCharType="end"/>
      </w:r>
      <w:r>
        <w:rPr>
          <w:rStyle w:val="13"/>
          <w:sz w:val="21"/>
        </w:rPr>
        <w:fldChar w:fldCharType="end"/>
      </w:r>
    </w:p>
    <w:p w14:paraId="6D5AA690">
      <w:pPr>
        <w:pStyle w:val="7"/>
        <w:rPr>
          <w:rStyle w:val="13"/>
          <w:sz w:val="21"/>
        </w:rPr>
      </w:pPr>
      <w:r>
        <w:fldChar w:fldCharType="begin"/>
      </w:r>
      <w:r>
        <w:instrText xml:space="preserve"> HYPERLINK \l "_Toc7383808" </w:instrText>
      </w:r>
      <w:r>
        <w:fldChar w:fldCharType="separate"/>
      </w:r>
      <w:r>
        <w:rPr>
          <w:rStyle w:val="13"/>
          <w:rFonts w:hint="eastAsia"/>
          <w:sz w:val="21"/>
        </w:rPr>
        <w:t>（三）建议和改进措施</w:t>
      </w:r>
      <w:r>
        <w:rPr>
          <w:rStyle w:val="13"/>
          <w:sz w:val="21"/>
        </w:rPr>
        <w:tab/>
      </w:r>
      <w:r>
        <w:rPr>
          <w:rStyle w:val="13"/>
          <w:sz w:val="21"/>
        </w:rPr>
        <w:fldChar w:fldCharType="begin"/>
      </w:r>
      <w:r>
        <w:rPr>
          <w:rStyle w:val="13"/>
          <w:sz w:val="21"/>
        </w:rPr>
        <w:instrText xml:space="preserve"> PAGEREF _Toc7383808 \h </w:instrText>
      </w:r>
      <w:r>
        <w:rPr>
          <w:rStyle w:val="13"/>
          <w:sz w:val="21"/>
        </w:rPr>
        <w:fldChar w:fldCharType="separate"/>
      </w:r>
      <w:r>
        <w:rPr>
          <w:rStyle w:val="13"/>
          <w:sz w:val="21"/>
        </w:rPr>
        <w:t>7</w:t>
      </w:r>
      <w:r>
        <w:rPr>
          <w:rStyle w:val="13"/>
          <w:sz w:val="21"/>
        </w:rPr>
        <w:fldChar w:fldCharType="end"/>
      </w:r>
      <w:r>
        <w:rPr>
          <w:rStyle w:val="13"/>
          <w:sz w:val="21"/>
        </w:rPr>
        <w:fldChar w:fldCharType="end"/>
      </w:r>
    </w:p>
    <w:p w14:paraId="35AD80C0">
      <w:pPr>
        <w:pStyle w:val="7"/>
        <w:rPr>
          <w:rStyle w:val="13"/>
          <w:sz w:val="21"/>
        </w:rPr>
      </w:pPr>
    </w:p>
    <w:p w14:paraId="1E6D420E">
      <w:pPr>
        <w:pStyle w:val="7"/>
        <w:rPr>
          <w:rStyle w:val="13"/>
          <w:sz w:val="28"/>
          <w:u w:val="none"/>
        </w:rPr>
      </w:pPr>
      <w:r>
        <w:rPr>
          <w:rStyle w:val="13"/>
          <w:sz w:val="28"/>
          <w:u w:val="none"/>
        </w:rPr>
        <w:t>报告正文</w:t>
      </w:r>
    </w:p>
    <w:p w14:paraId="6F6420D0">
      <w:pPr>
        <w:pStyle w:val="7"/>
        <w:rPr>
          <w:rStyle w:val="13"/>
          <w:sz w:val="21"/>
        </w:rPr>
      </w:pPr>
    </w:p>
    <w:p w14:paraId="5A1AA3A3">
      <w:pPr>
        <w:pStyle w:val="7"/>
        <w:rPr>
          <w:rStyle w:val="13"/>
          <w:sz w:val="21"/>
        </w:rPr>
      </w:pPr>
      <w:r>
        <w:fldChar w:fldCharType="begin"/>
      </w:r>
      <w:r>
        <w:instrText xml:space="preserve"> HYPERLINK \l "_Toc7383809" </w:instrText>
      </w:r>
      <w:r>
        <w:fldChar w:fldCharType="separate"/>
      </w:r>
      <w:r>
        <w:rPr>
          <w:rStyle w:val="13"/>
          <w:rFonts w:hint="eastAsia"/>
          <w:sz w:val="21"/>
        </w:rPr>
        <w:t>一、项目基本情况</w:t>
      </w:r>
      <w:r>
        <w:rPr>
          <w:rStyle w:val="13"/>
          <w:sz w:val="21"/>
        </w:rPr>
        <w:tab/>
      </w:r>
      <w:r>
        <w:rPr>
          <w:rStyle w:val="13"/>
          <w:sz w:val="21"/>
        </w:rPr>
        <w:fldChar w:fldCharType="begin"/>
      </w:r>
      <w:r>
        <w:rPr>
          <w:rStyle w:val="13"/>
          <w:sz w:val="21"/>
        </w:rPr>
        <w:instrText xml:space="preserve"> PAGEREF _Toc7383809 \h </w:instrText>
      </w:r>
      <w:r>
        <w:rPr>
          <w:rStyle w:val="13"/>
          <w:sz w:val="21"/>
        </w:rPr>
        <w:fldChar w:fldCharType="separate"/>
      </w:r>
      <w:r>
        <w:rPr>
          <w:rStyle w:val="13"/>
          <w:sz w:val="21"/>
        </w:rPr>
        <w:t>8</w:t>
      </w:r>
      <w:r>
        <w:rPr>
          <w:rStyle w:val="13"/>
          <w:sz w:val="21"/>
        </w:rPr>
        <w:fldChar w:fldCharType="end"/>
      </w:r>
      <w:r>
        <w:rPr>
          <w:rStyle w:val="13"/>
          <w:sz w:val="21"/>
        </w:rPr>
        <w:fldChar w:fldCharType="end"/>
      </w:r>
    </w:p>
    <w:p w14:paraId="6C25455D">
      <w:pPr>
        <w:pStyle w:val="7"/>
        <w:rPr>
          <w:rStyle w:val="13"/>
          <w:sz w:val="21"/>
        </w:rPr>
      </w:pPr>
      <w:r>
        <w:fldChar w:fldCharType="begin"/>
      </w:r>
      <w:r>
        <w:instrText xml:space="preserve"> HYPERLINK \l "_Toc7383810" </w:instrText>
      </w:r>
      <w:r>
        <w:fldChar w:fldCharType="separate"/>
      </w:r>
      <w:r>
        <w:rPr>
          <w:rStyle w:val="13"/>
          <w:rFonts w:hint="eastAsia"/>
          <w:sz w:val="21"/>
        </w:rPr>
        <w:t>（一）项目概况</w:t>
      </w:r>
      <w:r>
        <w:rPr>
          <w:rStyle w:val="13"/>
          <w:sz w:val="21"/>
        </w:rPr>
        <w:tab/>
      </w:r>
      <w:r>
        <w:rPr>
          <w:rStyle w:val="13"/>
          <w:sz w:val="21"/>
        </w:rPr>
        <w:fldChar w:fldCharType="begin"/>
      </w:r>
      <w:r>
        <w:rPr>
          <w:rStyle w:val="13"/>
          <w:sz w:val="21"/>
        </w:rPr>
        <w:instrText xml:space="preserve"> PAGEREF _Toc7383810 \h </w:instrText>
      </w:r>
      <w:r>
        <w:rPr>
          <w:rStyle w:val="13"/>
          <w:sz w:val="21"/>
        </w:rPr>
        <w:fldChar w:fldCharType="separate"/>
      </w:r>
      <w:r>
        <w:rPr>
          <w:rStyle w:val="13"/>
          <w:sz w:val="21"/>
        </w:rPr>
        <w:t>8</w:t>
      </w:r>
      <w:r>
        <w:rPr>
          <w:rStyle w:val="13"/>
          <w:sz w:val="21"/>
        </w:rPr>
        <w:fldChar w:fldCharType="end"/>
      </w:r>
      <w:r>
        <w:rPr>
          <w:rStyle w:val="13"/>
          <w:sz w:val="21"/>
        </w:rPr>
        <w:fldChar w:fldCharType="end"/>
      </w:r>
    </w:p>
    <w:p w14:paraId="503485BF">
      <w:pPr>
        <w:pStyle w:val="7"/>
        <w:rPr>
          <w:rStyle w:val="13"/>
          <w:sz w:val="21"/>
        </w:rPr>
      </w:pPr>
      <w:r>
        <w:fldChar w:fldCharType="begin"/>
      </w:r>
      <w:r>
        <w:instrText xml:space="preserve"> HYPERLINK \l "_Toc7383811" </w:instrText>
      </w:r>
      <w:r>
        <w:fldChar w:fldCharType="separate"/>
      </w:r>
      <w:r>
        <w:rPr>
          <w:rStyle w:val="13"/>
          <w:rFonts w:hint="eastAsia"/>
          <w:sz w:val="21"/>
        </w:rPr>
        <w:t>（二）项目绩效目标</w:t>
      </w:r>
      <w:r>
        <w:rPr>
          <w:rStyle w:val="13"/>
          <w:sz w:val="21"/>
        </w:rPr>
        <w:tab/>
      </w:r>
      <w:r>
        <w:rPr>
          <w:rStyle w:val="13"/>
          <w:sz w:val="21"/>
        </w:rPr>
        <w:fldChar w:fldCharType="begin"/>
      </w:r>
      <w:r>
        <w:rPr>
          <w:rStyle w:val="13"/>
          <w:sz w:val="21"/>
        </w:rPr>
        <w:instrText xml:space="preserve"> PAGEREF _Toc7383811 \h </w:instrText>
      </w:r>
      <w:r>
        <w:rPr>
          <w:rStyle w:val="13"/>
          <w:sz w:val="21"/>
        </w:rPr>
        <w:fldChar w:fldCharType="separate"/>
      </w:r>
      <w:r>
        <w:rPr>
          <w:rStyle w:val="13"/>
          <w:sz w:val="21"/>
        </w:rPr>
        <w:t>12</w:t>
      </w:r>
      <w:r>
        <w:rPr>
          <w:rStyle w:val="13"/>
          <w:sz w:val="21"/>
        </w:rPr>
        <w:fldChar w:fldCharType="end"/>
      </w:r>
      <w:r>
        <w:rPr>
          <w:rStyle w:val="13"/>
          <w:sz w:val="21"/>
        </w:rPr>
        <w:fldChar w:fldCharType="end"/>
      </w:r>
      <w:r>
        <w:fldChar w:fldCharType="begin"/>
      </w:r>
      <w:r>
        <w:instrText xml:space="preserve"> HYPERLINK \l "_Toc7383812" </w:instrText>
      </w:r>
      <w:r>
        <w:fldChar w:fldCharType="separate"/>
      </w:r>
      <w:r>
        <w:fldChar w:fldCharType="end"/>
      </w:r>
    </w:p>
    <w:p w14:paraId="7AC775A3">
      <w:pPr>
        <w:pStyle w:val="7"/>
        <w:rPr>
          <w:rStyle w:val="13"/>
          <w:sz w:val="21"/>
        </w:rPr>
      </w:pPr>
      <w:r>
        <w:fldChar w:fldCharType="begin"/>
      </w:r>
      <w:r>
        <w:instrText xml:space="preserve"> HYPERLINK \l "_Toc7383813" </w:instrText>
      </w:r>
      <w:r>
        <w:fldChar w:fldCharType="separate"/>
      </w:r>
      <w:r>
        <w:rPr>
          <w:rStyle w:val="13"/>
          <w:rFonts w:hint="eastAsia"/>
          <w:sz w:val="21"/>
        </w:rPr>
        <w:t>二、绩效评价工作情况</w:t>
      </w:r>
      <w:r>
        <w:rPr>
          <w:rStyle w:val="13"/>
          <w:sz w:val="21"/>
        </w:rPr>
        <w:tab/>
      </w:r>
      <w:r>
        <w:rPr>
          <w:rStyle w:val="13"/>
          <w:sz w:val="21"/>
        </w:rPr>
        <w:fldChar w:fldCharType="begin"/>
      </w:r>
      <w:r>
        <w:rPr>
          <w:rStyle w:val="13"/>
          <w:sz w:val="21"/>
        </w:rPr>
        <w:instrText xml:space="preserve"> PAGEREF _Toc7383813 \h </w:instrText>
      </w:r>
      <w:r>
        <w:rPr>
          <w:rStyle w:val="13"/>
          <w:sz w:val="21"/>
        </w:rPr>
        <w:fldChar w:fldCharType="separate"/>
      </w:r>
      <w:r>
        <w:rPr>
          <w:rStyle w:val="13"/>
          <w:sz w:val="21"/>
        </w:rPr>
        <w:t>13</w:t>
      </w:r>
      <w:r>
        <w:rPr>
          <w:rStyle w:val="13"/>
          <w:sz w:val="21"/>
        </w:rPr>
        <w:fldChar w:fldCharType="end"/>
      </w:r>
      <w:r>
        <w:rPr>
          <w:rStyle w:val="13"/>
          <w:sz w:val="21"/>
        </w:rPr>
        <w:fldChar w:fldCharType="end"/>
      </w:r>
    </w:p>
    <w:p w14:paraId="2ABDD315">
      <w:pPr>
        <w:pStyle w:val="7"/>
        <w:rPr>
          <w:rStyle w:val="13"/>
          <w:sz w:val="21"/>
        </w:rPr>
      </w:pPr>
      <w:r>
        <w:fldChar w:fldCharType="begin"/>
      </w:r>
      <w:r>
        <w:instrText xml:space="preserve"> HYPERLINK \l "_Toc7383814" </w:instrText>
      </w:r>
      <w:r>
        <w:fldChar w:fldCharType="separate"/>
      </w:r>
      <w:r>
        <w:rPr>
          <w:rStyle w:val="13"/>
          <w:sz w:val="21"/>
        </w:rPr>
        <w:t>(</w:t>
      </w:r>
      <w:r>
        <w:rPr>
          <w:rStyle w:val="13"/>
          <w:rFonts w:hint="eastAsia"/>
          <w:sz w:val="21"/>
        </w:rPr>
        <w:t>一</w:t>
      </w:r>
      <w:r>
        <w:rPr>
          <w:rStyle w:val="13"/>
          <w:sz w:val="21"/>
        </w:rPr>
        <w:t>)</w:t>
      </w:r>
      <w:r>
        <w:rPr>
          <w:rStyle w:val="13"/>
          <w:rFonts w:hint="eastAsia"/>
          <w:sz w:val="21"/>
        </w:rPr>
        <w:t>评价的目的和依据</w:t>
      </w:r>
      <w:r>
        <w:rPr>
          <w:rStyle w:val="13"/>
          <w:sz w:val="21"/>
        </w:rPr>
        <w:tab/>
      </w:r>
      <w:r>
        <w:rPr>
          <w:rStyle w:val="13"/>
          <w:sz w:val="21"/>
        </w:rPr>
        <w:fldChar w:fldCharType="begin"/>
      </w:r>
      <w:r>
        <w:rPr>
          <w:rStyle w:val="13"/>
          <w:sz w:val="21"/>
        </w:rPr>
        <w:instrText xml:space="preserve"> PAGEREF _Toc7383814 \h </w:instrText>
      </w:r>
      <w:r>
        <w:rPr>
          <w:rStyle w:val="13"/>
          <w:sz w:val="21"/>
        </w:rPr>
        <w:fldChar w:fldCharType="separate"/>
      </w:r>
      <w:r>
        <w:rPr>
          <w:rStyle w:val="13"/>
          <w:sz w:val="21"/>
        </w:rPr>
        <w:t>13</w:t>
      </w:r>
      <w:r>
        <w:rPr>
          <w:rStyle w:val="13"/>
          <w:sz w:val="21"/>
        </w:rPr>
        <w:fldChar w:fldCharType="end"/>
      </w:r>
      <w:r>
        <w:rPr>
          <w:rStyle w:val="13"/>
          <w:sz w:val="21"/>
        </w:rPr>
        <w:fldChar w:fldCharType="end"/>
      </w:r>
    </w:p>
    <w:p w14:paraId="2CE0CB69">
      <w:pPr>
        <w:pStyle w:val="7"/>
        <w:rPr>
          <w:rStyle w:val="13"/>
          <w:sz w:val="21"/>
        </w:rPr>
      </w:pPr>
      <w:r>
        <w:fldChar w:fldCharType="begin"/>
      </w:r>
      <w:r>
        <w:instrText xml:space="preserve"> HYPERLINK \l "_Toc7383815" </w:instrText>
      </w:r>
      <w:r>
        <w:fldChar w:fldCharType="separate"/>
      </w:r>
      <w:r>
        <w:rPr>
          <w:rStyle w:val="13"/>
          <w:rFonts w:hint="eastAsia"/>
          <w:sz w:val="21"/>
        </w:rPr>
        <w:t>（二）绩效评价工作方案制定过程</w:t>
      </w:r>
      <w:r>
        <w:rPr>
          <w:rStyle w:val="13"/>
          <w:sz w:val="21"/>
        </w:rPr>
        <w:tab/>
      </w:r>
      <w:r>
        <w:rPr>
          <w:rStyle w:val="13"/>
          <w:sz w:val="21"/>
        </w:rPr>
        <w:fldChar w:fldCharType="begin"/>
      </w:r>
      <w:r>
        <w:rPr>
          <w:rStyle w:val="13"/>
          <w:sz w:val="21"/>
        </w:rPr>
        <w:instrText xml:space="preserve"> PAGEREF _Toc7383815 \h </w:instrText>
      </w:r>
      <w:r>
        <w:rPr>
          <w:rStyle w:val="13"/>
          <w:sz w:val="21"/>
        </w:rPr>
        <w:fldChar w:fldCharType="separate"/>
      </w:r>
      <w:r>
        <w:rPr>
          <w:rStyle w:val="13"/>
          <w:sz w:val="21"/>
        </w:rPr>
        <w:t>14</w:t>
      </w:r>
      <w:r>
        <w:rPr>
          <w:rStyle w:val="13"/>
          <w:sz w:val="21"/>
        </w:rPr>
        <w:fldChar w:fldCharType="end"/>
      </w:r>
      <w:r>
        <w:rPr>
          <w:rStyle w:val="13"/>
          <w:sz w:val="21"/>
        </w:rPr>
        <w:fldChar w:fldCharType="end"/>
      </w:r>
    </w:p>
    <w:p w14:paraId="180ADAC5">
      <w:pPr>
        <w:pStyle w:val="7"/>
        <w:rPr>
          <w:rStyle w:val="13"/>
          <w:sz w:val="21"/>
        </w:rPr>
      </w:pPr>
      <w:r>
        <w:fldChar w:fldCharType="begin"/>
      </w:r>
      <w:r>
        <w:instrText xml:space="preserve"> HYPERLINK \l "_Toc7383816" </w:instrText>
      </w:r>
      <w:r>
        <w:fldChar w:fldCharType="separate"/>
      </w:r>
      <w:r>
        <w:rPr>
          <w:rStyle w:val="13"/>
          <w:rFonts w:hint="eastAsia"/>
          <w:sz w:val="21"/>
        </w:rPr>
        <w:t>（三）绩效评价原则及评价方法</w:t>
      </w:r>
      <w:r>
        <w:rPr>
          <w:rStyle w:val="13"/>
          <w:sz w:val="21"/>
        </w:rPr>
        <w:tab/>
      </w:r>
      <w:r>
        <w:rPr>
          <w:rStyle w:val="13"/>
          <w:sz w:val="21"/>
        </w:rPr>
        <w:fldChar w:fldCharType="begin"/>
      </w:r>
      <w:r>
        <w:rPr>
          <w:rStyle w:val="13"/>
          <w:sz w:val="21"/>
        </w:rPr>
        <w:instrText xml:space="preserve"> PAGEREF _Toc7383816 \h </w:instrText>
      </w:r>
      <w:r>
        <w:rPr>
          <w:rStyle w:val="13"/>
          <w:sz w:val="21"/>
        </w:rPr>
        <w:fldChar w:fldCharType="separate"/>
      </w:r>
      <w:r>
        <w:rPr>
          <w:rStyle w:val="13"/>
          <w:sz w:val="21"/>
        </w:rPr>
        <w:t>15</w:t>
      </w:r>
      <w:r>
        <w:rPr>
          <w:rStyle w:val="13"/>
          <w:sz w:val="21"/>
        </w:rPr>
        <w:fldChar w:fldCharType="end"/>
      </w:r>
      <w:r>
        <w:rPr>
          <w:rStyle w:val="13"/>
          <w:sz w:val="21"/>
        </w:rPr>
        <w:fldChar w:fldCharType="end"/>
      </w:r>
    </w:p>
    <w:p w14:paraId="11BBA552">
      <w:pPr>
        <w:pStyle w:val="7"/>
        <w:rPr>
          <w:rStyle w:val="13"/>
          <w:sz w:val="21"/>
        </w:rPr>
      </w:pPr>
      <w:r>
        <w:fldChar w:fldCharType="begin"/>
      </w:r>
      <w:r>
        <w:instrText xml:space="preserve"> HYPERLINK \l "_Toc7383817" </w:instrText>
      </w:r>
      <w:r>
        <w:fldChar w:fldCharType="separate"/>
      </w:r>
      <w:r>
        <w:rPr>
          <w:rStyle w:val="13"/>
          <w:sz w:val="21"/>
        </w:rPr>
        <w:t>(</w:t>
      </w:r>
      <w:r>
        <w:rPr>
          <w:rStyle w:val="13"/>
          <w:rFonts w:hint="eastAsia"/>
          <w:sz w:val="21"/>
        </w:rPr>
        <w:t>四</w:t>
      </w:r>
      <w:r>
        <w:rPr>
          <w:rStyle w:val="13"/>
          <w:sz w:val="21"/>
        </w:rPr>
        <w:t xml:space="preserve">) </w:t>
      </w:r>
      <w:r>
        <w:rPr>
          <w:rStyle w:val="13"/>
          <w:rFonts w:hint="eastAsia"/>
          <w:sz w:val="21"/>
        </w:rPr>
        <w:t>绩效评价实施过程</w:t>
      </w:r>
      <w:r>
        <w:rPr>
          <w:rStyle w:val="13"/>
          <w:sz w:val="21"/>
        </w:rPr>
        <w:tab/>
      </w:r>
      <w:r>
        <w:rPr>
          <w:rStyle w:val="13"/>
          <w:sz w:val="21"/>
        </w:rPr>
        <w:fldChar w:fldCharType="begin"/>
      </w:r>
      <w:r>
        <w:rPr>
          <w:rStyle w:val="13"/>
          <w:sz w:val="21"/>
        </w:rPr>
        <w:instrText xml:space="preserve"> PAGEREF _Toc7383817 \h </w:instrText>
      </w:r>
      <w:r>
        <w:rPr>
          <w:rStyle w:val="13"/>
          <w:sz w:val="21"/>
        </w:rPr>
        <w:fldChar w:fldCharType="separate"/>
      </w:r>
      <w:r>
        <w:rPr>
          <w:rStyle w:val="13"/>
          <w:sz w:val="21"/>
        </w:rPr>
        <w:t>15</w:t>
      </w:r>
      <w:r>
        <w:rPr>
          <w:rStyle w:val="13"/>
          <w:sz w:val="21"/>
        </w:rPr>
        <w:fldChar w:fldCharType="end"/>
      </w:r>
      <w:r>
        <w:rPr>
          <w:rStyle w:val="13"/>
          <w:sz w:val="21"/>
        </w:rPr>
        <w:fldChar w:fldCharType="end"/>
      </w:r>
    </w:p>
    <w:p w14:paraId="18C3C818">
      <w:pPr>
        <w:pStyle w:val="7"/>
        <w:rPr>
          <w:rStyle w:val="13"/>
          <w:sz w:val="21"/>
        </w:rPr>
      </w:pPr>
      <w:r>
        <w:fldChar w:fldCharType="begin"/>
      </w:r>
      <w:r>
        <w:instrText xml:space="preserve"> HYPERLINK \l "_Toc7383818" </w:instrText>
      </w:r>
      <w:r>
        <w:fldChar w:fldCharType="separate"/>
      </w:r>
      <w:r>
        <w:rPr>
          <w:rStyle w:val="13"/>
          <w:rFonts w:hint="eastAsia"/>
          <w:sz w:val="21"/>
        </w:rPr>
        <w:t>（五）绩效评价的局限性</w:t>
      </w:r>
      <w:r>
        <w:rPr>
          <w:rStyle w:val="13"/>
          <w:sz w:val="21"/>
        </w:rPr>
        <w:tab/>
      </w:r>
      <w:r>
        <w:rPr>
          <w:rStyle w:val="13"/>
          <w:sz w:val="21"/>
        </w:rPr>
        <w:fldChar w:fldCharType="begin"/>
      </w:r>
      <w:r>
        <w:rPr>
          <w:rStyle w:val="13"/>
          <w:sz w:val="21"/>
        </w:rPr>
        <w:instrText xml:space="preserve"> PAGEREF _Toc7383818 \h </w:instrText>
      </w:r>
      <w:r>
        <w:rPr>
          <w:rStyle w:val="13"/>
          <w:sz w:val="21"/>
        </w:rPr>
        <w:fldChar w:fldCharType="separate"/>
      </w:r>
      <w:r>
        <w:rPr>
          <w:rStyle w:val="13"/>
          <w:sz w:val="21"/>
        </w:rPr>
        <w:t>16</w:t>
      </w:r>
      <w:r>
        <w:rPr>
          <w:rStyle w:val="13"/>
          <w:sz w:val="21"/>
        </w:rPr>
        <w:fldChar w:fldCharType="end"/>
      </w:r>
      <w:r>
        <w:rPr>
          <w:rStyle w:val="13"/>
          <w:sz w:val="21"/>
        </w:rPr>
        <w:fldChar w:fldCharType="end"/>
      </w:r>
    </w:p>
    <w:p w14:paraId="4D286948">
      <w:pPr>
        <w:pStyle w:val="7"/>
        <w:rPr>
          <w:rStyle w:val="13"/>
          <w:sz w:val="21"/>
        </w:rPr>
      </w:pPr>
      <w:r>
        <w:fldChar w:fldCharType="begin"/>
      </w:r>
      <w:r>
        <w:instrText xml:space="preserve"> HYPERLINK \l "_Toc7383819" </w:instrText>
      </w:r>
      <w:r>
        <w:fldChar w:fldCharType="separate"/>
      </w:r>
      <w:r>
        <w:rPr>
          <w:rStyle w:val="13"/>
          <w:rFonts w:hint="eastAsia"/>
          <w:sz w:val="21"/>
        </w:rPr>
        <w:t>三、评价结论及绩效分析</w:t>
      </w:r>
      <w:r>
        <w:rPr>
          <w:rStyle w:val="13"/>
          <w:sz w:val="21"/>
        </w:rPr>
        <w:tab/>
      </w:r>
      <w:r>
        <w:rPr>
          <w:rStyle w:val="13"/>
          <w:sz w:val="21"/>
        </w:rPr>
        <w:fldChar w:fldCharType="begin"/>
      </w:r>
      <w:r>
        <w:rPr>
          <w:rStyle w:val="13"/>
          <w:sz w:val="21"/>
        </w:rPr>
        <w:instrText xml:space="preserve"> PAGEREF _Toc7383819 \h </w:instrText>
      </w:r>
      <w:r>
        <w:rPr>
          <w:rStyle w:val="13"/>
          <w:sz w:val="21"/>
        </w:rPr>
        <w:fldChar w:fldCharType="separate"/>
      </w:r>
      <w:r>
        <w:rPr>
          <w:rStyle w:val="13"/>
          <w:sz w:val="21"/>
        </w:rPr>
        <w:t>16</w:t>
      </w:r>
      <w:r>
        <w:rPr>
          <w:rStyle w:val="13"/>
          <w:sz w:val="21"/>
        </w:rPr>
        <w:fldChar w:fldCharType="end"/>
      </w:r>
      <w:r>
        <w:rPr>
          <w:rStyle w:val="13"/>
          <w:sz w:val="21"/>
        </w:rPr>
        <w:fldChar w:fldCharType="end"/>
      </w:r>
    </w:p>
    <w:p w14:paraId="2114DFB7">
      <w:pPr>
        <w:pStyle w:val="7"/>
        <w:rPr>
          <w:rStyle w:val="13"/>
          <w:sz w:val="21"/>
        </w:rPr>
      </w:pPr>
      <w:r>
        <w:fldChar w:fldCharType="begin"/>
      </w:r>
      <w:r>
        <w:instrText xml:space="preserve"> HYPERLINK \l "_Toc7383820" </w:instrText>
      </w:r>
      <w:r>
        <w:fldChar w:fldCharType="separate"/>
      </w:r>
      <w:r>
        <w:rPr>
          <w:rStyle w:val="13"/>
          <w:sz w:val="21"/>
        </w:rPr>
        <w:t>(</w:t>
      </w:r>
      <w:r>
        <w:rPr>
          <w:rStyle w:val="13"/>
          <w:rFonts w:hint="eastAsia"/>
          <w:sz w:val="21"/>
        </w:rPr>
        <w:t>一</w:t>
      </w:r>
      <w:r>
        <w:rPr>
          <w:rStyle w:val="13"/>
          <w:sz w:val="21"/>
        </w:rPr>
        <w:t>)</w:t>
      </w:r>
      <w:r>
        <w:rPr>
          <w:rStyle w:val="13"/>
          <w:rFonts w:hint="eastAsia"/>
          <w:sz w:val="21"/>
        </w:rPr>
        <w:t>评价结论</w:t>
      </w:r>
      <w:r>
        <w:rPr>
          <w:rStyle w:val="13"/>
          <w:sz w:val="21"/>
        </w:rPr>
        <w:tab/>
      </w:r>
      <w:r>
        <w:rPr>
          <w:rStyle w:val="13"/>
          <w:sz w:val="21"/>
        </w:rPr>
        <w:fldChar w:fldCharType="begin"/>
      </w:r>
      <w:r>
        <w:rPr>
          <w:rStyle w:val="13"/>
          <w:sz w:val="21"/>
        </w:rPr>
        <w:instrText xml:space="preserve"> PAGEREF _Toc7383820 \h </w:instrText>
      </w:r>
      <w:r>
        <w:rPr>
          <w:rStyle w:val="13"/>
          <w:sz w:val="21"/>
        </w:rPr>
        <w:fldChar w:fldCharType="separate"/>
      </w:r>
      <w:r>
        <w:rPr>
          <w:rStyle w:val="13"/>
          <w:sz w:val="21"/>
        </w:rPr>
        <w:t>16</w:t>
      </w:r>
      <w:r>
        <w:rPr>
          <w:rStyle w:val="13"/>
          <w:sz w:val="21"/>
        </w:rPr>
        <w:fldChar w:fldCharType="end"/>
      </w:r>
      <w:r>
        <w:rPr>
          <w:rStyle w:val="13"/>
          <w:sz w:val="21"/>
        </w:rPr>
        <w:fldChar w:fldCharType="end"/>
      </w:r>
    </w:p>
    <w:p w14:paraId="6352785C">
      <w:pPr>
        <w:pStyle w:val="7"/>
        <w:rPr>
          <w:rStyle w:val="13"/>
          <w:sz w:val="21"/>
        </w:rPr>
      </w:pPr>
      <w:r>
        <w:fldChar w:fldCharType="begin"/>
      </w:r>
      <w:r>
        <w:instrText xml:space="preserve"> HYPERLINK \l "_Toc7383821" </w:instrText>
      </w:r>
      <w:r>
        <w:fldChar w:fldCharType="separate"/>
      </w:r>
      <w:r>
        <w:rPr>
          <w:rStyle w:val="13"/>
          <w:rFonts w:hint="eastAsia"/>
          <w:sz w:val="21"/>
        </w:rPr>
        <w:t>（二）具体绩效分析</w:t>
      </w:r>
      <w:r>
        <w:rPr>
          <w:rStyle w:val="13"/>
          <w:sz w:val="21"/>
        </w:rPr>
        <w:tab/>
      </w:r>
      <w:r>
        <w:rPr>
          <w:rStyle w:val="13"/>
          <w:sz w:val="21"/>
        </w:rPr>
        <w:fldChar w:fldCharType="begin"/>
      </w:r>
      <w:r>
        <w:rPr>
          <w:rStyle w:val="13"/>
          <w:sz w:val="21"/>
        </w:rPr>
        <w:instrText xml:space="preserve"> PAGEREF _Toc7383821 \h </w:instrText>
      </w:r>
      <w:r>
        <w:rPr>
          <w:rStyle w:val="13"/>
          <w:sz w:val="21"/>
        </w:rPr>
        <w:fldChar w:fldCharType="separate"/>
      </w:r>
      <w:r>
        <w:rPr>
          <w:rStyle w:val="13"/>
          <w:sz w:val="21"/>
        </w:rPr>
        <w:t>17</w:t>
      </w:r>
      <w:r>
        <w:rPr>
          <w:rStyle w:val="13"/>
          <w:sz w:val="21"/>
        </w:rPr>
        <w:fldChar w:fldCharType="end"/>
      </w:r>
      <w:r>
        <w:rPr>
          <w:rStyle w:val="13"/>
          <w:sz w:val="21"/>
        </w:rPr>
        <w:fldChar w:fldCharType="end"/>
      </w:r>
    </w:p>
    <w:p w14:paraId="493B1430">
      <w:pPr>
        <w:pStyle w:val="7"/>
        <w:rPr>
          <w:rStyle w:val="13"/>
          <w:sz w:val="21"/>
        </w:rPr>
      </w:pPr>
      <w:r>
        <w:fldChar w:fldCharType="begin"/>
      </w:r>
      <w:r>
        <w:instrText xml:space="preserve"> HYPERLINK \l "_Toc7383822" </w:instrText>
      </w:r>
      <w:r>
        <w:fldChar w:fldCharType="separate"/>
      </w:r>
      <w:r>
        <w:rPr>
          <w:rStyle w:val="13"/>
          <w:rFonts w:hint="eastAsia"/>
          <w:sz w:val="21"/>
        </w:rPr>
        <w:t>四、成本效益分析</w:t>
      </w:r>
      <w:r>
        <w:rPr>
          <w:rStyle w:val="13"/>
          <w:sz w:val="21"/>
        </w:rPr>
        <w:tab/>
      </w:r>
      <w:r>
        <w:rPr>
          <w:rStyle w:val="13"/>
          <w:sz w:val="21"/>
        </w:rPr>
        <w:fldChar w:fldCharType="begin"/>
      </w:r>
      <w:r>
        <w:rPr>
          <w:rStyle w:val="13"/>
          <w:sz w:val="21"/>
        </w:rPr>
        <w:instrText xml:space="preserve"> PAGEREF _Toc7383822 \h </w:instrText>
      </w:r>
      <w:r>
        <w:rPr>
          <w:rStyle w:val="13"/>
          <w:sz w:val="21"/>
        </w:rPr>
        <w:fldChar w:fldCharType="separate"/>
      </w:r>
      <w:r>
        <w:rPr>
          <w:rStyle w:val="13"/>
          <w:sz w:val="21"/>
        </w:rPr>
        <w:t>17</w:t>
      </w:r>
      <w:r>
        <w:rPr>
          <w:rStyle w:val="13"/>
          <w:sz w:val="21"/>
        </w:rPr>
        <w:fldChar w:fldCharType="end"/>
      </w:r>
      <w:r>
        <w:rPr>
          <w:rStyle w:val="13"/>
          <w:sz w:val="21"/>
        </w:rPr>
        <w:fldChar w:fldCharType="end"/>
      </w:r>
    </w:p>
    <w:p w14:paraId="540BDC3D">
      <w:pPr>
        <w:pStyle w:val="7"/>
        <w:rPr>
          <w:rStyle w:val="13"/>
          <w:sz w:val="21"/>
        </w:rPr>
      </w:pPr>
      <w:r>
        <w:fldChar w:fldCharType="begin"/>
      </w:r>
      <w:r>
        <w:instrText xml:space="preserve"> HYPERLINK \l "_Toc7383823" </w:instrText>
      </w:r>
      <w:r>
        <w:fldChar w:fldCharType="separate"/>
      </w:r>
      <w:r>
        <w:rPr>
          <w:rStyle w:val="13"/>
          <w:rFonts w:hint="eastAsia"/>
          <w:sz w:val="21"/>
        </w:rPr>
        <w:t>（一）项目经济性分析</w:t>
      </w:r>
      <w:r>
        <w:rPr>
          <w:rStyle w:val="13"/>
          <w:sz w:val="21"/>
        </w:rPr>
        <w:tab/>
      </w:r>
      <w:r>
        <w:rPr>
          <w:rStyle w:val="13"/>
          <w:sz w:val="21"/>
        </w:rPr>
        <w:fldChar w:fldCharType="begin"/>
      </w:r>
      <w:r>
        <w:rPr>
          <w:rStyle w:val="13"/>
          <w:sz w:val="21"/>
        </w:rPr>
        <w:instrText xml:space="preserve"> PAGEREF _Toc7383823 \h </w:instrText>
      </w:r>
      <w:r>
        <w:rPr>
          <w:rStyle w:val="13"/>
          <w:sz w:val="21"/>
        </w:rPr>
        <w:fldChar w:fldCharType="separate"/>
      </w:r>
      <w:r>
        <w:rPr>
          <w:rStyle w:val="13"/>
          <w:sz w:val="21"/>
        </w:rPr>
        <w:t>17</w:t>
      </w:r>
      <w:r>
        <w:rPr>
          <w:rStyle w:val="13"/>
          <w:sz w:val="21"/>
        </w:rPr>
        <w:fldChar w:fldCharType="end"/>
      </w:r>
      <w:r>
        <w:rPr>
          <w:rStyle w:val="13"/>
          <w:sz w:val="21"/>
        </w:rPr>
        <w:fldChar w:fldCharType="end"/>
      </w:r>
    </w:p>
    <w:p w14:paraId="54CC5452">
      <w:pPr>
        <w:pStyle w:val="7"/>
        <w:rPr>
          <w:rStyle w:val="13"/>
          <w:sz w:val="21"/>
        </w:rPr>
      </w:pPr>
      <w:r>
        <w:fldChar w:fldCharType="begin"/>
      </w:r>
      <w:r>
        <w:instrText xml:space="preserve"> HYPERLINK \l "_Toc7383824" </w:instrText>
      </w:r>
      <w:r>
        <w:fldChar w:fldCharType="separate"/>
      </w:r>
      <w:r>
        <w:rPr>
          <w:rStyle w:val="13"/>
          <w:rFonts w:hint="eastAsia"/>
          <w:sz w:val="21"/>
        </w:rPr>
        <w:t>（二）项目的效益性分析</w:t>
      </w:r>
      <w:r>
        <w:rPr>
          <w:rStyle w:val="13"/>
          <w:sz w:val="21"/>
        </w:rPr>
        <w:tab/>
      </w:r>
      <w:r>
        <w:rPr>
          <w:rStyle w:val="13"/>
          <w:sz w:val="21"/>
        </w:rPr>
        <w:fldChar w:fldCharType="begin"/>
      </w:r>
      <w:r>
        <w:rPr>
          <w:rStyle w:val="13"/>
          <w:sz w:val="21"/>
        </w:rPr>
        <w:instrText xml:space="preserve"> PAGEREF _Toc7383824 \h </w:instrText>
      </w:r>
      <w:r>
        <w:rPr>
          <w:rStyle w:val="13"/>
          <w:sz w:val="21"/>
        </w:rPr>
        <w:fldChar w:fldCharType="separate"/>
      </w:r>
      <w:r>
        <w:rPr>
          <w:rStyle w:val="13"/>
          <w:sz w:val="21"/>
        </w:rPr>
        <w:t>18</w:t>
      </w:r>
      <w:r>
        <w:rPr>
          <w:rStyle w:val="13"/>
          <w:sz w:val="21"/>
        </w:rPr>
        <w:fldChar w:fldCharType="end"/>
      </w:r>
      <w:r>
        <w:rPr>
          <w:rStyle w:val="13"/>
          <w:sz w:val="21"/>
        </w:rPr>
        <w:fldChar w:fldCharType="end"/>
      </w:r>
    </w:p>
    <w:p w14:paraId="449D60DD">
      <w:pPr>
        <w:pStyle w:val="7"/>
        <w:rPr>
          <w:rStyle w:val="13"/>
          <w:sz w:val="21"/>
        </w:rPr>
      </w:pPr>
      <w:r>
        <w:fldChar w:fldCharType="begin"/>
      </w:r>
      <w:r>
        <w:instrText xml:space="preserve"> HYPERLINK \l "_Toc7383825" </w:instrText>
      </w:r>
      <w:r>
        <w:fldChar w:fldCharType="separate"/>
      </w:r>
      <w:r>
        <w:rPr>
          <w:rStyle w:val="13"/>
          <w:rFonts w:hint="eastAsia"/>
          <w:sz w:val="21"/>
        </w:rPr>
        <w:t>五、项目主要经验及做法、存在的问题和建议</w:t>
      </w:r>
      <w:r>
        <w:rPr>
          <w:rStyle w:val="13"/>
          <w:sz w:val="21"/>
        </w:rPr>
        <w:tab/>
      </w:r>
      <w:r>
        <w:rPr>
          <w:rStyle w:val="13"/>
          <w:sz w:val="21"/>
        </w:rPr>
        <w:fldChar w:fldCharType="begin"/>
      </w:r>
      <w:r>
        <w:rPr>
          <w:rStyle w:val="13"/>
          <w:sz w:val="21"/>
        </w:rPr>
        <w:instrText xml:space="preserve"> PAGEREF _Toc7383825 \h </w:instrText>
      </w:r>
      <w:r>
        <w:rPr>
          <w:rStyle w:val="13"/>
          <w:sz w:val="21"/>
        </w:rPr>
        <w:fldChar w:fldCharType="separate"/>
      </w:r>
      <w:r>
        <w:rPr>
          <w:rStyle w:val="13"/>
          <w:sz w:val="21"/>
        </w:rPr>
        <w:t>19</w:t>
      </w:r>
      <w:r>
        <w:rPr>
          <w:rStyle w:val="13"/>
          <w:sz w:val="21"/>
        </w:rPr>
        <w:fldChar w:fldCharType="end"/>
      </w:r>
      <w:r>
        <w:rPr>
          <w:rStyle w:val="13"/>
          <w:sz w:val="21"/>
        </w:rPr>
        <w:fldChar w:fldCharType="end"/>
      </w:r>
    </w:p>
    <w:p w14:paraId="563B8D77">
      <w:pPr>
        <w:pStyle w:val="7"/>
        <w:rPr>
          <w:rStyle w:val="13"/>
          <w:sz w:val="21"/>
        </w:rPr>
      </w:pPr>
      <w:r>
        <w:fldChar w:fldCharType="begin"/>
      </w:r>
      <w:r>
        <w:instrText xml:space="preserve"> HYPERLINK \l "_Toc7383826" </w:instrText>
      </w:r>
      <w:r>
        <w:fldChar w:fldCharType="separate"/>
      </w:r>
      <w:r>
        <w:rPr>
          <w:rStyle w:val="13"/>
          <w:rFonts w:hint="eastAsia"/>
          <w:sz w:val="21"/>
        </w:rPr>
        <w:t>（一）主要经验及做法</w:t>
      </w:r>
      <w:r>
        <w:rPr>
          <w:rStyle w:val="13"/>
          <w:sz w:val="21"/>
        </w:rPr>
        <w:tab/>
      </w:r>
      <w:r>
        <w:rPr>
          <w:rStyle w:val="13"/>
          <w:sz w:val="21"/>
        </w:rPr>
        <w:fldChar w:fldCharType="begin"/>
      </w:r>
      <w:r>
        <w:rPr>
          <w:rStyle w:val="13"/>
          <w:sz w:val="21"/>
        </w:rPr>
        <w:instrText xml:space="preserve"> PAGEREF _Toc7383826 \h </w:instrText>
      </w:r>
      <w:r>
        <w:rPr>
          <w:rStyle w:val="13"/>
          <w:sz w:val="21"/>
        </w:rPr>
        <w:fldChar w:fldCharType="separate"/>
      </w:r>
      <w:r>
        <w:rPr>
          <w:rStyle w:val="13"/>
          <w:sz w:val="21"/>
        </w:rPr>
        <w:t>19</w:t>
      </w:r>
      <w:r>
        <w:rPr>
          <w:rStyle w:val="13"/>
          <w:sz w:val="21"/>
        </w:rPr>
        <w:fldChar w:fldCharType="end"/>
      </w:r>
      <w:r>
        <w:rPr>
          <w:rStyle w:val="13"/>
          <w:sz w:val="21"/>
        </w:rPr>
        <w:fldChar w:fldCharType="end"/>
      </w:r>
    </w:p>
    <w:p w14:paraId="5CEE8168">
      <w:pPr>
        <w:pStyle w:val="7"/>
        <w:rPr>
          <w:rStyle w:val="13"/>
          <w:sz w:val="21"/>
        </w:rPr>
      </w:pPr>
      <w:r>
        <w:fldChar w:fldCharType="begin"/>
      </w:r>
      <w:r>
        <w:instrText xml:space="preserve"> HYPERLINK \l "_Toc7383827" </w:instrText>
      </w:r>
      <w:r>
        <w:fldChar w:fldCharType="separate"/>
      </w:r>
      <w:r>
        <w:rPr>
          <w:rStyle w:val="13"/>
          <w:rFonts w:hint="eastAsia"/>
          <w:sz w:val="21"/>
        </w:rPr>
        <w:t>（二）存在的问题</w:t>
      </w:r>
      <w:r>
        <w:rPr>
          <w:rStyle w:val="13"/>
          <w:sz w:val="21"/>
        </w:rPr>
        <w:tab/>
      </w:r>
      <w:r>
        <w:rPr>
          <w:rStyle w:val="13"/>
          <w:sz w:val="21"/>
        </w:rPr>
        <w:fldChar w:fldCharType="begin"/>
      </w:r>
      <w:r>
        <w:rPr>
          <w:rStyle w:val="13"/>
          <w:sz w:val="21"/>
        </w:rPr>
        <w:instrText xml:space="preserve"> PAGEREF _Toc7383827 \h </w:instrText>
      </w:r>
      <w:r>
        <w:rPr>
          <w:rStyle w:val="13"/>
          <w:sz w:val="21"/>
        </w:rPr>
        <w:fldChar w:fldCharType="separate"/>
      </w:r>
      <w:r>
        <w:rPr>
          <w:rStyle w:val="13"/>
          <w:sz w:val="21"/>
        </w:rPr>
        <w:t>20</w:t>
      </w:r>
      <w:r>
        <w:rPr>
          <w:rStyle w:val="13"/>
          <w:sz w:val="21"/>
        </w:rPr>
        <w:fldChar w:fldCharType="end"/>
      </w:r>
      <w:r>
        <w:rPr>
          <w:rStyle w:val="13"/>
          <w:sz w:val="21"/>
        </w:rPr>
        <w:fldChar w:fldCharType="end"/>
      </w:r>
    </w:p>
    <w:p w14:paraId="66B6AC55">
      <w:pPr>
        <w:pStyle w:val="7"/>
        <w:rPr>
          <w:rStyle w:val="13"/>
        </w:rPr>
      </w:pPr>
      <w:r>
        <w:fldChar w:fldCharType="begin"/>
      </w:r>
      <w:r>
        <w:instrText xml:space="preserve"> HYPERLINK \l "_Toc7383828" </w:instrText>
      </w:r>
      <w:r>
        <w:fldChar w:fldCharType="separate"/>
      </w:r>
      <w:r>
        <w:rPr>
          <w:rStyle w:val="13"/>
          <w:rFonts w:hint="eastAsia"/>
          <w:sz w:val="21"/>
        </w:rPr>
        <w:t>（三）建议和改进措施</w:t>
      </w:r>
      <w:r>
        <w:rPr>
          <w:rStyle w:val="13"/>
          <w:sz w:val="21"/>
        </w:rPr>
        <w:tab/>
      </w:r>
      <w:r>
        <w:rPr>
          <w:rStyle w:val="13"/>
          <w:sz w:val="21"/>
        </w:rPr>
        <w:fldChar w:fldCharType="begin"/>
      </w:r>
      <w:r>
        <w:rPr>
          <w:rStyle w:val="13"/>
          <w:sz w:val="21"/>
        </w:rPr>
        <w:instrText xml:space="preserve"> PAGEREF _Toc7383828 \h </w:instrText>
      </w:r>
      <w:r>
        <w:rPr>
          <w:rStyle w:val="13"/>
          <w:sz w:val="21"/>
        </w:rPr>
        <w:fldChar w:fldCharType="separate"/>
      </w:r>
      <w:r>
        <w:rPr>
          <w:rStyle w:val="13"/>
          <w:sz w:val="21"/>
        </w:rPr>
        <w:t>20</w:t>
      </w:r>
      <w:r>
        <w:rPr>
          <w:rStyle w:val="13"/>
          <w:sz w:val="21"/>
        </w:rPr>
        <w:fldChar w:fldCharType="end"/>
      </w:r>
      <w:r>
        <w:rPr>
          <w:rStyle w:val="13"/>
          <w:sz w:val="21"/>
        </w:rPr>
        <w:fldChar w:fldCharType="end"/>
      </w:r>
    </w:p>
    <w:p w14:paraId="0D6CABBA">
      <w:pPr>
        <w:pStyle w:val="7"/>
        <w:rPr>
          <w:rFonts w:ascii="黑体" w:hAnsi="黑体"/>
          <w:szCs w:val="32"/>
        </w:rPr>
      </w:pPr>
      <w:r>
        <w:rPr>
          <w:rStyle w:val="13"/>
        </w:rPr>
        <w:fldChar w:fldCharType="end"/>
      </w:r>
    </w:p>
    <w:p w14:paraId="0D8AE44D">
      <w:pPr>
        <w:spacing w:line="540" w:lineRule="exact"/>
        <w:rPr>
          <w:rFonts w:ascii="黑体" w:hAnsi="黑体" w:eastAsia="黑体" w:cs="Times New Roman"/>
          <w:szCs w:val="32"/>
        </w:rPr>
      </w:pPr>
    </w:p>
    <w:p w14:paraId="560257C1">
      <w:pPr>
        <w:spacing w:line="540" w:lineRule="exact"/>
        <w:rPr>
          <w:rFonts w:ascii="黑体" w:hAnsi="黑体" w:eastAsia="黑体" w:cs="Times New Roman"/>
          <w:szCs w:val="32"/>
        </w:rPr>
      </w:pPr>
    </w:p>
    <w:p w14:paraId="08883D80">
      <w:pPr>
        <w:spacing w:line="540" w:lineRule="exact"/>
        <w:rPr>
          <w:rFonts w:ascii="黑体" w:hAnsi="黑体" w:eastAsia="黑体" w:cs="Times New Roman"/>
          <w:szCs w:val="32"/>
        </w:rPr>
      </w:pPr>
    </w:p>
    <w:p w14:paraId="19EABA10">
      <w:pPr>
        <w:spacing w:line="440" w:lineRule="exact"/>
        <w:jc w:val="center"/>
        <w:rPr>
          <w:rFonts w:ascii="方正小标宋_GBK" w:hAnsi="Calibri" w:eastAsia="方正小标宋_GBK" w:cs="Times New Roman"/>
          <w:sz w:val="36"/>
          <w:szCs w:val="36"/>
        </w:rPr>
      </w:pPr>
    </w:p>
    <w:p w14:paraId="71786C82">
      <w:pPr>
        <w:jc w:val="center"/>
        <w:rPr>
          <w:rFonts w:ascii="方正小标宋_GBK" w:eastAsia="方正小标宋_GBK"/>
          <w:sz w:val="44"/>
          <w:szCs w:val="44"/>
        </w:rPr>
      </w:pPr>
      <w:r>
        <w:rPr>
          <w:rFonts w:hint="eastAsia" w:ascii="方正小标宋_GBK" w:eastAsia="方正小标宋_GBK"/>
          <w:sz w:val="44"/>
          <w:szCs w:val="44"/>
        </w:rPr>
        <w:t>昆明市盘龙区人民政府办公室业务经费项目支出绩效自评报告</w:t>
      </w:r>
    </w:p>
    <w:p w14:paraId="03B834DD">
      <w:pPr>
        <w:widowControl/>
        <w:shd w:val="clear" w:color="auto" w:fill="FFFFFF"/>
        <w:spacing w:line="555" w:lineRule="atLeast"/>
        <w:rPr>
          <w:rFonts w:ascii="仿宋" w:hAnsi="仿宋" w:eastAsia="仿宋" w:cs="宋体"/>
          <w:b/>
          <w:bCs/>
          <w:color w:val="333333"/>
          <w:kern w:val="0"/>
          <w:sz w:val="36"/>
          <w:szCs w:val="36"/>
        </w:rPr>
      </w:pPr>
    </w:p>
    <w:p w14:paraId="2BC1B5C8">
      <w:pPr>
        <w:spacing w:line="440" w:lineRule="exact"/>
        <w:ind w:firstLine="560" w:firstLineChars="200"/>
        <w:jc w:val="center"/>
        <w:rPr>
          <w:rFonts w:ascii="方正小标宋_GBK" w:hAnsi="黑体" w:eastAsia="方正小标宋_GBK" w:cs="Times New Roman"/>
          <w:sz w:val="28"/>
          <w:szCs w:val="32"/>
        </w:rPr>
      </w:pPr>
      <w:r>
        <w:rPr>
          <w:rFonts w:hint="eastAsia" w:ascii="方正小标宋_GBK" w:hAnsi="黑体" w:eastAsia="方正小标宋_GBK" w:cs="Times New Roman"/>
          <w:sz w:val="28"/>
          <w:szCs w:val="32"/>
        </w:rPr>
        <w:t>摘要（1500字以内）</w:t>
      </w:r>
    </w:p>
    <w:p w14:paraId="3BD2AAAD">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0" w:name="_Toc7383801"/>
      <w:r>
        <w:rPr>
          <w:rFonts w:hint="eastAsia" w:ascii="黑体" w:hAnsi="黑体" w:eastAsia="黑体" w:cstheme="minorBidi"/>
          <w:kern w:val="44"/>
          <w:sz w:val="32"/>
          <w:szCs w:val="32"/>
        </w:rPr>
        <w:t>一、项目概况</w:t>
      </w:r>
      <w:bookmarkEnd w:id="0"/>
    </w:p>
    <w:p w14:paraId="050D1BC6">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 w:name="_Toc7383802"/>
      <w:r>
        <w:rPr>
          <w:rFonts w:hint="eastAsia" w:ascii="楷体_GB2312" w:eastAsia="楷体_GB2312" w:hAnsiTheme="majorHAnsi" w:cstheme="majorBidi"/>
          <w:kern w:val="2"/>
          <w:sz w:val="32"/>
          <w:szCs w:val="32"/>
        </w:rPr>
        <w:t>（一）项目立项背景及目的</w:t>
      </w:r>
      <w:bookmarkEnd w:id="1"/>
    </w:p>
    <w:p w14:paraId="3639701E">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贯彻党的十九大精神以及习近平总书记系列重要讲话精神，围绕区委、区政府中心工作，切实履行各项职责，高效服务，力促发展，保障区政府的各项工作高效有序运转。根据《关于印发&lt;昆明市盘龙区人民政府办公室主要职责内设机构和人员编制规定&gt;的通知》（盘政办发（2016）12号）文件精神，区政府办主要承担了十五项职能职责。</w:t>
      </w:r>
    </w:p>
    <w:p w14:paraId="11B45BAA">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 w:name="_Toc7383803"/>
      <w:r>
        <w:rPr>
          <w:rFonts w:hint="eastAsia" w:ascii="楷体_GB2312" w:eastAsia="楷体_GB2312" w:hAnsiTheme="majorHAnsi" w:cstheme="majorBidi"/>
          <w:kern w:val="2"/>
          <w:sz w:val="32"/>
          <w:szCs w:val="32"/>
        </w:rPr>
        <w:t>（二）预算收支情况</w:t>
      </w:r>
      <w:bookmarkEnd w:id="2"/>
    </w:p>
    <w:p w14:paraId="6A991A28">
      <w:pPr>
        <w:widowControl/>
        <w:shd w:val="clear" w:color="auto" w:fill="FFFFFF"/>
        <w:ind w:firstLine="705"/>
        <w:jc w:val="left"/>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为确保区政府总体工作正常开展，上级机关交办事项办理到位，需申请业务经费100万元，具体项目预算明细如下： </w:t>
      </w:r>
    </w:p>
    <w:p w14:paraId="6A0D2288">
      <w:pPr>
        <w:widowControl/>
        <w:shd w:val="clear" w:color="auto" w:fill="FFFFFF"/>
        <w:ind w:firstLine="705"/>
        <w:jc w:val="left"/>
        <w:rPr>
          <w:rFonts w:hint="eastAsia" w:ascii="仿宋_GB2312" w:hAnsi="仿宋" w:eastAsia="仿宋_GB2312" w:cs="宋体"/>
          <w:color w:val="333333"/>
          <w:kern w:val="0"/>
          <w:sz w:val="32"/>
          <w:szCs w:val="32"/>
        </w:rPr>
      </w:pPr>
    </w:p>
    <w:p w14:paraId="163021B9">
      <w:pPr>
        <w:widowControl/>
        <w:shd w:val="clear" w:color="auto" w:fill="FFFFFF"/>
        <w:ind w:firstLine="705"/>
        <w:jc w:val="left"/>
        <w:rPr>
          <w:rFonts w:hint="eastAsia" w:ascii="仿宋_GB2312" w:hAnsi="仿宋" w:eastAsia="仿宋_GB2312" w:cs="宋体"/>
          <w:color w:val="333333"/>
          <w:kern w:val="0"/>
          <w:sz w:val="32"/>
          <w:szCs w:val="32"/>
        </w:rPr>
      </w:pPr>
    </w:p>
    <w:p w14:paraId="66F214D4">
      <w:pPr>
        <w:widowControl/>
        <w:shd w:val="clear" w:color="auto" w:fill="FFFFFF"/>
        <w:ind w:firstLine="705"/>
        <w:jc w:val="left"/>
        <w:rPr>
          <w:rFonts w:ascii="仿宋_GB2312" w:hAnsi="仿宋" w:eastAsia="仿宋_GB2312" w:cs="宋体"/>
          <w:color w:val="333333"/>
          <w:kern w:val="0"/>
          <w:sz w:val="32"/>
          <w:szCs w:val="32"/>
        </w:rPr>
      </w:pPr>
    </w:p>
    <w:p w14:paraId="50C42AC3">
      <w:pPr>
        <w:widowControl/>
        <w:shd w:val="clear" w:color="auto" w:fill="FFFFFF"/>
        <w:ind w:firstLine="705"/>
        <w:jc w:val="left"/>
        <w:rPr>
          <w:rFonts w:ascii="仿宋_GB2312" w:hAnsi="微软雅黑" w:eastAsia="仿宋_GB2312" w:cs="宋体"/>
          <w:color w:val="333333"/>
          <w:kern w:val="0"/>
          <w:szCs w:val="24"/>
        </w:rPr>
      </w:pPr>
      <w:r>
        <w:rPr>
          <w:rFonts w:hint="eastAsia" w:ascii="宋体" w:hAnsi="宋体" w:eastAsia="宋体" w:cs="宋体"/>
          <w:color w:val="333333"/>
          <w:kern w:val="0"/>
          <w:sz w:val="29"/>
          <w:szCs w:val="29"/>
        </w:rPr>
        <w:t>              </w:t>
      </w:r>
      <w:r>
        <w:rPr>
          <w:rFonts w:hint="eastAsia" w:ascii="仿宋_GB2312" w:hAnsi="仿宋" w:eastAsia="仿宋_GB2312" w:cs="宋体"/>
          <w:color w:val="333333"/>
          <w:kern w:val="0"/>
          <w:sz w:val="24"/>
          <w:szCs w:val="29"/>
        </w:rPr>
        <w:t xml:space="preserve"> 单位：元</w:t>
      </w:r>
    </w:p>
    <w:tbl>
      <w:tblPr>
        <w:tblStyle w:val="10"/>
        <w:tblW w:w="9498" w:type="dxa"/>
        <w:tblInd w:w="-41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852"/>
        <w:gridCol w:w="6237"/>
        <w:gridCol w:w="2409"/>
      </w:tblGrid>
      <w:tr w14:paraId="2492C4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90" w:hRule="atLeast"/>
        </w:trPr>
        <w:tc>
          <w:tcPr>
            <w:tcW w:w="85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6460B40">
            <w:pPr>
              <w:widowControl/>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序号</w:t>
            </w:r>
          </w:p>
        </w:tc>
        <w:tc>
          <w:tcPr>
            <w:tcW w:w="6237" w:type="dxa"/>
            <w:tcBorders>
              <w:top w:val="single" w:color="000000" w:sz="6" w:space="0"/>
              <w:left w:val="nil"/>
              <w:bottom w:val="single" w:color="000000" w:sz="6" w:space="0"/>
              <w:right w:val="single" w:color="000000" w:sz="6" w:space="0"/>
            </w:tcBorders>
            <w:shd w:val="clear" w:color="auto" w:fill="FFFFFF"/>
            <w:vAlign w:val="center"/>
          </w:tcPr>
          <w:p w14:paraId="1402A388">
            <w:pPr>
              <w:widowControl/>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项目明细</w:t>
            </w:r>
          </w:p>
        </w:tc>
        <w:tc>
          <w:tcPr>
            <w:tcW w:w="2409" w:type="dxa"/>
            <w:tcBorders>
              <w:top w:val="single" w:color="000000" w:sz="6" w:space="0"/>
              <w:left w:val="nil"/>
              <w:bottom w:val="single" w:color="000000" w:sz="6" w:space="0"/>
              <w:right w:val="single" w:color="000000" w:sz="6" w:space="0"/>
            </w:tcBorders>
            <w:shd w:val="clear" w:color="auto" w:fill="FFFFFF"/>
            <w:vAlign w:val="center"/>
          </w:tcPr>
          <w:p w14:paraId="1D0836DE">
            <w:pPr>
              <w:widowControl/>
              <w:ind w:firstLine="600"/>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财政拨款</w:t>
            </w:r>
          </w:p>
        </w:tc>
      </w:tr>
      <w:tr w14:paraId="732CC60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000000" w:sz="6" w:space="0"/>
              <w:right w:val="single" w:color="000000" w:sz="6" w:space="0"/>
            </w:tcBorders>
            <w:shd w:val="clear" w:color="auto" w:fill="FFFFFF"/>
            <w:vAlign w:val="center"/>
          </w:tcPr>
          <w:p w14:paraId="7725C0FA">
            <w:pPr>
              <w:widowControl/>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1</w:t>
            </w:r>
          </w:p>
        </w:tc>
        <w:tc>
          <w:tcPr>
            <w:tcW w:w="6237" w:type="dxa"/>
            <w:tcBorders>
              <w:top w:val="nil"/>
              <w:left w:val="nil"/>
              <w:bottom w:val="single" w:color="000000" w:sz="6" w:space="0"/>
              <w:right w:val="single" w:color="000000" w:sz="6" w:space="0"/>
            </w:tcBorders>
            <w:shd w:val="clear" w:color="auto" w:fill="FFFFFF"/>
            <w:vAlign w:val="center"/>
          </w:tcPr>
          <w:p w14:paraId="03E9E07E">
            <w:pPr>
              <w:widowControl/>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日常办文、办事、办公所需的软硬件设施、材料、人工经费</w:t>
            </w:r>
          </w:p>
        </w:tc>
        <w:tc>
          <w:tcPr>
            <w:tcW w:w="2409" w:type="dxa"/>
            <w:tcBorders>
              <w:top w:val="nil"/>
              <w:left w:val="nil"/>
              <w:bottom w:val="single" w:color="000000" w:sz="6" w:space="0"/>
              <w:right w:val="single" w:color="000000" w:sz="6" w:space="0"/>
            </w:tcBorders>
            <w:shd w:val="clear" w:color="auto" w:fill="FFFFFF"/>
            <w:vAlign w:val="center"/>
          </w:tcPr>
          <w:p w14:paraId="1B60CACD">
            <w:pPr>
              <w:widowControl/>
              <w:ind w:firstLine="600"/>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700,000.00</w:t>
            </w:r>
          </w:p>
        </w:tc>
      </w:tr>
      <w:tr w14:paraId="726B49B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3578EA17">
            <w:pPr>
              <w:widowControl/>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2</w:t>
            </w:r>
          </w:p>
        </w:tc>
        <w:tc>
          <w:tcPr>
            <w:tcW w:w="6237" w:type="dxa"/>
            <w:tcBorders>
              <w:top w:val="nil"/>
              <w:left w:val="nil"/>
              <w:bottom w:val="single" w:color="auto" w:sz="4" w:space="0"/>
              <w:right w:val="single" w:color="000000" w:sz="6" w:space="0"/>
            </w:tcBorders>
            <w:shd w:val="clear" w:color="auto" w:fill="FFFFFF"/>
            <w:vAlign w:val="center"/>
          </w:tcPr>
          <w:p w14:paraId="2509F1FA">
            <w:pPr>
              <w:widowControl/>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政府办所承担的宣传、扶贫等公共事项所涉经费</w:t>
            </w:r>
          </w:p>
        </w:tc>
        <w:tc>
          <w:tcPr>
            <w:tcW w:w="2409" w:type="dxa"/>
            <w:tcBorders>
              <w:top w:val="nil"/>
              <w:left w:val="nil"/>
              <w:bottom w:val="single" w:color="auto" w:sz="4" w:space="0"/>
              <w:right w:val="single" w:color="000000" w:sz="6" w:space="0"/>
            </w:tcBorders>
            <w:shd w:val="clear" w:color="auto" w:fill="FFFFFF"/>
            <w:vAlign w:val="center"/>
          </w:tcPr>
          <w:p w14:paraId="2F75745C">
            <w:pPr>
              <w:widowControl/>
              <w:ind w:firstLine="600"/>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300,000.00</w:t>
            </w:r>
          </w:p>
        </w:tc>
      </w:tr>
      <w:tr w14:paraId="4BE4BF4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852" w:type="dxa"/>
            <w:tcBorders>
              <w:top w:val="single" w:color="auto" w:sz="4" w:space="0"/>
              <w:left w:val="single" w:color="000000" w:sz="6" w:space="0"/>
              <w:bottom w:val="single" w:color="000000" w:sz="6" w:space="0"/>
              <w:right w:val="single" w:color="000000" w:sz="6" w:space="0"/>
            </w:tcBorders>
            <w:shd w:val="clear" w:color="auto" w:fill="FFFFFF"/>
            <w:vAlign w:val="center"/>
          </w:tcPr>
          <w:p w14:paraId="50289646">
            <w:pPr>
              <w:widowControl/>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3</w:t>
            </w:r>
          </w:p>
        </w:tc>
        <w:tc>
          <w:tcPr>
            <w:tcW w:w="6237" w:type="dxa"/>
            <w:tcBorders>
              <w:top w:val="single" w:color="auto" w:sz="4" w:space="0"/>
              <w:left w:val="nil"/>
              <w:bottom w:val="single" w:color="000000" w:sz="6" w:space="0"/>
              <w:right w:val="single" w:color="000000" w:sz="6" w:space="0"/>
            </w:tcBorders>
            <w:shd w:val="clear" w:color="auto" w:fill="FFFFFF"/>
            <w:vAlign w:val="bottom"/>
          </w:tcPr>
          <w:p w14:paraId="62605373">
            <w:pPr>
              <w:widowControl/>
              <w:ind w:firstLine="600"/>
              <w:jc w:val="center"/>
              <w:rPr>
                <w:rFonts w:ascii="微软雅黑" w:hAnsi="微软雅黑" w:eastAsia="微软雅黑" w:cs="宋体"/>
                <w:b/>
                <w:color w:val="333333"/>
                <w:kern w:val="0"/>
                <w:sz w:val="24"/>
                <w:szCs w:val="24"/>
              </w:rPr>
            </w:pPr>
            <w:r>
              <w:rPr>
                <w:rFonts w:hint="eastAsia" w:ascii="仿宋" w:hAnsi="仿宋" w:eastAsia="仿宋" w:cs="宋体"/>
                <w:b/>
                <w:color w:val="333333"/>
                <w:kern w:val="0"/>
                <w:sz w:val="24"/>
                <w:szCs w:val="24"/>
              </w:rPr>
              <w:t>合计</w:t>
            </w:r>
          </w:p>
        </w:tc>
        <w:tc>
          <w:tcPr>
            <w:tcW w:w="2409" w:type="dxa"/>
            <w:tcBorders>
              <w:top w:val="single" w:color="auto" w:sz="4" w:space="0"/>
              <w:left w:val="nil"/>
              <w:bottom w:val="single" w:color="000000" w:sz="6" w:space="0"/>
              <w:right w:val="single" w:color="000000" w:sz="6" w:space="0"/>
            </w:tcBorders>
            <w:shd w:val="clear" w:color="auto" w:fill="FFFFFF"/>
            <w:vAlign w:val="center"/>
          </w:tcPr>
          <w:p w14:paraId="39C551B3">
            <w:pPr>
              <w:widowControl/>
              <w:ind w:firstLine="600"/>
              <w:jc w:val="center"/>
              <w:rPr>
                <w:rFonts w:ascii="微软雅黑" w:hAnsi="微软雅黑" w:eastAsia="微软雅黑" w:cs="宋体"/>
                <w:color w:val="333333"/>
                <w:kern w:val="0"/>
                <w:sz w:val="24"/>
                <w:szCs w:val="24"/>
              </w:rPr>
            </w:pPr>
            <w:r>
              <w:rPr>
                <w:rFonts w:hint="eastAsia" w:ascii="仿宋" w:hAnsi="仿宋" w:eastAsia="仿宋" w:cs="宋体"/>
                <w:color w:val="333333"/>
                <w:kern w:val="0"/>
                <w:sz w:val="24"/>
                <w:szCs w:val="24"/>
              </w:rPr>
              <w:t>1,000,000.00</w:t>
            </w:r>
          </w:p>
        </w:tc>
      </w:tr>
    </w:tbl>
    <w:p w14:paraId="187559C6">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3" w:name="_Toc7383804"/>
      <w:r>
        <w:rPr>
          <w:rFonts w:hint="eastAsia" w:ascii="黑体" w:hAnsi="黑体" w:eastAsia="黑体" w:cstheme="minorBidi"/>
          <w:kern w:val="44"/>
          <w:sz w:val="32"/>
          <w:szCs w:val="32"/>
        </w:rPr>
        <w:t>二、评价结论</w:t>
      </w:r>
      <w:bookmarkEnd w:id="3"/>
    </w:p>
    <w:p w14:paraId="0B25F76E">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1、评分结果</w:t>
      </w:r>
    </w:p>
    <w:p w14:paraId="7B12EF17">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根据制定的绩效指标考评体系，本次绩效考核得分95分，绩效评价等级为优秀。</w:t>
      </w:r>
    </w:p>
    <w:p w14:paraId="1E4CB839">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2、主要结论</w:t>
      </w:r>
    </w:p>
    <w:p w14:paraId="1119B920">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不属于投资建设类项目，主要内容为政府办日常工作经费，经费主要用于支付省精神文明奖、培训费、差旅费、文书档案整理费、咨询服务费、办公经费等。政府办2019年度完成工作效益较好，保证了政府办日常工作的顺利开展。</w:t>
      </w:r>
    </w:p>
    <w:p w14:paraId="3E04A62B">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4" w:name="_Toc7383805"/>
      <w:r>
        <w:rPr>
          <w:rFonts w:hint="eastAsia" w:ascii="黑体" w:hAnsi="黑体" w:eastAsia="黑体" w:cstheme="minorBidi"/>
          <w:kern w:val="44"/>
          <w:sz w:val="32"/>
          <w:szCs w:val="32"/>
        </w:rPr>
        <w:t>三、经验、问题和建议</w:t>
      </w:r>
      <w:bookmarkEnd w:id="4"/>
    </w:p>
    <w:p w14:paraId="6C872E71">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5" w:name="_Toc7383806"/>
      <w:r>
        <w:rPr>
          <w:rFonts w:hint="eastAsia" w:ascii="楷体_GB2312" w:eastAsia="楷体_GB2312" w:hAnsiTheme="majorHAnsi" w:cstheme="majorBidi"/>
          <w:kern w:val="2"/>
          <w:sz w:val="32"/>
          <w:szCs w:val="32"/>
        </w:rPr>
        <w:t>（一）主要经验及做法</w:t>
      </w:r>
      <w:bookmarkEnd w:id="5"/>
    </w:p>
    <w:p w14:paraId="49BC1949">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政府办根据《昆明市盘龙区财政局关于开展2019年度区级预算支出绩效自评工作及下达2019年部门重点绩效自评项目的通知》精神，成立了自评小组，通过前期调研工作，充分了解评价项目有关情况；通过查看资金使用情况，核实2019年政府办的各项支出的合法性、合规性；通过分析目标完成情况，查找存在的问题及总结好的经验方法，较好的完成了自评工作。</w:t>
      </w:r>
    </w:p>
    <w:p w14:paraId="2165CA87">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6" w:name="_Toc7383807"/>
      <w:r>
        <w:rPr>
          <w:rFonts w:hint="eastAsia" w:ascii="楷体_GB2312" w:eastAsia="楷体_GB2312" w:hAnsiTheme="majorHAnsi" w:cstheme="majorBidi"/>
          <w:kern w:val="2"/>
          <w:sz w:val="32"/>
          <w:szCs w:val="32"/>
        </w:rPr>
        <w:t>（二）存在的问题</w:t>
      </w:r>
      <w:bookmarkEnd w:id="6"/>
    </w:p>
    <w:p w14:paraId="351D42C5">
      <w:pPr>
        <w:pStyle w:val="9"/>
        <w:shd w:val="clear" w:color="auto" w:fill="FFFFFF"/>
        <w:ind w:firstLine="736" w:firstLineChars="230"/>
        <w:rPr>
          <w:color w:val="666666"/>
          <w:sz w:val="32"/>
          <w:szCs w:val="32"/>
        </w:rPr>
      </w:pPr>
      <w:r>
        <w:rPr>
          <w:rFonts w:hint="eastAsia" w:ascii="仿宋_GB2312" w:hAnsi="仿宋" w:eastAsia="仿宋_GB2312"/>
          <w:color w:val="333333"/>
          <w:sz w:val="32"/>
          <w:szCs w:val="32"/>
        </w:rPr>
        <w:t>1、绩效管理水平有待提高。</w:t>
      </w:r>
    </w:p>
    <w:p w14:paraId="388131CF">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2、综合统筹能力还有不足，需进一步提高。</w:t>
      </w:r>
    </w:p>
    <w:p w14:paraId="07FA9D0F">
      <w:pPr>
        <w:pStyle w:val="9"/>
        <w:shd w:val="clear" w:color="auto" w:fill="FFFFFF"/>
        <w:ind w:firstLine="736" w:firstLineChars="230"/>
        <w:rPr>
          <w:color w:val="666666"/>
          <w:sz w:val="32"/>
          <w:szCs w:val="32"/>
        </w:rPr>
      </w:pPr>
      <w:r>
        <w:rPr>
          <w:rFonts w:hint="eastAsia" w:ascii="仿宋_GB2312" w:hAnsi="仿宋" w:eastAsia="仿宋_GB2312"/>
          <w:color w:val="333333"/>
          <w:sz w:val="32"/>
          <w:szCs w:val="32"/>
        </w:rPr>
        <w:t>3、队伍建设和机制创新尚需加强</w:t>
      </w:r>
      <w:r>
        <w:rPr>
          <w:rFonts w:hint="eastAsia"/>
          <w:color w:val="666666"/>
          <w:sz w:val="32"/>
          <w:szCs w:val="32"/>
          <w:shd w:val="clear" w:color="auto" w:fill="FFFFFF"/>
        </w:rPr>
        <w:t> </w:t>
      </w:r>
    </w:p>
    <w:p w14:paraId="3D4FC2F4">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7" w:name="_Toc7383808"/>
      <w:r>
        <w:rPr>
          <w:rFonts w:hint="eastAsia" w:ascii="楷体_GB2312" w:eastAsia="楷体_GB2312" w:hAnsiTheme="majorHAnsi" w:cstheme="majorBidi"/>
          <w:kern w:val="2"/>
          <w:sz w:val="32"/>
          <w:szCs w:val="32"/>
        </w:rPr>
        <w:t>（三）建议和改进措施</w:t>
      </w:r>
      <w:bookmarkEnd w:id="7"/>
    </w:p>
    <w:p w14:paraId="56E4F9F7">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充分领会政府的意图，主动做好决策前的情况调研、决策中的意见收集、决策后的效果反馈，为政府领导科学、民主决策当好参谋；主动做好各项政务工作的上呈下达，加强纵横联络，确保政府的意图在传输过程中不走样、不变形，形成政令畅通的良性格局；主动、及时地协调部门和单位之间的问题，减少政务运作中的各种“磨擦”，努力在政府系统使整体与局部、部门与部门之间形成共识和合力；依托热线办、应急办及信访等平台，强化为民服务意识，大力推行政务公开，积极维护群众合法权益，提高社会公众对政府决策和政府行为的知晓度。</w:t>
      </w:r>
    </w:p>
    <w:p w14:paraId="58B615B1">
      <w:pPr>
        <w:widowControl/>
        <w:shd w:val="clear" w:color="auto" w:fill="FFFFFF"/>
        <w:ind w:firstLine="705"/>
        <w:jc w:val="left"/>
        <w:rPr>
          <w:rFonts w:ascii="仿宋_GB2312" w:hAnsi="仿宋" w:eastAsia="仿宋_GB2312" w:cs="宋体"/>
          <w:color w:val="333333"/>
          <w:kern w:val="0"/>
          <w:sz w:val="32"/>
          <w:szCs w:val="32"/>
        </w:rPr>
      </w:pPr>
    </w:p>
    <w:p w14:paraId="3EA0187F">
      <w:pPr>
        <w:widowControl/>
        <w:shd w:val="clear" w:color="auto" w:fill="FFFFFF"/>
        <w:ind w:firstLine="705"/>
        <w:jc w:val="left"/>
        <w:rPr>
          <w:rFonts w:ascii="仿宋_GB2312" w:hAnsi="仿宋" w:eastAsia="仿宋_GB2312" w:cs="宋体"/>
          <w:color w:val="333333"/>
          <w:kern w:val="0"/>
          <w:sz w:val="32"/>
          <w:szCs w:val="32"/>
        </w:rPr>
      </w:pPr>
    </w:p>
    <w:p w14:paraId="23DF7024">
      <w:pPr>
        <w:jc w:val="center"/>
        <w:rPr>
          <w:rFonts w:ascii="方正小标宋_GBK" w:eastAsia="方正小标宋_GBK"/>
          <w:sz w:val="44"/>
          <w:szCs w:val="44"/>
        </w:rPr>
      </w:pPr>
    </w:p>
    <w:p w14:paraId="3DD41F80">
      <w:pPr>
        <w:jc w:val="center"/>
        <w:rPr>
          <w:rFonts w:ascii="方正小标宋_GBK" w:eastAsia="方正小标宋_GBK"/>
          <w:sz w:val="44"/>
          <w:szCs w:val="44"/>
        </w:rPr>
      </w:pPr>
      <w:r>
        <w:rPr>
          <w:rFonts w:hint="eastAsia" w:ascii="方正小标宋_GBK" w:eastAsia="方正小标宋_GBK"/>
          <w:sz w:val="44"/>
          <w:szCs w:val="44"/>
        </w:rPr>
        <w:t>正文：昆明市盘龙区人民政府办公室业务费</w:t>
      </w:r>
    </w:p>
    <w:p w14:paraId="0FB27C3A">
      <w:pPr>
        <w:jc w:val="center"/>
        <w:rPr>
          <w:rFonts w:ascii="方正小标宋_GBK" w:eastAsia="方正小标宋_GBK"/>
          <w:sz w:val="44"/>
          <w:szCs w:val="44"/>
        </w:rPr>
      </w:pPr>
      <w:r>
        <w:rPr>
          <w:rFonts w:hint="eastAsia" w:ascii="方正小标宋_GBK" w:eastAsia="方正小标宋_GBK"/>
          <w:sz w:val="44"/>
          <w:szCs w:val="44"/>
        </w:rPr>
        <w:t>项目支出绩效自评报告</w:t>
      </w:r>
    </w:p>
    <w:p w14:paraId="72EA2442">
      <w:pPr>
        <w:widowControl/>
        <w:shd w:val="clear" w:color="auto" w:fill="FFFFFF"/>
        <w:ind w:firstLine="360"/>
        <w:jc w:val="left"/>
        <w:outlineLvl w:val="0"/>
        <w:rPr>
          <w:rFonts w:ascii="仿宋" w:hAnsi="仿宋" w:eastAsia="仿宋" w:cs="宋体"/>
          <w:color w:val="333333"/>
          <w:kern w:val="0"/>
          <w:sz w:val="29"/>
          <w:szCs w:val="29"/>
        </w:rPr>
      </w:pPr>
    </w:p>
    <w:p w14:paraId="7AF9B173">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8" w:name="_Toc7383809"/>
      <w:r>
        <w:rPr>
          <w:rFonts w:hint="eastAsia" w:ascii="黑体" w:hAnsi="黑体" w:eastAsia="黑体" w:cstheme="minorBidi"/>
          <w:kern w:val="44"/>
          <w:sz w:val="32"/>
          <w:szCs w:val="32"/>
        </w:rPr>
        <w:t>一、项目基本情况</w:t>
      </w:r>
      <w:bookmarkEnd w:id="8"/>
    </w:p>
    <w:p w14:paraId="7584DA6A">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9" w:name="_Toc531033281"/>
      <w:bookmarkStart w:id="10" w:name="_Toc7383810"/>
      <w:r>
        <w:rPr>
          <w:rFonts w:hint="eastAsia" w:ascii="楷体_GB2312" w:eastAsia="楷体_GB2312" w:hAnsiTheme="majorHAnsi" w:cstheme="majorBidi"/>
          <w:kern w:val="2"/>
          <w:sz w:val="32"/>
          <w:szCs w:val="32"/>
        </w:rPr>
        <w:t>（一）项目概况</w:t>
      </w:r>
      <w:bookmarkEnd w:id="9"/>
      <w:bookmarkEnd w:id="10"/>
    </w:p>
    <w:p w14:paraId="4F0A5CCD">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1、项目立项背景及目的</w:t>
      </w:r>
    </w:p>
    <w:p w14:paraId="107533EA">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为贯彻党的十九大</w:t>
      </w:r>
      <w:bookmarkStart w:id="30" w:name="_GoBack"/>
      <w:bookmarkEnd w:id="30"/>
      <w:r>
        <w:rPr>
          <w:rFonts w:hint="eastAsia" w:ascii="仿宋_GB2312" w:hAnsi="仿宋" w:eastAsia="仿宋_GB2312" w:cs="宋体"/>
          <w:color w:val="333333"/>
          <w:kern w:val="0"/>
          <w:sz w:val="32"/>
          <w:szCs w:val="32"/>
        </w:rPr>
        <w:t>精神以及习近平总书记系列重要讲话精神，紧紧围绕区委、区政府中心工作，切实履行各项职责，高效服务，力促发展，保障了区政府各项工作高效有序运转。全力加强公文处理规范化建设，做到件件有登记、件件有办理、件件有落实，对报送的公文坚持统一审核把关，严格按照公文内容、性质、紧急程度和报送程序及时办理，切实提高办文质量。</w:t>
      </w:r>
    </w:p>
    <w:p w14:paraId="0D77B9C8">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政府总体工作正常开展，上级机关交办事项办理到位，需申请业务经费100万元，用于承办上级政府文件、指示在我区贯彻落实的行文工作，以及上级党委、政府和区委、区人大、区政协转由区政府办理的事项。协调区政府各部门、各街道办事处之间的关系，对有关事项和问题提出处理意见和建议并报区政府领导审批。</w:t>
      </w:r>
    </w:p>
    <w:p w14:paraId="7DB3B7D6">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2、项目实施情况</w:t>
      </w:r>
    </w:p>
    <w:p w14:paraId="31E66D19">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在区委、区政府的正确领导下，政府办2018年充分调动工作人员的主观能动性，全力做好项目推进、土地供应、教育医疗、社会保障、城改历史遗留问题化解、信访维稳、财政、税收、发展改革、移民、招商引资、工业、非公经济、对外经济、商贸、科技、信息产业、统计、维稳、信访、司法、安全生产、交通安全、公安……政府口部门各类文件、材料的起草校核等工作，对每一份文稿都坚持精益求精、认真负责，切实做到吃透上情，通晓下情，了解民情，符合实情。</w:t>
      </w:r>
    </w:p>
    <w:p w14:paraId="15DF2FD8">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3、项目资金来源及使用情况 </w:t>
      </w:r>
    </w:p>
    <w:p w14:paraId="3314857D">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（1）项目经费来源</w:t>
      </w:r>
    </w:p>
    <w:p w14:paraId="7BCCF893">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根据昆明市盘龙区财政局《关于下达盘龙区2019年部门预算的批复》（盘财〔2019〕1号）文件安排项目资金100万元，资金来源全部为区级财政拨款。</w:t>
      </w:r>
    </w:p>
    <w:p w14:paraId="009F3481">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（2）项目经费使用情况</w:t>
      </w:r>
    </w:p>
    <w:p w14:paraId="6BF6E098">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截至2019年12月31日，业务经费123.52万元已全部支出，期间追加业务经费23.52万元；主要用于支付省精神文明奖、培训费、差旅费、办公经费等，具体详见下表：</w:t>
      </w:r>
    </w:p>
    <w:p w14:paraId="79082D9B">
      <w:pPr>
        <w:widowControl/>
        <w:shd w:val="clear" w:color="auto" w:fill="FFFFFF"/>
        <w:ind w:firstLine="705"/>
        <w:jc w:val="right"/>
        <w:rPr>
          <w:rFonts w:ascii="仿宋_GB2312" w:hAnsi="微软雅黑" w:eastAsia="仿宋_GB2312" w:cs="宋体"/>
          <w:color w:val="333333"/>
          <w:kern w:val="0"/>
          <w:szCs w:val="24"/>
        </w:rPr>
      </w:pPr>
      <w:r>
        <w:rPr>
          <w:rFonts w:hint="eastAsia" w:ascii="仿宋_GB2312" w:hAnsi="仿宋" w:eastAsia="仿宋_GB2312" w:cs="宋体"/>
          <w:color w:val="333333"/>
          <w:kern w:val="0"/>
          <w:sz w:val="24"/>
          <w:szCs w:val="29"/>
        </w:rPr>
        <w:t>单位：元</w:t>
      </w:r>
    </w:p>
    <w:tbl>
      <w:tblPr>
        <w:tblStyle w:val="10"/>
        <w:tblW w:w="9782" w:type="dxa"/>
        <w:tblInd w:w="-41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411"/>
        <w:gridCol w:w="2551"/>
        <w:gridCol w:w="1985"/>
        <w:gridCol w:w="1559"/>
        <w:gridCol w:w="1276"/>
      </w:tblGrid>
      <w:tr w14:paraId="060458F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9782" w:type="dxa"/>
            <w:gridSpan w:val="5"/>
            <w:tcBorders>
              <w:top w:val="single" w:color="auto" w:sz="4" w:space="0"/>
              <w:left w:val="single" w:color="auto" w:sz="4" w:space="0"/>
              <w:bottom w:val="single" w:color="auto" w:sz="4" w:space="0"/>
              <w:right w:val="single" w:color="000000" w:sz="6" w:space="0"/>
            </w:tcBorders>
            <w:shd w:val="clear" w:color="auto" w:fill="FFFFFF"/>
            <w:vAlign w:val="center"/>
          </w:tcPr>
          <w:p w14:paraId="2735CD72">
            <w:pPr>
              <w:widowControl/>
              <w:jc w:val="center"/>
              <w:textAlignment w:val="bottom"/>
              <w:rPr>
                <w:rFonts w:ascii="仿宋_GB2312" w:hAnsi="仿宋" w:eastAsia="仿宋_GB2312" w:cs="宋体"/>
                <w:b/>
                <w:color w:val="333333"/>
                <w:kern w:val="0"/>
                <w:sz w:val="24"/>
                <w:szCs w:val="24"/>
              </w:rPr>
            </w:pPr>
            <w:r>
              <w:rPr>
                <w:rFonts w:hint="eastAsia" w:ascii="仿宋_GB2312" w:hAnsi="仿宋" w:eastAsia="仿宋_GB2312" w:cs="宋体"/>
                <w:b/>
                <w:color w:val="333333"/>
                <w:kern w:val="0"/>
                <w:sz w:val="24"/>
                <w:szCs w:val="24"/>
              </w:rPr>
              <w:t>业务经费支出明细</w:t>
            </w:r>
          </w:p>
        </w:tc>
      </w:tr>
      <w:tr w14:paraId="669B0CF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2411" w:type="dxa"/>
            <w:tcBorders>
              <w:top w:val="single" w:color="auto" w:sz="4" w:space="0"/>
              <w:left w:val="single" w:color="auto" w:sz="4" w:space="0"/>
              <w:bottom w:val="single" w:color="auto" w:sz="4" w:space="0"/>
              <w:right w:val="single" w:color="auto" w:sz="4" w:space="0"/>
            </w:tcBorders>
            <w:shd w:val="clear" w:color="auto" w:fill="FFFFFF"/>
            <w:vAlign w:val="center"/>
          </w:tcPr>
          <w:p w14:paraId="3826D45A">
            <w:pPr>
              <w:widowControl/>
              <w:jc w:val="center"/>
              <w:textAlignment w:val="bottom"/>
              <w:rPr>
                <w:rFonts w:ascii="仿宋_GB2312" w:hAnsi="仿宋" w:eastAsia="仿宋_GB2312" w:cs="宋体"/>
                <w:b/>
                <w:color w:val="333333"/>
                <w:kern w:val="0"/>
                <w:sz w:val="24"/>
                <w:szCs w:val="24"/>
              </w:rPr>
            </w:pPr>
            <w:r>
              <w:rPr>
                <w:rFonts w:hint="eastAsia" w:ascii="仿宋_GB2312" w:hAnsi="仿宋" w:eastAsia="仿宋_GB2312" w:cs="宋体"/>
                <w:b/>
                <w:color w:val="333333"/>
                <w:kern w:val="0"/>
                <w:sz w:val="24"/>
                <w:szCs w:val="24"/>
              </w:rPr>
              <w:t>项目明细</w:t>
            </w: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5FB15631">
            <w:pPr>
              <w:widowControl/>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项目内容</w:t>
            </w:r>
          </w:p>
        </w:tc>
        <w:tc>
          <w:tcPr>
            <w:tcW w:w="1985" w:type="dxa"/>
            <w:tcBorders>
              <w:top w:val="single" w:color="auto" w:sz="4" w:space="0"/>
              <w:left w:val="single" w:color="auto" w:sz="4" w:space="0"/>
              <w:bottom w:val="single" w:color="auto" w:sz="4" w:space="0"/>
              <w:right w:val="single" w:color="auto" w:sz="4" w:space="0"/>
            </w:tcBorders>
            <w:shd w:val="clear" w:color="auto" w:fill="FFFFFF"/>
            <w:vAlign w:val="center"/>
          </w:tcPr>
          <w:p w14:paraId="31C9F4CC">
            <w:pPr>
              <w:widowControl/>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年初预算资金安排</w:t>
            </w:r>
          </w:p>
        </w:tc>
        <w:tc>
          <w:tcPr>
            <w:tcW w:w="1559" w:type="dxa"/>
            <w:tcBorders>
              <w:top w:val="single" w:color="auto" w:sz="4" w:space="0"/>
              <w:left w:val="single" w:color="auto" w:sz="4" w:space="0"/>
              <w:bottom w:val="single" w:color="auto" w:sz="4" w:space="0"/>
              <w:right w:val="single" w:color="auto" w:sz="4" w:space="0"/>
            </w:tcBorders>
            <w:shd w:val="clear" w:color="auto" w:fill="FFFFFF"/>
            <w:vAlign w:val="center"/>
          </w:tcPr>
          <w:p w14:paraId="370CA07C">
            <w:pPr>
              <w:widowControl/>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实际支出数</w:t>
            </w:r>
          </w:p>
        </w:tc>
        <w:tc>
          <w:tcPr>
            <w:tcW w:w="1276" w:type="dxa"/>
            <w:tcBorders>
              <w:top w:val="single" w:color="auto" w:sz="4" w:space="0"/>
              <w:left w:val="single" w:color="auto" w:sz="4" w:space="0"/>
              <w:bottom w:val="single" w:color="auto" w:sz="4" w:space="0"/>
              <w:right w:val="single" w:color="000000" w:sz="6" w:space="0"/>
            </w:tcBorders>
            <w:shd w:val="clear" w:color="auto" w:fill="FFFFFF"/>
            <w:vAlign w:val="center"/>
          </w:tcPr>
          <w:p w14:paraId="698B1698">
            <w:pPr>
              <w:widowControl/>
              <w:jc w:val="center"/>
              <w:textAlignment w:val="bottom"/>
              <w:rPr>
                <w:rFonts w:ascii="仿宋_GB2312" w:hAnsi="微软雅黑" w:eastAsia="仿宋_GB2312" w:cs="宋体"/>
                <w:b/>
                <w:color w:val="333333"/>
                <w:kern w:val="0"/>
                <w:sz w:val="24"/>
                <w:szCs w:val="24"/>
              </w:rPr>
            </w:pPr>
            <w:r>
              <w:rPr>
                <w:rFonts w:hint="eastAsia" w:ascii="仿宋_GB2312" w:hAnsi="仿宋" w:eastAsia="仿宋_GB2312" w:cs="宋体"/>
                <w:b/>
                <w:color w:val="333333"/>
                <w:kern w:val="0"/>
                <w:sz w:val="24"/>
                <w:szCs w:val="24"/>
              </w:rPr>
              <w:t>预算执行率</w:t>
            </w:r>
          </w:p>
        </w:tc>
      </w:tr>
      <w:tr w14:paraId="11966E3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2411" w:type="dxa"/>
            <w:vMerge w:val="restart"/>
            <w:tcBorders>
              <w:top w:val="single" w:color="auto" w:sz="4" w:space="0"/>
              <w:left w:val="single" w:color="auto" w:sz="4" w:space="0"/>
              <w:right w:val="single" w:color="auto" w:sz="4" w:space="0"/>
            </w:tcBorders>
            <w:shd w:val="clear" w:color="auto" w:fill="FFFFFF"/>
            <w:vAlign w:val="center"/>
          </w:tcPr>
          <w:p w14:paraId="04681216">
            <w:pPr>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政府办所承担的宣传、扶贫等公共事项所涉经费</w:t>
            </w: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24CD0AC6">
            <w:pPr>
              <w:widowControl/>
              <w:jc w:val="center"/>
              <w:textAlignment w:val="center"/>
              <w:rPr>
                <w:rFonts w:ascii="仿宋_GB2312" w:hAnsi="微软雅黑" w:eastAsia="仿宋_GB2312" w:cs="宋体"/>
                <w:color w:val="333333"/>
                <w:kern w:val="0"/>
                <w:sz w:val="24"/>
                <w:szCs w:val="24"/>
              </w:rPr>
            </w:pPr>
            <w:r>
              <w:rPr>
                <w:rFonts w:hint="eastAsia" w:ascii="仿宋_GB2312" w:hAnsi="仿宋" w:eastAsia="仿宋_GB2312" w:cs="宋体"/>
                <w:color w:val="333333"/>
                <w:kern w:val="0"/>
                <w:sz w:val="24"/>
                <w:szCs w:val="24"/>
              </w:rPr>
              <w:t>培训差旅费</w:t>
            </w:r>
          </w:p>
        </w:tc>
        <w:tc>
          <w:tcPr>
            <w:tcW w:w="1985" w:type="dxa"/>
            <w:vMerge w:val="restart"/>
            <w:tcBorders>
              <w:top w:val="nil"/>
              <w:left w:val="single" w:color="auto" w:sz="4" w:space="0"/>
              <w:right w:val="single" w:color="000000" w:sz="6" w:space="0"/>
            </w:tcBorders>
            <w:shd w:val="clear" w:color="auto" w:fill="FFFFFF"/>
            <w:vAlign w:val="center"/>
          </w:tcPr>
          <w:p w14:paraId="710CD25B">
            <w:pPr>
              <w:widowControl/>
              <w:jc w:val="center"/>
              <w:textAlignment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350,000.00</w:t>
            </w:r>
          </w:p>
        </w:tc>
        <w:tc>
          <w:tcPr>
            <w:tcW w:w="1559" w:type="dxa"/>
            <w:tcBorders>
              <w:top w:val="nil"/>
              <w:left w:val="nil"/>
              <w:bottom w:val="single" w:color="000000" w:sz="6" w:space="0"/>
              <w:right w:val="single" w:color="000000" w:sz="6" w:space="0"/>
            </w:tcBorders>
            <w:shd w:val="clear" w:color="auto" w:fill="FFFFFF"/>
            <w:vAlign w:val="center"/>
          </w:tcPr>
          <w:p w14:paraId="4F6A6822">
            <w:pPr>
              <w:widowControl/>
              <w:jc w:val="center"/>
              <w:textAlignment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86,400.00</w:t>
            </w:r>
          </w:p>
        </w:tc>
        <w:tc>
          <w:tcPr>
            <w:tcW w:w="1276" w:type="dxa"/>
            <w:vMerge w:val="restart"/>
            <w:tcBorders>
              <w:top w:val="nil"/>
              <w:left w:val="nil"/>
              <w:right w:val="single" w:color="000000" w:sz="6" w:space="0"/>
            </w:tcBorders>
            <w:shd w:val="clear" w:color="auto" w:fill="FFFFFF"/>
            <w:vAlign w:val="center"/>
          </w:tcPr>
          <w:p w14:paraId="4957F49B">
            <w:pPr>
              <w:widowControl/>
              <w:jc w:val="center"/>
              <w:textAlignment w:val="bottom"/>
              <w:rPr>
                <w:rFonts w:ascii="仿宋_GB2312" w:hAnsi="仿宋" w:eastAsia="仿宋_GB2312" w:cs="宋体"/>
                <w:color w:val="333333"/>
                <w:kern w:val="0"/>
                <w:sz w:val="24"/>
                <w:szCs w:val="24"/>
                <w:highlight w:val="yellow"/>
              </w:rPr>
            </w:pPr>
            <w:r>
              <w:rPr>
                <w:rFonts w:hint="eastAsia" w:ascii="仿宋_GB2312" w:hAnsi="仿宋" w:eastAsia="仿宋_GB2312" w:cs="宋体"/>
                <w:color w:val="333333"/>
                <w:kern w:val="0"/>
                <w:sz w:val="24"/>
                <w:szCs w:val="24"/>
              </w:rPr>
              <w:t>100%</w:t>
            </w:r>
          </w:p>
        </w:tc>
      </w:tr>
      <w:tr w14:paraId="2D2C4C6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2411" w:type="dxa"/>
            <w:vMerge w:val="continue"/>
            <w:tcBorders>
              <w:left w:val="single" w:color="auto" w:sz="4" w:space="0"/>
              <w:right w:val="single" w:color="auto" w:sz="4" w:space="0"/>
            </w:tcBorders>
            <w:shd w:val="clear" w:color="auto" w:fill="FFFFFF"/>
            <w:vAlign w:val="center"/>
          </w:tcPr>
          <w:p w14:paraId="6A20942D">
            <w:pPr>
              <w:widowControl/>
              <w:jc w:val="center"/>
              <w:rPr>
                <w:rFonts w:ascii="仿宋_GB2312" w:hAnsi="微软雅黑" w:eastAsia="仿宋_GB2312" w:cs="宋体"/>
                <w:color w:val="333333"/>
                <w:kern w:val="0"/>
                <w:sz w:val="24"/>
                <w:szCs w:val="24"/>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6AA2E893">
            <w:pPr>
              <w:widowControl/>
              <w:jc w:val="center"/>
              <w:textAlignment w:val="center"/>
              <w:rPr>
                <w:rFonts w:ascii="仿宋_GB2312" w:hAnsi="微软雅黑" w:eastAsia="仿宋_GB2312" w:cs="宋体"/>
                <w:color w:val="333333"/>
                <w:kern w:val="0"/>
                <w:sz w:val="24"/>
                <w:szCs w:val="24"/>
              </w:rPr>
            </w:pPr>
            <w:r>
              <w:rPr>
                <w:rFonts w:hint="eastAsia" w:ascii="仿宋_GB2312" w:hAnsi="仿宋" w:eastAsia="仿宋_GB2312" w:cs="宋体"/>
                <w:color w:val="333333"/>
                <w:kern w:val="0"/>
                <w:sz w:val="24"/>
                <w:szCs w:val="24"/>
              </w:rPr>
              <w:t>两会材料印制费</w:t>
            </w:r>
          </w:p>
        </w:tc>
        <w:tc>
          <w:tcPr>
            <w:tcW w:w="1985" w:type="dxa"/>
            <w:vMerge w:val="continue"/>
            <w:tcBorders>
              <w:left w:val="single" w:color="auto" w:sz="4" w:space="0"/>
              <w:right w:val="single" w:color="000000" w:sz="6" w:space="0"/>
            </w:tcBorders>
            <w:shd w:val="clear" w:color="auto" w:fill="FFFFFF"/>
            <w:vAlign w:val="center"/>
          </w:tcPr>
          <w:p w14:paraId="17EE942E">
            <w:pPr>
              <w:widowControl/>
              <w:jc w:val="center"/>
              <w:textAlignment w:val="center"/>
              <w:rPr>
                <w:rFonts w:ascii="仿宋_GB2312" w:hAnsi="微软雅黑" w:eastAsia="仿宋_GB2312" w:cs="宋体"/>
                <w:color w:val="333333"/>
                <w:kern w:val="0"/>
                <w:sz w:val="24"/>
                <w:szCs w:val="24"/>
              </w:rPr>
            </w:pPr>
          </w:p>
        </w:tc>
        <w:tc>
          <w:tcPr>
            <w:tcW w:w="1559" w:type="dxa"/>
            <w:tcBorders>
              <w:top w:val="nil"/>
              <w:left w:val="nil"/>
              <w:bottom w:val="single" w:color="000000" w:sz="6" w:space="0"/>
              <w:right w:val="single" w:color="000000" w:sz="6" w:space="0"/>
            </w:tcBorders>
            <w:shd w:val="clear" w:color="auto" w:fill="FFFFFF"/>
            <w:vAlign w:val="center"/>
          </w:tcPr>
          <w:p w14:paraId="1EF5E79A">
            <w:pPr>
              <w:widowControl/>
              <w:jc w:val="center"/>
              <w:textAlignment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33,000.00</w:t>
            </w:r>
          </w:p>
        </w:tc>
        <w:tc>
          <w:tcPr>
            <w:tcW w:w="1276" w:type="dxa"/>
            <w:vMerge w:val="continue"/>
            <w:tcBorders>
              <w:left w:val="nil"/>
              <w:right w:val="single" w:color="000000" w:sz="6" w:space="0"/>
            </w:tcBorders>
            <w:shd w:val="clear" w:color="auto" w:fill="FFFFFF"/>
            <w:vAlign w:val="center"/>
          </w:tcPr>
          <w:p w14:paraId="06C22E97">
            <w:pPr>
              <w:widowControl/>
              <w:jc w:val="center"/>
              <w:textAlignment w:val="bottom"/>
              <w:rPr>
                <w:rFonts w:ascii="仿宋_GB2312" w:hAnsi="仿宋" w:eastAsia="仿宋_GB2312" w:cs="宋体"/>
                <w:color w:val="333333"/>
                <w:kern w:val="0"/>
                <w:sz w:val="24"/>
                <w:szCs w:val="24"/>
                <w:highlight w:val="yellow"/>
              </w:rPr>
            </w:pPr>
          </w:p>
        </w:tc>
      </w:tr>
      <w:tr w14:paraId="14AF52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2411" w:type="dxa"/>
            <w:vMerge w:val="continue"/>
            <w:tcBorders>
              <w:left w:val="single" w:color="auto" w:sz="4" w:space="0"/>
              <w:right w:val="single" w:color="auto" w:sz="4" w:space="0"/>
            </w:tcBorders>
            <w:shd w:val="clear" w:color="auto" w:fill="FFFFFF"/>
            <w:vAlign w:val="center"/>
          </w:tcPr>
          <w:p w14:paraId="07456EDB">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112EC77A">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文书档案整理费用</w:t>
            </w:r>
          </w:p>
        </w:tc>
        <w:tc>
          <w:tcPr>
            <w:tcW w:w="1985" w:type="dxa"/>
            <w:vMerge w:val="continue"/>
            <w:tcBorders>
              <w:left w:val="single" w:color="auto" w:sz="4" w:space="0"/>
              <w:bottom w:val="single" w:color="auto" w:sz="4" w:space="0"/>
              <w:right w:val="single" w:color="000000" w:sz="6" w:space="0"/>
            </w:tcBorders>
            <w:shd w:val="clear" w:color="auto" w:fill="FFFFFF"/>
            <w:vAlign w:val="center"/>
          </w:tcPr>
          <w:p w14:paraId="51B4912B">
            <w:pPr>
              <w:widowControl/>
              <w:jc w:val="center"/>
              <w:rPr>
                <w:rFonts w:ascii="仿宋_GB2312" w:hAnsi="微软雅黑" w:eastAsia="仿宋_GB2312" w:cs="宋体"/>
                <w:color w:val="333333"/>
                <w:kern w:val="0"/>
                <w:sz w:val="24"/>
                <w:szCs w:val="24"/>
              </w:rPr>
            </w:pPr>
          </w:p>
        </w:tc>
        <w:tc>
          <w:tcPr>
            <w:tcW w:w="1559" w:type="dxa"/>
            <w:tcBorders>
              <w:top w:val="nil"/>
              <w:left w:val="nil"/>
              <w:bottom w:val="single" w:color="auto" w:sz="4" w:space="0"/>
              <w:right w:val="single" w:color="000000" w:sz="6" w:space="0"/>
            </w:tcBorders>
            <w:shd w:val="clear" w:color="auto" w:fill="FFFFFF"/>
            <w:vAlign w:val="center"/>
          </w:tcPr>
          <w:p w14:paraId="6FFC46CA">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178,300.00</w:t>
            </w:r>
          </w:p>
        </w:tc>
        <w:tc>
          <w:tcPr>
            <w:tcW w:w="1276" w:type="dxa"/>
            <w:vMerge w:val="continue"/>
            <w:tcBorders>
              <w:left w:val="nil"/>
              <w:right w:val="single" w:color="000000" w:sz="6" w:space="0"/>
            </w:tcBorders>
            <w:shd w:val="clear" w:color="auto" w:fill="FFFFFF"/>
            <w:vAlign w:val="center"/>
          </w:tcPr>
          <w:p w14:paraId="0943AFCA">
            <w:pPr>
              <w:widowControl/>
              <w:jc w:val="center"/>
              <w:textAlignment w:val="bottom"/>
              <w:rPr>
                <w:rFonts w:ascii="仿宋_GB2312" w:hAnsi="仿宋" w:eastAsia="仿宋_GB2312" w:cs="宋体"/>
                <w:color w:val="333333"/>
                <w:kern w:val="0"/>
                <w:sz w:val="24"/>
                <w:szCs w:val="24"/>
                <w:highlight w:val="yellow"/>
              </w:rPr>
            </w:pPr>
          </w:p>
        </w:tc>
      </w:tr>
      <w:tr w14:paraId="2421B5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2411" w:type="dxa"/>
            <w:vMerge w:val="continue"/>
            <w:tcBorders>
              <w:left w:val="single" w:color="auto" w:sz="4" w:space="0"/>
              <w:bottom w:val="single" w:color="auto" w:sz="4" w:space="0"/>
              <w:right w:val="single" w:color="auto" w:sz="4" w:space="0"/>
            </w:tcBorders>
            <w:shd w:val="clear" w:color="auto" w:fill="FFFFFF"/>
            <w:vAlign w:val="center"/>
          </w:tcPr>
          <w:p w14:paraId="60A24DAF">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2B0B36B4">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订报刊杂志费</w:t>
            </w:r>
          </w:p>
        </w:tc>
        <w:tc>
          <w:tcPr>
            <w:tcW w:w="1985" w:type="dxa"/>
            <w:vMerge w:val="continue"/>
            <w:tcBorders>
              <w:top w:val="single" w:color="auto" w:sz="4" w:space="0"/>
              <w:left w:val="single" w:color="auto" w:sz="4" w:space="0"/>
              <w:bottom w:val="single" w:color="auto" w:sz="4" w:space="0"/>
              <w:right w:val="single" w:color="000000" w:sz="6" w:space="0"/>
            </w:tcBorders>
            <w:shd w:val="clear" w:color="auto" w:fill="FFFFFF"/>
            <w:vAlign w:val="center"/>
          </w:tcPr>
          <w:p w14:paraId="7C482CFB">
            <w:pPr>
              <w:widowControl/>
              <w:jc w:val="center"/>
              <w:rPr>
                <w:rFonts w:ascii="仿宋_GB2312" w:hAnsi="微软雅黑" w:eastAsia="仿宋_GB2312" w:cs="宋体"/>
                <w:color w:val="333333"/>
                <w:kern w:val="0"/>
                <w:sz w:val="24"/>
                <w:szCs w:val="24"/>
              </w:rPr>
            </w:pPr>
          </w:p>
        </w:tc>
        <w:tc>
          <w:tcPr>
            <w:tcW w:w="1559" w:type="dxa"/>
            <w:tcBorders>
              <w:top w:val="single" w:color="auto" w:sz="4" w:space="0"/>
              <w:left w:val="nil"/>
              <w:bottom w:val="single" w:color="auto" w:sz="4" w:space="0"/>
              <w:right w:val="single" w:color="000000" w:sz="6" w:space="0"/>
            </w:tcBorders>
            <w:shd w:val="clear" w:color="auto" w:fill="FFFFFF"/>
            <w:vAlign w:val="center"/>
          </w:tcPr>
          <w:p w14:paraId="5C8BF39C">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52,300.00</w:t>
            </w:r>
          </w:p>
        </w:tc>
        <w:tc>
          <w:tcPr>
            <w:tcW w:w="1276" w:type="dxa"/>
            <w:vMerge w:val="continue"/>
            <w:tcBorders>
              <w:left w:val="nil"/>
              <w:bottom w:val="single" w:color="auto" w:sz="4" w:space="0"/>
              <w:right w:val="single" w:color="000000" w:sz="6" w:space="0"/>
            </w:tcBorders>
            <w:shd w:val="clear" w:color="auto" w:fill="FFFFFF"/>
            <w:vAlign w:val="center"/>
          </w:tcPr>
          <w:p w14:paraId="618E9577">
            <w:pPr>
              <w:widowControl/>
              <w:jc w:val="center"/>
              <w:textAlignment w:val="bottom"/>
              <w:rPr>
                <w:rFonts w:ascii="仿宋_GB2312" w:hAnsi="仿宋" w:eastAsia="仿宋_GB2312" w:cs="宋体"/>
                <w:color w:val="333333"/>
                <w:kern w:val="0"/>
                <w:sz w:val="24"/>
                <w:szCs w:val="24"/>
                <w:highlight w:val="yellow"/>
              </w:rPr>
            </w:pPr>
          </w:p>
        </w:tc>
      </w:tr>
      <w:tr w14:paraId="22DFC96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2411" w:type="dxa"/>
            <w:vMerge w:val="restart"/>
            <w:tcBorders>
              <w:top w:val="single" w:color="auto" w:sz="4" w:space="0"/>
              <w:left w:val="single" w:color="auto" w:sz="4" w:space="0"/>
              <w:right w:val="single" w:color="auto" w:sz="4" w:space="0"/>
            </w:tcBorders>
            <w:shd w:val="clear" w:color="auto" w:fill="FFFFFF"/>
            <w:vAlign w:val="center"/>
          </w:tcPr>
          <w:p w14:paraId="707BB13D">
            <w:pPr>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日常办文、办事、办公所需的软硬件设施、材料、人工经费</w:t>
            </w: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725DD633">
            <w:pPr>
              <w:widowControl/>
              <w:jc w:val="center"/>
              <w:textAlignment w:val="bottom"/>
              <w:rPr>
                <w:rFonts w:ascii="仿宋_GB2312" w:hAnsi="微软雅黑" w:eastAsia="仿宋_GB2312" w:cs="宋体"/>
                <w:color w:val="333333"/>
                <w:kern w:val="0"/>
                <w:sz w:val="24"/>
                <w:szCs w:val="24"/>
              </w:rPr>
            </w:pPr>
            <w:r>
              <w:rPr>
                <w:rFonts w:hint="eastAsia" w:ascii="仿宋_GB2312" w:hAnsi="仿宋" w:eastAsia="仿宋_GB2312" w:cs="宋体"/>
                <w:color w:val="333333"/>
                <w:kern w:val="0"/>
                <w:sz w:val="24"/>
                <w:szCs w:val="24"/>
              </w:rPr>
              <w:t>省精神文明奖</w:t>
            </w:r>
          </w:p>
        </w:tc>
        <w:tc>
          <w:tcPr>
            <w:tcW w:w="1985" w:type="dxa"/>
            <w:vMerge w:val="restart"/>
            <w:tcBorders>
              <w:top w:val="single" w:color="auto" w:sz="4" w:space="0"/>
              <w:left w:val="single" w:color="auto" w:sz="4" w:space="0"/>
              <w:right w:val="single" w:color="000000" w:sz="6" w:space="0"/>
            </w:tcBorders>
            <w:shd w:val="clear" w:color="auto" w:fill="FFFFFF"/>
            <w:vAlign w:val="center"/>
          </w:tcPr>
          <w:p w14:paraId="6B7E22A7">
            <w:pPr>
              <w:widowControl/>
              <w:jc w:val="center"/>
              <w:textAlignment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885,200.00</w:t>
            </w:r>
          </w:p>
        </w:tc>
        <w:tc>
          <w:tcPr>
            <w:tcW w:w="1559" w:type="dxa"/>
            <w:tcBorders>
              <w:top w:val="single" w:color="auto" w:sz="4" w:space="0"/>
              <w:left w:val="nil"/>
              <w:bottom w:val="single" w:color="auto" w:sz="4" w:space="0"/>
              <w:right w:val="single" w:color="000000" w:sz="6" w:space="0"/>
            </w:tcBorders>
            <w:shd w:val="clear" w:color="auto" w:fill="FFFFFF"/>
            <w:vAlign w:val="center"/>
          </w:tcPr>
          <w:p w14:paraId="6DDD16C0">
            <w:pPr>
              <w:widowControl/>
              <w:jc w:val="center"/>
              <w:textAlignment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557,200.00</w:t>
            </w:r>
          </w:p>
        </w:tc>
        <w:tc>
          <w:tcPr>
            <w:tcW w:w="1276" w:type="dxa"/>
            <w:vMerge w:val="restart"/>
            <w:tcBorders>
              <w:top w:val="single" w:color="auto" w:sz="4" w:space="0"/>
              <w:left w:val="nil"/>
              <w:right w:val="single" w:color="000000" w:sz="6" w:space="0"/>
            </w:tcBorders>
            <w:shd w:val="clear" w:color="auto" w:fill="FFFFFF"/>
            <w:vAlign w:val="center"/>
          </w:tcPr>
          <w:p w14:paraId="7431F606">
            <w:pPr>
              <w:widowControl/>
              <w:jc w:val="center"/>
              <w:textAlignment w:val="bottom"/>
              <w:rPr>
                <w:rFonts w:ascii="仿宋_GB2312" w:hAnsi="仿宋" w:eastAsia="仿宋_GB2312" w:cs="宋体"/>
                <w:color w:val="333333"/>
                <w:kern w:val="0"/>
                <w:sz w:val="24"/>
                <w:szCs w:val="24"/>
                <w:highlight w:val="yellow"/>
              </w:rPr>
            </w:pPr>
            <w:r>
              <w:rPr>
                <w:rFonts w:hint="eastAsia" w:ascii="仿宋_GB2312" w:hAnsi="仿宋" w:eastAsia="仿宋_GB2312" w:cs="宋体"/>
                <w:color w:val="333333"/>
                <w:kern w:val="0"/>
                <w:sz w:val="24"/>
                <w:szCs w:val="24"/>
              </w:rPr>
              <w:t>100.00%</w:t>
            </w:r>
          </w:p>
        </w:tc>
      </w:tr>
      <w:tr w14:paraId="4A50296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2411" w:type="dxa"/>
            <w:vMerge w:val="continue"/>
            <w:tcBorders>
              <w:left w:val="single" w:color="auto" w:sz="4" w:space="0"/>
              <w:right w:val="single" w:color="auto" w:sz="4" w:space="0"/>
            </w:tcBorders>
            <w:shd w:val="clear" w:color="auto" w:fill="FFFFFF"/>
          </w:tcPr>
          <w:p w14:paraId="60811041">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4B15096D">
            <w:pPr>
              <w:widowControl/>
              <w:jc w:val="center"/>
              <w:textAlignment w:val="bottom"/>
              <w:rPr>
                <w:rFonts w:ascii="仿宋_GB2312" w:hAnsi="微软雅黑" w:eastAsia="仿宋_GB2312" w:cs="宋体"/>
                <w:color w:val="333333"/>
                <w:kern w:val="0"/>
                <w:sz w:val="24"/>
                <w:szCs w:val="24"/>
              </w:rPr>
            </w:pPr>
            <w:r>
              <w:rPr>
                <w:rFonts w:hint="eastAsia" w:ascii="仿宋_GB2312" w:hAnsi="仿宋" w:eastAsia="仿宋_GB2312" w:cs="宋体"/>
                <w:color w:val="333333"/>
                <w:kern w:val="0"/>
                <w:sz w:val="24"/>
                <w:szCs w:val="24"/>
              </w:rPr>
              <w:t>党员活动费</w:t>
            </w:r>
          </w:p>
        </w:tc>
        <w:tc>
          <w:tcPr>
            <w:tcW w:w="1985" w:type="dxa"/>
            <w:vMerge w:val="continue"/>
            <w:tcBorders>
              <w:left w:val="single" w:color="auto" w:sz="4" w:space="0"/>
              <w:right w:val="single" w:color="000000" w:sz="6" w:space="0"/>
            </w:tcBorders>
            <w:shd w:val="clear" w:color="auto" w:fill="FFFFFF"/>
            <w:vAlign w:val="center"/>
          </w:tcPr>
          <w:p w14:paraId="682A97DD">
            <w:pPr>
              <w:widowControl/>
              <w:jc w:val="center"/>
              <w:textAlignment w:val="center"/>
              <w:rPr>
                <w:rFonts w:ascii="仿宋_GB2312" w:hAnsi="微软雅黑" w:eastAsia="仿宋_GB2312" w:cs="宋体"/>
                <w:color w:val="333333"/>
                <w:kern w:val="0"/>
                <w:sz w:val="24"/>
                <w:szCs w:val="24"/>
              </w:rPr>
            </w:pPr>
          </w:p>
        </w:tc>
        <w:tc>
          <w:tcPr>
            <w:tcW w:w="1559" w:type="dxa"/>
            <w:tcBorders>
              <w:top w:val="nil"/>
              <w:left w:val="nil"/>
              <w:bottom w:val="single" w:color="auto" w:sz="4" w:space="0"/>
              <w:right w:val="single" w:color="000000" w:sz="6" w:space="0"/>
            </w:tcBorders>
            <w:shd w:val="clear" w:color="auto" w:fill="FFFFFF"/>
            <w:vAlign w:val="center"/>
          </w:tcPr>
          <w:p w14:paraId="51486803">
            <w:pPr>
              <w:widowControl/>
              <w:jc w:val="center"/>
              <w:textAlignment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30,900.00</w:t>
            </w:r>
          </w:p>
        </w:tc>
        <w:tc>
          <w:tcPr>
            <w:tcW w:w="1276" w:type="dxa"/>
            <w:vMerge w:val="continue"/>
            <w:tcBorders>
              <w:left w:val="nil"/>
              <w:right w:val="single" w:color="000000" w:sz="6" w:space="0"/>
            </w:tcBorders>
            <w:shd w:val="clear" w:color="auto" w:fill="FFFFFF"/>
            <w:vAlign w:val="center"/>
          </w:tcPr>
          <w:p w14:paraId="2CA70461">
            <w:pPr>
              <w:widowControl/>
              <w:jc w:val="center"/>
              <w:textAlignment w:val="bottom"/>
              <w:rPr>
                <w:rFonts w:ascii="仿宋_GB2312" w:hAnsi="仿宋" w:eastAsia="仿宋_GB2312" w:cs="宋体"/>
                <w:color w:val="333333"/>
                <w:kern w:val="0"/>
                <w:sz w:val="24"/>
                <w:szCs w:val="24"/>
                <w:highlight w:val="yellow"/>
              </w:rPr>
            </w:pPr>
          </w:p>
        </w:tc>
      </w:tr>
      <w:tr w14:paraId="322D1AC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2411" w:type="dxa"/>
            <w:vMerge w:val="continue"/>
            <w:tcBorders>
              <w:left w:val="single" w:color="auto" w:sz="4" w:space="0"/>
              <w:right w:val="single" w:color="auto" w:sz="4" w:space="0"/>
            </w:tcBorders>
            <w:shd w:val="clear" w:color="auto" w:fill="FFFFFF"/>
          </w:tcPr>
          <w:p w14:paraId="3FEAF23A">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31434DE8">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专项审计咨询服务费</w:t>
            </w:r>
          </w:p>
        </w:tc>
        <w:tc>
          <w:tcPr>
            <w:tcW w:w="1985" w:type="dxa"/>
            <w:vMerge w:val="continue"/>
            <w:tcBorders>
              <w:left w:val="single" w:color="auto" w:sz="4" w:space="0"/>
              <w:right w:val="single" w:color="000000" w:sz="6" w:space="0"/>
            </w:tcBorders>
            <w:vAlign w:val="center"/>
          </w:tcPr>
          <w:p w14:paraId="213E5F84">
            <w:pPr>
              <w:widowControl/>
              <w:jc w:val="center"/>
              <w:rPr>
                <w:rFonts w:ascii="仿宋_GB2312" w:hAnsi="微软雅黑" w:eastAsia="仿宋_GB2312" w:cs="宋体"/>
                <w:color w:val="333333"/>
                <w:kern w:val="0"/>
                <w:sz w:val="24"/>
                <w:szCs w:val="24"/>
              </w:rPr>
            </w:pPr>
          </w:p>
        </w:tc>
        <w:tc>
          <w:tcPr>
            <w:tcW w:w="1559" w:type="dxa"/>
            <w:tcBorders>
              <w:top w:val="single" w:color="auto" w:sz="4" w:space="0"/>
              <w:left w:val="single" w:color="000000" w:sz="6" w:space="0"/>
              <w:bottom w:val="single" w:color="auto" w:sz="4" w:space="0"/>
              <w:right w:val="single" w:color="auto" w:sz="4" w:space="0"/>
            </w:tcBorders>
            <w:shd w:val="clear" w:color="auto" w:fill="FFFFFF"/>
            <w:vAlign w:val="center"/>
          </w:tcPr>
          <w:p w14:paraId="73C0E6C0">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61,500.00</w:t>
            </w:r>
          </w:p>
        </w:tc>
        <w:tc>
          <w:tcPr>
            <w:tcW w:w="1276" w:type="dxa"/>
            <w:vMerge w:val="continue"/>
            <w:tcBorders>
              <w:left w:val="single" w:color="auto" w:sz="4" w:space="0"/>
              <w:right w:val="single" w:color="000000" w:sz="6" w:space="0"/>
            </w:tcBorders>
            <w:shd w:val="clear" w:color="auto" w:fill="FFFFFF"/>
            <w:vAlign w:val="center"/>
          </w:tcPr>
          <w:p w14:paraId="25BD6544">
            <w:pPr>
              <w:widowControl/>
              <w:jc w:val="center"/>
              <w:textAlignment w:val="bottom"/>
              <w:rPr>
                <w:rFonts w:ascii="仿宋_GB2312" w:hAnsi="仿宋" w:eastAsia="仿宋_GB2312" w:cs="宋体"/>
                <w:color w:val="333333"/>
                <w:kern w:val="0"/>
                <w:sz w:val="24"/>
                <w:szCs w:val="24"/>
                <w:highlight w:val="yellow"/>
              </w:rPr>
            </w:pPr>
          </w:p>
        </w:tc>
      </w:tr>
      <w:tr w14:paraId="1B291E2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2411" w:type="dxa"/>
            <w:vMerge w:val="continue"/>
            <w:tcBorders>
              <w:left w:val="single" w:color="auto" w:sz="4" w:space="0"/>
              <w:right w:val="single" w:color="auto" w:sz="4" w:space="0"/>
            </w:tcBorders>
            <w:shd w:val="clear" w:color="auto" w:fill="FFFFFF"/>
          </w:tcPr>
          <w:p w14:paraId="319D2735">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4BDFD77E">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带薪休假工资</w:t>
            </w:r>
          </w:p>
        </w:tc>
        <w:tc>
          <w:tcPr>
            <w:tcW w:w="1985" w:type="dxa"/>
            <w:vMerge w:val="continue"/>
            <w:tcBorders>
              <w:left w:val="single" w:color="auto" w:sz="4" w:space="0"/>
              <w:right w:val="single" w:color="000000" w:sz="6" w:space="0"/>
            </w:tcBorders>
            <w:vAlign w:val="center"/>
          </w:tcPr>
          <w:p w14:paraId="10443C86">
            <w:pPr>
              <w:widowControl/>
              <w:jc w:val="center"/>
              <w:rPr>
                <w:rFonts w:ascii="仿宋_GB2312" w:hAnsi="微软雅黑" w:eastAsia="仿宋_GB2312" w:cs="宋体"/>
                <w:color w:val="333333"/>
                <w:kern w:val="0"/>
                <w:sz w:val="24"/>
                <w:szCs w:val="24"/>
              </w:rPr>
            </w:pPr>
          </w:p>
        </w:tc>
        <w:tc>
          <w:tcPr>
            <w:tcW w:w="1559" w:type="dxa"/>
            <w:tcBorders>
              <w:top w:val="single" w:color="auto" w:sz="4" w:space="0"/>
              <w:left w:val="single" w:color="000000" w:sz="6" w:space="0"/>
              <w:bottom w:val="single" w:color="auto" w:sz="4" w:space="0"/>
              <w:right w:val="single" w:color="auto" w:sz="4" w:space="0"/>
            </w:tcBorders>
            <w:shd w:val="clear" w:color="auto" w:fill="FFFFFF"/>
            <w:vAlign w:val="center"/>
          </w:tcPr>
          <w:p w14:paraId="44959D15">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78,000.00</w:t>
            </w:r>
          </w:p>
        </w:tc>
        <w:tc>
          <w:tcPr>
            <w:tcW w:w="1276" w:type="dxa"/>
            <w:vMerge w:val="continue"/>
            <w:tcBorders>
              <w:left w:val="single" w:color="auto" w:sz="4" w:space="0"/>
              <w:right w:val="single" w:color="000000" w:sz="6" w:space="0"/>
            </w:tcBorders>
            <w:shd w:val="clear" w:color="auto" w:fill="FFFFFF"/>
            <w:vAlign w:val="center"/>
          </w:tcPr>
          <w:p w14:paraId="047D5319">
            <w:pPr>
              <w:widowControl/>
              <w:jc w:val="center"/>
              <w:textAlignment w:val="bottom"/>
              <w:rPr>
                <w:rFonts w:ascii="仿宋_GB2312" w:hAnsi="仿宋" w:eastAsia="仿宋_GB2312" w:cs="宋体"/>
                <w:color w:val="333333"/>
                <w:kern w:val="0"/>
                <w:sz w:val="24"/>
                <w:szCs w:val="24"/>
                <w:highlight w:val="yellow"/>
              </w:rPr>
            </w:pPr>
          </w:p>
        </w:tc>
      </w:tr>
      <w:tr w14:paraId="025265D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2411" w:type="dxa"/>
            <w:vMerge w:val="continue"/>
            <w:tcBorders>
              <w:left w:val="single" w:color="auto" w:sz="4" w:space="0"/>
              <w:right w:val="single" w:color="auto" w:sz="4" w:space="0"/>
            </w:tcBorders>
            <w:shd w:val="clear" w:color="auto" w:fill="FFFFFF"/>
          </w:tcPr>
          <w:p w14:paraId="5F541E7C">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19798677">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工作餐</w:t>
            </w:r>
          </w:p>
        </w:tc>
        <w:tc>
          <w:tcPr>
            <w:tcW w:w="1985" w:type="dxa"/>
            <w:vMerge w:val="continue"/>
            <w:tcBorders>
              <w:left w:val="single" w:color="auto" w:sz="4" w:space="0"/>
              <w:right w:val="single" w:color="000000" w:sz="6" w:space="0"/>
            </w:tcBorders>
            <w:vAlign w:val="center"/>
          </w:tcPr>
          <w:p w14:paraId="6779EE8A">
            <w:pPr>
              <w:widowControl/>
              <w:jc w:val="center"/>
              <w:rPr>
                <w:rFonts w:ascii="仿宋_GB2312" w:hAnsi="微软雅黑" w:eastAsia="仿宋_GB2312" w:cs="宋体"/>
                <w:color w:val="333333"/>
                <w:kern w:val="0"/>
                <w:sz w:val="24"/>
                <w:szCs w:val="24"/>
              </w:rPr>
            </w:pPr>
          </w:p>
        </w:tc>
        <w:tc>
          <w:tcPr>
            <w:tcW w:w="1559" w:type="dxa"/>
            <w:tcBorders>
              <w:top w:val="single" w:color="auto" w:sz="4" w:space="0"/>
              <w:left w:val="single" w:color="000000" w:sz="6" w:space="0"/>
              <w:bottom w:val="single" w:color="auto" w:sz="4" w:space="0"/>
              <w:right w:val="single" w:color="auto" w:sz="4" w:space="0"/>
            </w:tcBorders>
            <w:shd w:val="clear" w:color="auto" w:fill="FFFFFF"/>
            <w:vAlign w:val="center"/>
          </w:tcPr>
          <w:p w14:paraId="7D5D0D2A">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45,500.00</w:t>
            </w:r>
          </w:p>
        </w:tc>
        <w:tc>
          <w:tcPr>
            <w:tcW w:w="1276" w:type="dxa"/>
            <w:vMerge w:val="continue"/>
            <w:tcBorders>
              <w:left w:val="single" w:color="auto" w:sz="4" w:space="0"/>
              <w:right w:val="single" w:color="000000" w:sz="6" w:space="0"/>
            </w:tcBorders>
            <w:shd w:val="clear" w:color="auto" w:fill="FFFFFF"/>
            <w:vAlign w:val="center"/>
          </w:tcPr>
          <w:p w14:paraId="6CEF4F6A">
            <w:pPr>
              <w:widowControl/>
              <w:jc w:val="center"/>
              <w:textAlignment w:val="bottom"/>
              <w:rPr>
                <w:rFonts w:ascii="仿宋_GB2312" w:hAnsi="仿宋" w:eastAsia="仿宋_GB2312" w:cs="宋体"/>
                <w:color w:val="333333"/>
                <w:kern w:val="0"/>
                <w:sz w:val="24"/>
                <w:szCs w:val="24"/>
                <w:highlight w:val="yellow"/>
              </w:rPr>
            </w:pPr>
          </w:p>
        </w:tc>
      </w:tr>
      <w:tr w14:paraId="48320B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2411" w:type="dxa"/>
            <w:vMerge w:val="continue"/>
            <w:tcBorders>
              <w:left w:val="single" w:color="auto" w:sz="4" w:space="0"/>
              <w:right w:val="single" w:color="auto" w:sz="4" w:space="0"/>
            </w:tcBorders>
            <w:shd w:val="clear" w:color="auto" w:fill="FFFFFF"/>
          </w:tcPr>
          <w:p w14:paraId="6E34D2DC">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2B85681B">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办公耗材</w:t>
            </w:r>
          </w:p>
        </w:tc>
        <w:tc>
          <w:tcPr>
            <w:tcW w:w="1985" w:type="dxa"/>
            <w:vMerge w:val="continue"/>
            <w:tcBorders>
              <w:left w:val="single" w:color="auto" w:sz="4" w:space="0"/>
              <w:right w:val="single" w:color="000000" w:sz="6" w:space="0"/>
            </w:tcBorders>
            <w:vAlign w:val="center"/>
          </w:tcPr>
          <w:p w14:paraId="4B066254">
            <w:pPr>
              <w:widowControl/>
              <w:jc w:val="center"/>
              <w:rPr>
                <w:rFonts w:ascii="仿宋_GB2312" w:hAnsi="微软雅黑" w:eastAsia="仿宋_GB2312" w:cs="宋体"/>
                <w:color w:val="333333"/>
                <w:kern w:val="0"/>
                <w:sz w:val="24"/>
                <w:szCs w:val="24"/>
              </w:rPr>
            </w:pPr>
          </w:p>
        </w:tc>
        <w:tc>
          <w:tcPr>
            <w:tcW w:w="1559" w:type="dxa"/>
            <w:tcBorders>
              <w:top w:val="single" w:color="auto" w:sz="4" w:space="0"/>
              <w:left w:val="single" w:color="000000" w:sz="6" w:space="0"/>
              <w:bottom w:val="single" w:color="auto" w:sz="4" w:space="0"/>
              <w:right w:val="single" w:color="auto" w:sz="4" w:space="0"/>
            </w:tcBorders>
            <w:shd w:val="clear" w:color="auto" w:fill="FFFFFF"/>
            <w:vAlign w:val="center"/>
          </w:tcPr>
          <w:p w14:paraId="1BEC53FC">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56,300.00</w:t>
            </w:r>
          </w:p>
        </w:tc>
        <w:tc>
          <w:tcPr>
            <w:tcW w:w="1276" w:type="dxa"/>
            <w:vMerge w:val="continue"/>
            <w:tcBorders>
              <w:left w:val="single" w:color="auto" w:sz="4" w:space="0"/>
              <w:right w:val="single" w:color="000000" w:sz="6" w:space="0"/>
            </w:tcBorders>
            <w:shd w:val="clear" w:color="auto" w:fill="FFFFFF"/>
            <w:vAlign w:val="center"/>
          </w:tcPr>
          <w:p w14:paraId="173E8ACF">
            <w:pPr>
              <w:widowControl/>
              <w:jc w:val="center"/>
              <w:textAlignment w:val="bottom"/>
              <w:rPr>
                <w:rFonts w:ascii="仿宋_GB2312" w:hAnsi="仿宋" w:eastAsia="仿宋_GB2312" w:cs="宋体"/>
                <w:color w:val="333333"/>
                <w:kern w:val="0"/>
                <w:sz w:val="24"/>
                <w:szCs w:val="24"/>
                <w:highlight w:val="yellow"/>
              </w:rPr>
            </w:pPr>
          </w:p>
        </w:tc>
      </w:tr>
      <w:tr w14:paraId="6715AB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2411" w:type="dxa"/>
            <w:vMerge w:val="continue"/>
            <w:tcBorders>
              <w:left w:val="single" w:color="auto" w:sz="4" w:space="0"/>
              <w:bottom w:val="single" w:color="auto" w:sz="4" w:space="0"/>
              <w:right w:val="single" w:color="auto" w:sz="4" w:space="0"/>
            </w:tcBorders>
            <w:shd w:val="clear" w:color="auto" w:fill="FFFFFF"/>
          </w:tcPr>
          <w:p w14:paraId="6A20E579">
            <w:pPr>
              <w:widowControl/>
              <w:jc w:val="center"/>
              <w:textAlignment w:val="bottom"/>
              <w:rPr>
                <w:rFonts w:ascii="仿宋_GB2312" w:hAnsi="仿宋" w:eastAsia="仿宋_GB2312" w:cs="宋体"/>
                <w:color w:val="333333"/>
                <w:kern w:val="0"/>
                <w:sz w:val="24"/>
                <w:szCs w:val="24"/>
                <w:highlight w:val="yellow"/>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315B4481">
            <w:pPr>
              <w:widowControl/>
              <w:jc w:val="center"/>
              <w:textAlignment w:val="bottom"/>
              <w:rPr>
                <w:rFonts w:ascii="仿宋_GB2312" w:hAnsi="仿宋" w:eastAsia="仿宋_GB2312" w:cs="宋体"/>
                <w:color w:val="333333"/>
                <w:kern w:val="0"/>
                <w:sz w:val="24"/>
                <w:szCs w:val="24"/>
              </w:rPr>
            </w:pPr>
            <w:r>
              <w:rPr>
                <w:rFonts w:hint="eastAsia" w:ascii="仿宋_GB2312" w:hAnsi="仿宋" w:eastAsia="仿宋_GB2312" w:cs="宋体"/>
                <w:color w:val="333333"/>
                <w:kern w:val="0"/>
                <w:sz w:val="24"/>
                <w:szCs w:val="24"/>
              </w:rPr>
              <w:t>其他业务费用</w:t>
            </w:r>
          </w:p>
        </w:tc>
        <w:tc>
          <w:tcPr>
            <w:tcW w:w="1985" w:type="dxa"/>
            <w:vMerge w:val="continue"/>
            <w:tcBorders>
              <w:left w:val="single" w:color="auto" w:sz="4" w:space="0"/>
              <w:bottom w:val="single" w:color="auto" w:sz="4" w:space="0"/>
              <w:right w:val="single" w:color="000000" w:sz="6" w:space="0"/>
            </w:tcBorders>
            <w:vAlign w:val="center"/>
          </w:tcPr>
          <w:p w14:paraId="16FBA572">
            <w:pPr>
              <w:widowControl/>
              <w:jc w:val="center"/>
              <w:rPr>
                <w:rFonts w:ascii="仿宋_GB2312" w:hAnsi="微软雅黑" w:eastAsia="仿宋_GB2312" w:cs="宋体"/>
                <w:color w:val="333333"/>
                <w:kern w:val="0"/>
                <w:sz w:val="24"/>
                <w:szCs w:val="24"/>
              </w:rPr>
            </w:pPr>
          </w:p>
        </w:tc>
        <w:tc>
          <w:tcPr>
            <w:tcW w:w="1559" w:type="dxa"/>
            <w:tcBorders>
              <w:top w:val="single" w:color="auto" w:sz="4" w:space="0"/>
              <w:left w:val="single" w:color="000000" w:sz="6" w:space="0"/>
              <w:bottom w:val="single" w:color="auto" w:sz="4" w:space="0"/>
              <w:right w:val="single" w:color="auto" w:sz="4" w:space="0"/>
            </w:tcBorders>
            <w:shd w:val="clear" w:color="auto" w:fill="FFFFFF"/>
            <w:vAlign w:val="center"/>
          </w:tcPr>
          <w:p w14:paraId="1C9AB8A6">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55,800.00</w:t>
            </w:r>
          </w:p>
        </w:tc>
        <w:tc>
          <w:tcPr>
            <w:tcW w:w="1276" w:type="dxa"/>
            <w:vMerge w:val="continue"/>
            <w:tcBorders>
              <w:left w:val="single" w:color="auto" w:sz="4" w:space="0"/>
              <w:bottom w:val="single" w:color="auto" w:sz="4" w:space="0"/>
              <w:right w:val="single" w:color="000000" w:sz="6" w:space="0"/>
            </w:tcBorders>
            <w:shd w:val="clear" w:color="auto" w:fill="FFFFFF"/>
            <w:vAlign w:val="center"/>
          </w:tcPr>
          <w:p w14:paraId="6A5A46B8">
            <w:pPr>
              <w:widowControl/>
              <w:jc w:val="center"/>
              <w:textAlignment w:val="bottom"/>
              <w:rPr>
                <w:rFonts w:ascii="仿宋_GB2312" w:hAnsi="仿宋" w:eastAsia="仿宋_GB2312" w:cs="宋体"/>
                <w:color w:val="333333"/>
                <w:kern w:val="0"/>
                <w:sz w:val="24"/>
                <w:szCs w:val="24"/>
                <w:highlight w:val="yellow"/>
              </w:rPr>
            </w:pPr>
          </w:p>
        </w:tc>
      </w:tr>
      <w:tr w14:paraId="5E40BA0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4962" w:type="dxa"/>
            <w:gridSpan w:val="2"/>
            <w:tcBorders>
              <w:top w:val="single" w:color="auto" w:sz="4" w:space="0"/>
              <w:left w:val="single" w:color="auto" w:sz="4" w:space="0"/>
              <w:bottom w:val="single" w:color="auto" w:sz="4" w:space="0"/>
              <w:right w:val="single" w:color="auto" w:sz="4" w:space="0"/>
            </w:tcBorders>
            <w:shd w:val="clear" w:color="auto" w:fill="FFFFFF"/>
          </w:tcPr>
          <w:p w14:paraId="190FF8CC">
            <w:pPr>
              <w:widowControl/>
              <w:jc w:val="center"/>
              <w:textAlignment w:val="bottom"/>
              <w:rPr>
                <w:rFonts w:ascii="仿宋_GB2312" w:hAnsi="仿宋" w:eastAsia="仿宋_GB2312" w:cs="宋体"/>
                <w:color w:val="333333"/>
                <w:kern w:val="0"/>
                <w:sz w:val="24"/>
                <w:szCs w:val="24"/>
              </w:rPr>
            </w:pPr>
            <w:r>
              <w:rPr>
                <w:rFonts w:ascii="仿宋_GB2312" w:hAnsi="仿宋" w:eastAsia="仿宋_GB2312" w:cs="宋体"/>
                <w:color w:val="333333"/>
                <w:kern w:val="0"/>
                <w:sz w:val="24"/>
                <w:szCs w:val="24"/>
              </w:rPr>
              <w:t>合计</w:t>
            </w:r>
          </w:p>
        </w:tc>
        <w:tc>
          <w:tcPr>
            <w:tcW w:w="1985" w:type="dxa"/>
            <w:tcBorders>
              <w:top w:val="single" w:color="auto" w:sz="4" w:space="0"/>
              <w:left w:val="single" w:color="auto" w:sz="4" w:space="0"/>
              <w:bottom w:val="single" w:color="auto" w:sz="4" w:space="0"/>
              <w:right w:val="single" w:color="auto" w:sz="4" w:space="0"/>
            </w:tcBorders>
            <w:vAlign w:val="center"/>
          </w:tcPr>
          <w:p w14:paraId="1D15DB37">
            <w:pPr>
              <w:widowControl/>
              <w:jc w:val="center"/>
              <w:rPr>
                <w:rFonts w:ascii="仿宋_GB2312" w:hAnsi="微软雅黑" w:eastAsia="仿宋_GB2312" w:cs="宋体"/>
                <w:color w:val="333333"/>
                <w:kern w:val="0"/>
                <w:sz w:val="24"/>
                <w:szCs w:val="24"/>
              </w:rPr>
            </w:pPr>
            <w:r>
              <w:rPr>
                <w:rFonts w:hint="eastAsia" w:ascii="仿宋_GB2312" w:hAnsi="微软雅黑" w:eastAsia="仿宋_GB2312" w:cs="宋体"/>
                <w:color w:val="333333"/>
                <w:kern w:val="0"/>
                <w:sz w:val="24"/>
                <w:szCs w:val="24"/>
              </w:rPr>
              <w:t>1,235,200.00</w:t>
            </w:r>
          </w:p>
        </w:tc>
        <w:tc>
          <w:tcPr>
            <w:tcW w:w="1559" w:type="dxa"/>
            <w:tcBorders>
              <w:top w:val="single" w:color="auto" w:sz="4" w:space="0"/>
              <w:left w:val="single" w:color="auto" w:sz="4" w:space="0"/>
              <w:bottom w:val="single" w:color="auto" w:sz="4" w:space="0"/>
              <w:right w:val="single" w:color="auto" w:sz="4" w:space="0"/>
            </w:tcBorders>
            <w:shd w:val="clear" w:color="auto" w:fill="FFFFFF"/>
            <w:vAlign w:val="center"/>
          </w:tcPr>
          <w:p w14:paraId="3A9F62A5">
            <w:pPr>
              <w:widowControl/>
              <w:jc w:val="center"/>
              <w:textAlignment w:val="center"/>
              <w:rPr>
                <w:rFonts w:ascii="仿宋_GB2312" w:hAnsi="仿宋" w:eastAsia="仿宋_GB2312" w:cs="宋体"/>
                <w:color w:val="333333"/>
                <w:kern w:val="0"/>
                <w:sz w:val="24"/>
                <w:szCs w:val="24"/>
              </w:rPr>
            </w:pPr>
            <w:r>
              <w:rPr>
                <w:rFonts w:ascii="仿宋_GB2312" w:hAnsi="仿宋" w:eastAsia="仿宋_GB2312" w:cs="宋体"/>
                <w:color w:val="333333"/>
                <w:kern w:val="0"/>
                <w:sz w:val="24"/>
                <w:szCs w:val="24"/>
              </w:rPr>
              <w:fldChar w:fldCharType="begin"/>
            </w:r>
            <w:r>
              <w:rPr>
                <w:rFonts w:ascii="仿宋_GB2312" w:hAnsi="仿宋" w:eastAsia="仿宋_GB2312" w:cs="宋体"/>
                <w:color w:val="333333"/>
                <w:kern w:val="0"/>
                <w:sz w:val="24"/>
                <w:szCs w:val="24"/>
              </w:rPr>
              <w:instrText xml:space="preserve"> =SUM(ABOVE) </w:instrText>
            </w:r>
            <w:r>
              <w:rPr>
                <w:rFonts w:ascii="仿宋_GB2312" w:hAnsi="仿宋" w:eastAsia="仿宋_GB2312" w:cs="宋体"/>
                <w:color w:val="333333"/>
                <w:kern w:val="0"/>
                <w:sz w:val="24"/>
                <w:szCs w:val="24"/>
              </w:rPr>
              <w:fldChar w:fldCharType="separate"/>
            </w:r>
            <w:r>
              <w:rPr>
                <w:rFonts w:ascii="仿宋_GB2312" w:hAnsi="仿宋" w:eastAsia="仿宋_GB2312" w:cs="宋体"/>
                <w:color w:val="333333"/>
                <w:kern w:val="0"/>
                <w:sz w:val="24"/>
                <w:szCs w:val="24"/>
              </w:rPr>
              <w:t>1,000,000</w:t>
            </w:r>
            <w:r>
              <w:rPr>
                <w:rFonts w:ascii="仿宋_GB2312" w:hAnsi="仿宋" w:eastAsia="仿宋_GB2312" w:cs="宋体"/>
                <w:color w:val="333333"/>
                <w:kern w:val="0"/>
                <w:sz w:val="24"/>
                <w:szCs w:val="24"/>
              </w:rPr>
              <w:fldChar w:fldCharType="end"/>
            </w:r>
            <w:r>
              <w:rPr>
                <w:rFonts w:hint="eastAsia" w:ascii="仿宋_GB2312" w:hAnsi="仿宋" w:eastAsia="仿宋_GB2312" w:cs="宋体"/>
                <w:color w:val="333333"/>
                <w:kern w:val="0"/>
                <w:sz w:val="24"/>
                <w:szCs w:val="24"/>
              </w:rPr>
              <w:t>.00</w:t>
            </w:r>
          </w:p>
        </w:tc>
        <w:tc>
          <w:tcPr>
            <w:tcW w:w="1276" w:type="dxa"/>
            <w:tcBorders>
              <w:top w:val="single" w:color="auto" w:sz="4" w:space="0"/>
              <w:left w:val="single" w:color="auto" w:sz="4" w:space="0"/>
              <w:bottom w:val="single" w:color="auto" w:sz="4" w:space="0"/>
              <w:right w:val="single" w:color="auto" w:sz="4" w:space="0"/>
            </w:tcBorders>
            <w:shd w:val="clear" w:color="auto" w:fill="FFFFFF"/>
            <w:vAlign w:val="center"/>
          </w:tcPr>
          <w:p w14:paraId="4C376F63">
            <w:pPr>
              <w:widowControl/>
              <w:jc w:val="center"/>
              <w:textAlignment w:val="bottom"/>
              <w:rPr>
                <w:rFonts w:ascii="仿宋_GB2312" w:hAnsi="仿宋" w:eastAsia="仿宋_GB2312" w:cs="宋体"/>
                <w:color w:val="333333"/>
                <w:kern w:val="0"/>
                <w:sz w:val="24"/>
                <w:szCs w:val="24"/>
                <w:highlight w:val="yellow"/>
              </w:rPr>
            </w:pPr>
          </w:p>
        </w:tc>
      </w:tr>
    </w:tbl>
    <w:p w14:paraId="49534966">
      <w:pPr>
        <w:widowControl/>
        <w:shd w:val="clear" w:color="auto" w:fill="FFFFFF"/>
        <w:jc w:val="left"/>
        <w:outlineLvl w:val="2"/>
        <w:rPr>
          <w:rFonts w:ascii="仿宋_GB2312" w:hAnsi="仿宋" w:eastAsia="仿宋_GB2312" w:cs="宋体"/>
          <w:color w:val="333333"/>
          <w:kern w:val="0"/>
          <w:sz w:val="32"/>
          <w:szCs w:val="32"/>
        </w:rPr>
      </w:pPr>
      <w:r>
        <w:rPr>
          <w:rFonts w:hint="eastAsia" w:ascii="宋体" w:hAnsi="宋体" w:eastAsia="宋体" w:cs="宋体"/>
          <w:b/>
          <w:bCs/>
          <w:color w:val="333333"/>
          <w:kern w:val="0"/>
          <w:sz w:val="32"/>
          <w:szCs w:val="32"/>
        </w:rPr>
        <w:t> </w:t>
      </w:r>
      <w:r>
        <w:rPr>
          <w:rFonts w:hint="eastAsia" w:ascii="仿宋_GB2312" w:hAnsi="仿宋" w:eastAsia="仿宋_GB2312" w:cs="宋体"/>
          <w:color w:val="333333"/>
          <w:kern w:val="0"/>
          <w:sz w:val="32"/>
          <w:szCs w:val="32"/>
        </w:rPr>
        <w:t xml:space="preserve"> 4、项目组织及管理情况 </w:t>
      </w:r>
    </w:p>
    <w:p w14:paraId="2976649E">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（1）省精神文明奖组织情况</w:t>
      </w:r>
    </w:p>
    <w:p w14:paraId="4D6C0F90">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2018年1月9日中共云南省办公厅文件《云南省人民政府办公厅关于印发&lt;云南省文明城市文明村镇文明单位创建管理办法&gt;的通知》（云厅字（2018）2号）及2019年云南省精神文明建设指导委员会关于复查确认继续保留云南省文明城市文明村镇文明单位荣誉的通知（云文明委（2019）7号），党政机关、人民团体、非企业化管理的事业单位被评为省级文明单位，在评选当年和保持荣誉期间，每年奖励全体干部（在编且工资关系为本单位的）、职工（含合同制工人、离退休人员）1个月应发工资，所需资金按照财政供养关系由同级财政核拨，本单位根据相关规定发放省精神文明奖，并通过对资金支付申请、付款单据及省文明奖花名册等相关原始资料的检查，本项目资金拨付审批手续完整，支出依据合规，未发现虚列套取、截留、挤占、挪用情况和超标准开支的情况。</w:t>
      </w:r>
    </w:p>
    <w:p w14:paraId="5F0CAEF6">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（2）培训费、差旅费、办公经费等费用组织情况</w:t>
      </w:r>
    </w:p>
    <w:p w14:paraId="353F0EA4">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盘龙区人民政府办公室通过对培训费、差旅费、办公经费等费用的资金支付申请、付款单据及相关支出文件等原始资料的核查，本项目支出依据合规，未发现虚列套取、截留、挤占、挪用情况和超标准开支的情况。</w:t>
      </w:r>
    </w:p>
    <w:p w14:paraId="72F68F59">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（3）项目管理情况分析</w:t>
      </w:r>
    </w:p>
    <w:p w14:paraId="3DD3DE2F">
      <w:pPr>
        <w:widowControl/>
        <w:shd w:val="clear" w:color="auto" w:fill="FFFFFF"/>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单位及时发放省精神文明奖，并对发放名单进行核对，确保省精神文明奖发放准确，日常办公经费支出情况及时进行审核及报销。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p>
    <w:p w14:paraId="08AF661A">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1" w:name="_Toc7383811"/>
      <w:r>
        <w:rPr>
          <w:rFonts w:hint="eastAsia" w:ascii="楷体_GB2312" w:eastAsia="楷体_GB2312" w:hAnsiTheme="majorHAnsi" w:cstheme="majorBidi"/>
          <w:kern w:val="2"/>
          <w:sz w:val="32"/>
          <w:szCs w:val="32"/>
        </w:rPr>
        <w:t>（二）项目绩效目标</w:t>
      </w:r>
      <w:bookmarkEnd w:id="11"/>
    </w:p>
    <w:p w14:paraId="019FF8A1">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1、总目标</w:t>
      </w:r>
    </w:p>
    <w:p w14:paraId="2FFFA728">
      <w:pPr>
        <w:widowControl/>
        <w:shd w:val="clear" w:color="auto" w:fill="FFFFFF"/>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认真学习贯彻党和国家的路线、方针、政策以及省、市、区政府的各项法规、规章、决议、决定，按照区政府领导要求，协调区政府各职能部门、街道办事处、乡人民政府之间的工作关系，对有关事项和问题提出处理意见和建议。</w:t>
      </w:r>
    </w:p>
    <w:p w14:paraId="7280EA4D">
      <w:pPr>
        <w:widowControl/>
        <w:shd w:val="clear" w:color="auto" w:fill="FFFFFF"/>
        <w:ind w:firstLine="64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2、年度目标</w:t>
      </w:r>
    </w:p>
    <w:p w14:paraId="34BD5815">
      <w:pPr>
        <w:widowControl/>
        <w:shd w:val="clear" w:color="auto" w:fill="FFFFFF"/>
        <w:ind w:firstLine="555"/>
        <w:jc w:val="left"/>
        <w:outlineLvl w:val="0"/>
        <w:rPr>
          <w:rFonts w:ascii="仿宋_GB2312" w:hAnsi="仿宋" w:eastAsia="仿宋_GB2312" w:cs="宋体"/>
          <w:color w:val="333333"/>
          <w:kern w:val="0"/>
          <w:sz w:val="32"/>
          <w:szCs w:val="32"/>
        </w:rPr>
      </w:pPr>
      <w:bookmarkStart w:id="12" w:name="_Toc7383812"/>
      <w:r>
        <w:rPr>
          <w:rFonts w:hint="eastAsia" w:ascii="仿宋_GB2312" w:hAnsi="仿宋" w:eastAsia="仿宋_GB2312" w:cs="宋体"/>
          <w:color w:val="333333"/>
          <w:kern w:val="0"/>
          <w:sz w:val="32"/>
          <w:szCs w:val="32"/>
        </w:rPr>
        <w:t>围绕区政府各阶段的中心工作，开展调查研究，提出改进工作和解决问题的建议，为区政府领导决策与部署工作提供参考。负责做好区政府会议的会务工作，认真做好会议记录，起草会议纪要和会议决定事项的各类文稿；协助区长、副区长组织实施会议决议、决定的事项；配合有关部门做好全区性重要会议和重大活动的筹备工作；负责起草区政府重要决策方案，年（季）度工作计划、总结，向上级汇报的有关材料和区政府领导在全区性重要会议上的讲话稿及以区政府或区政府办公室名义上报、下发的文（函）稿；对区政府各职能部门、街道办事处、乡人民政府执行区委、区人大及其常务委员会、区政府有关决议决定和交办事项的情况进行检查督办；负责办理各级人民代表大会的议案，代表的建议、批评、意见和政协委员的提案；负责拟定和组织区政府有关职能部门拟定区政府实施法律、法规的政策措施、制度、办法，并按规定报上级政府法制部门备案；审查区政府各职能部门起草、制定的规范性文件，并进行业务指导；负责检查、督促行政规章、行政决定的贯彻实施。</w:t>
      </w:r>
      <w:bookmarkEnd w:id="12"/>
    </w:p>
    <w:p w14:paraId="2869F7BB">
      <w:pPr>
        <w:pStyle w:val="2"/>
        <w:keepNext/>
        <w:keepLines/>
        <w:widowControl w:val="0"/>
        <w:spacing w:before="340" w:after="330"/>
        <w:ind w:firstLine="643" w:firstLineChars="200"/>
        <w:jc w:val="both"/>
        <w:rPr>
          <w:rFonts w:ascii="微软雅黑" w:hAnsi="微软雅黑" w:eastAsia="微软雅黑"/>
          <w:b w:val="0"/>
          <w:bCs w:val="0"/>
          <w:color w:val="333333"/>
        </w:rPr>
      </w:pPr>
      <w:bookmarkStart w:id="13" w:name="_Toc7383813"/>
      <w:r>
        <w:rPr>
          <w:rFonts w:hint="eastAsia" w:ascii="黑体" w:hAnsi="黑体" w:eastAsia="黑体" w:cstheme="minorBidi"/>
          <w:kern w:val="44"/>
          <w:sz w:val="32"/>
          <w:szCs w:val="32"/>
        </w:rPr>
        <w:t>二、绩效评价工作情况</w:t>
      </w:r>
      <w:bookmarkEnd w:id="13"/>
    </w:p>
    <w:p w14:paraId="7237382F">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4" w:name="_Toc7383814"/>
      <w:r>
        <w:rPr>
          <w:rFonts w:hint="eastAsia" w:ascii="楷体_GB2312" w:eastAsia="楷体_GB2312" w:hAnsiTheme="majorHAnsi" w:cstheme="majorBidi"/>
          <w:kern w:val="2"/>
          <w:sz w:val="32"/>
          <w:szCs w:val="32"/>
        </w:rPr>
        <w:t>(一)评价的目的和依据</w:t>
      </w:r>
      <w:bookmarkEnd w:id="14"/>
    </w:p>
    <w:p w14:paraId="5E6329C3">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1、评价目的</w:t>
      </w:r>
    </w:p>
    <w:p w14:paraId="6CE1A7C1">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14:paraId="6449DBE0">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2、评价主要依据</w:t>
      </w:r>
    </w:p>
    <w:p w14:paraId="66DF2094">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（1）政府部门文件</w:t>
      </w:r>
    </w:p>
    <w:p w14:paraId="7F49F451">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昆明市盘龙区财政局关于开展2019年度区级预算支出绩效自评工作的通知》（盘财绩〔2020〕1号）、《昆明市盘龙区财政局关于开展2019年度区级预算支出绩效自评工作及下达2019年部门重点绩效自评项目的通知》等文件。</w:t>
      </w:r>
    </w:p>
    <w:p w14:paraId="28E819A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（2）项目资料</w:t>
      </w:r>
    </w:p>
    <w:p w14:paraId="6263E535">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项目预算批复等相关文件；项目相关支出采购合同等。</w:t>
      </w:r>
    </w:p>
    <w:p w14:paraId="7838388D">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（3）财务资料及相关制度和标准</w:t>
      </w:r>
    </w:p>
    <w:p w14:paraId="441716E6">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财务资料：会计账簿、会计凭证、会计报表、决算报表等财务资料。</w:t>
      </w:r>
    </w:p>
    <w:p w14:paraId="67CA3B96">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《中华人民共和国会计法》、《行政单位会计制度》等。</w:t>
      </w:r>
    </w:p>
    <w:p w14:paraId="65D01DE7">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5" w:name="_Toc7383815"/>
      <w:r>
        <w:rPr>
          <w:rFonts w:hint="eastAsia" w:ascii="楷体_GB2312" w:eastAsia="楷体_GB2312" w:hAnsiTheme="majorHAnsi" w:cstheme="majorBidi"/>
          <w:kern w:val="2"/>
          <w:sz w:val="32"/>
          <w:szCs w:val="32"/>
        </w:rPr>
        <w:t>（二）绩效评价工作方案制定过程</w:t>
      </w:r>
      <w:bookmarkEnd w:id="15"/>
    </w:p>
    <w:p w14:paraId="0C3C75B0">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1.前期调研。</w:t>
      </w:r>
    </w:p>
    <w:p w14:paraId="606C3B27">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14:paraId="2990C04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2.研究文件。</w:t>
      </w:r>
    </w:p>
    <w:p w14:paraId="47AC6717">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对《盘龙区区级部门预算绩效自评管理暂行办法》、《昆明市盘龙区财政局关于开展2019年度区级预算支出绩效自评工作的通知》（盘财绩〔2020〕1号）及《昆明市盘龙区财政局关于开展2019年度区级预算支出绩效自评工作及下达2019年部门重点绩效自评项目的通知》进行了认真研究，吃透文件精神，以确保绩效评价工作符合区财政局的相关要求。</w:t>
      </w:r>
    </w:p>
    <w:p w14:paraId="6ED84E8B">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3.绩效评价指标体系及工作方案的设计。</w:t>
      </w:r>
    </w:p>
    <w:p w14:paraId="29AF977D">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14:paraId="68766E65">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6" w:name="_Toc7383816"/>
      <w:r>
        <w:rPr>
          <w:rFonts w:hint="eastAsia" w:ascii="楷体_GB2312" w:eastAsia="楷体_GB2312" w:hAnsiTheme="majorHAnsi" w:cstheme="majorBidi"/>
          <w:kern w:val="2"/>
          <w:sz w:val="32"/>
          <w:szCs w:val="32"/>
        </w:rPr>
        <w:t>（三）绩效评价原则及评价方法</w:t>
      </w:r>
      <w:bookmarkEnd w:id="16"/>
    </w:p>
    <w:p w14:paraId="39EBED1B">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1.绩效评价原则。</w:t>
      </w:r>
    </w:p>
    <w:p w14:paraId="6F82EF3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评价工作组秉承科学规范、客观公正、定性定量的原则，采取计划标准、历史标准相结合的方式开展绩效评价。</w:t>
      </w:r>
    </w:p>
    <w:p w14:paraId="4C7A77EB">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2.绩效评价方法。</w:t>
      </w:r>
    </w:p>
    <w:p w14:paraId="5DC1A6D7">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此次评价采用现场抽查、随机调查、文献查阅等方式进行，采取了以下几种评价方法。</w:t>
      </w:r>
    </w:p>
    <w:p w14:paraId="72D943B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比较分析法：把两个相互联系的指标数据加以比较分析，借以做出程度性判断，分绝对数比较和相对数比较，如将实际成本与预算成本相比较。 </w:t>
      </w:r>
    </w:p>
    <w:p w14:paraId="788DC6D5">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访谈法：随机访谈了相关工作人员，根据被询问者的答复搜集客观的、不带偏见的事实材料和评语。 </w:t>
      </w:r>
    </w:p>
    <w:p w14:paraId="2DCE4C3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抽查法：抽查全部资金到位情况等。</w:t>
      </w:r>
    </w:p>
    <w:p w14:paraId="7049C52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问卷调查法：围绕财务制度执行情况，相关管理办法是否执行等情况向相关人员开展广泛调查，获取第一手资料。</w:t>
      </w:r>
    </w:p>
    <w:p w14:paraId="3836BA42">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7" w:name="_Toc7383817"/>
      <w:r>
        <w:rPr>
          <w:rFonts w:hint="eastAsia" w:ascii="楷体_GB2312" w:eastAsia="楷体_GB2312" w:hAnsiTheme="majorHAnsi" w:cstheme="majorBidi"/>
          <w:kern w:val="2"/>
          <w:sz w:val="32"/>
          <w:szCs w:val="32"/>
        </w:rPr>
        <w:t>(四) 绩效评价实施过程</w:t>
      </w:r>
      <w:bookmarkEnd w:id="17"/>
    </w:p>
    <w:p w14:paraId="2C26424D">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1、数据填报和采集</w:t>
      </w:r>
    </w:p>
    <w:p w14:paraId="7605BA7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评价组严格按照昆明市盘龙区财政局关于印发《盘龙区区级部门预算绩效自评管理暂行办法》的要求，结合本单位项目支出财务资料和2019年决算资料进行相关数据采集和填报。</w:t>
      </w:r>
    </w:p>
    <w:p w14:paraId="1C7AA649">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2、社会调查</w:t>
      </w:r>
    </w:p>
    <w:p w14:paraId="47A50C63">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根据本项目的具体情况，本单位项目组成员针对本项目设计调查问卷，对本项目受益对象随机发放并收回了10份有效调查问卷，平均得分12分。</w:t>
      </w:r>
      <w:r>
        <w:rPr>
          <w:rFonts w:hint="eastAsia" w:ascii="仿宋_GB2312" w:hAnsi="仿宋" w:eastAsia="仿宋_GB2312" w:cs="宋体"/>
          <w:color w:val="333333"/>
          <w:kern w:val="0"/>
          <w:sz w:val="32"/>
          <w:szCs w:val="32"/>
        </w:rPr>
        <w:br w:type="textWrapping"/>
      </w:r>
      <w:r>
        <w:rPr>
          <w:rFonts w:hint="eastAsia" w:ascii="仿宋_GB2312" w:hAnsi="仿宋" w:eastAsia="仿宋_GB2312" w:cs="宋体"/>
          <w:color w:val="333333"/>
          <w:kern w:val="0"/>
          <w:sz w:val="32"/>
          <w:szCs w:val="32"/>
        </w:rPr>
        <w:t>  3、数据分析和撰写报告</w:t>
      </w:r>
      <w:r>
        <w:rPr>
          <w:rFonts w:hint="eastAsia" w:ascii="仿宋_GB2312" w:hAnsi="仿宋" w:eastAsia="仿宋_GB2312" w:cs="宋体"/>
          <w:color w:val="333333"/>
          <w:kern w:val="0"/>
          <w:sz w:val="32"/>
          <w:szCs w:val="32"/>
        </w:rPr>
        <w:br w:type="textWrapping"/>
      </w:r>
      <w:r>
        <w:rPr>
          <w:rFonts w:hint="eastAsia" w:ascii="仿宋_GB2312" w:hAnsi="仿宋" w:eastAsia="仿宋_GB2312" w:cs="宋体"/>
          <w:color w:val="333333"/>
          <w:kern w:val="0"/>
          <w:sz w:val="32"/>
          <w:szCs w:val="32"/>
        </w:rPr>
        <w:t>  评价组在前期数据采集和填报的基础上，对项目的成本控制、各项绩效指标进行了详细分析，严格按照《盘龙区区级部门预算绩效自评管理暂行办法》的要求撰写项目支出绩效评价报告。</w:t>
      </w:r>
    </w:p>
    <w:p w14:paraId="72CF8FF2">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18" w:name="_Toc7383818"/>
      <w:r>
        <w:rPr>
          <w:rFonts w:hint="eastAsia" w:ascii="楷体_GB2312" w:eastAsia="楷体_GB2312" w:hAnsiTheme="majorHAnsi" w:cstheme="majorBidi"/>
          <w:kern w:val="2"/>
          <w:sz w:val="32"/>
          <w:szCs w:val="32"/>
        </w:rPr>
        <w:t>（五）绩效评价的局限性</w:t>
      </w:r>
      <w:bookmarkEnd w:id="18"/>
    </w:p>
    <w:p w14:paraId="594EF749">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由于该项目为经费类项目，故以本单位实际开展日常工作情况为绩效效果进行考评，且资金管理由本单位进行统一管理。</w:t>
      </w:r>
    </w:p>
    <w:p w14:paraId="4069CAE0">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19" w:name="_Toc7383819"/>
      <w:r>
        <w:rPr>
          <w:rFonts w:hint="eastAsia" w:ascii="黑体" w:hAnsi="黑体" w:eastAsia="黑体" w:cstheme="minorBidi"/>
          <w:kern w:val="44"/>
          <w:sz w:val="32"/>
          <w:szCs w:val="32"/>
        </w:rPr>
        <w:t>三、评价结论及绩效分析</w:t>
      </w:r>
      <w:bookmarkEnd w:id="19"/>
    </w:p>
    <w:p w14:paraId="12BE3743">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0" w:name="_Toc7383820"/>
      <w:r>
        <w:rPr>
          <w:rFonts w:hint="eastAsia" w:ascii="楷体_GB2312" w:eastAsia="楷体_GB2312" w:hAnsiTheme="majorHAnsi" w:cstheme="majorBidi"/>
          <w:kern w:val="2"/>
          <w:sz w:val="32"/>
          <w:szCs w:val="32"/>
        </w:rPr>
        <w:t>(一)评价结论</w:t>
      </w:r>
      <w:bookmarkEnd w:id="20"/>
    </w:p>
    <w:p w14:paraId="335301E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1、评价结果 </w:t>
      </w:r>
    </w:p>
    <w:p w14:paraId="6C259302">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14:paraId="3A642A69">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综上，根据《盘龙区区级部门预算绩效自评管理暂行办法》，项目绩效评价得分为95分，自评结果为优。</w:t>
      </w:r>
    </w:p>
    <w:p w14:paraId="1CD3CE5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2、主要绩效</w:t>
      </w:r>
    </w:p>
    <w:p w14:paraId="7113F488">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本项目不属于投资建设类项目，主要内容为街道办日常工作经费，经费主要用于省精神文明奖、日常办公经费等。本单位2019年度完成工作效益较好，保证了本单位日常工作的顺利开展。</w:t>
      </w:r>
    </w:p>
    <w:p w14:paraId="106D3A4E">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1" w:name="_Toc7383821"/>
      <w:r>
        <w:rPr>
          <w:rFonts w:hint="eastAsia" w:ascii="楷体_GB2312" w:eastAsia="楷体_GB2312" w:hAnsiTheme="majorHAnsi" w:cstheme="majorBidi"/>
          <w:kern w:val="2"/>
          <w:sz w:val="32"/>
          <w:szCs w:val="32"/>
        </w:rPr>
        <w:t>（二）具体绩效分析</w:t>
      </w:r>
      <w:bookmarkEnd w:id="21"/>
    </w:p>
    <w:p w14:paraId="16A376F9">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具体详见附件1（业务经费项目支出绩效评价共性指标体系）</w:t>
      </w:r>
      <w:bookmarkStart w:id="22" w:name="_Toc522800820"/>
      <w:bookmarkEnd w:id="22"/>
    </w:p>
    <w:p w14:paraId="30815AAC">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23" w:name="_Toc7383822"/>
      <w:r>
        <w:rPr>
          <w:rFonts w:hint="eastAsia" w:ascii="黑体" w:hAnsi="黑体" w:eastAsia="黑体" w:cstheme="minorBidi"/>
          <w:kern w:val="44"/>
          <w:sz w:val="32"/>
          <w:szCs w:val="32"/>
        </w:rPr>
        <w:t>四、成本效益分析</w:t>
      </w:r>
      <w:bookmarkEnd w:id="23"/>
    </w:p>
    <w:p w14:paraId="4F55A197">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4" w:name="_Toc7383823"/>
      <w:r>
        <w:rPr>
          <w:rFonts w:hint="eastAsia" w:ascii="楷体_GB2312" w:eastAsia="楷体_GB2312" w:hAnsiTheme="majorHAnsi" w:cstheme="majorBidi"/>
          <w:kern w:val="2"/>
          <w:sz w:val="32"/>
          <w:szCs w:val="32"/>
        </w:rPr>
        <w:t>（一）项目经济性分析</w:t>
      </w:r>
      <w:bookmarkEnd w:id="24"/>
    </w:p>
    <w:p w14:paraId="0C123D74">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1、项目成本控制情况</w:t>
      </w:r>
    </w:p>
    <w:p w14:paraId="0B9D009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昆明市盘龙区财政局昆明市盘龙区财政局《关于下达盘龙区2019年部门预算的批复》（盘财〔2019〕1号）下达政府办2019年“业务经费”1,235,228.00元，本次绩效评价实际到位资金1,235,228.00元，用于省精神文明奖、日常办公经费。政府办相关财务资料显示资金支出1,235,228.00元，项目资金使用控制在预算范围内。</w:t>
      </w:r>
    </w:p>
    <w:p w14:paraId="0A51313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2、项目的效率性分析</w:t>
      </w:r>
    </w:p>
    <w:p w14:paraId="0109FDB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根据相关的项目资料显示，截止2019年12月31日，本单位各项工作均有序进行。</w:t>
      </w:r>
    </w:p>
    <w:p w14:paraId="0E079E6F">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5" w:name="_Toc7383824"/>
      <w:r>
        <w:rPr>
          <w:rFonts w:hint="eastAsia" w:ascii="楷体_GB2312" w:eastAsia="楷体_GB2312" w:hAnsiTheme="majorHAnsi" w:cstheme="majorBidi"/>
          <w:kern w:val="2"/>
          <w:sz w:val="32"/>
          <w:szCs w:val="32"/>
        </w:rPr>
        <w:t>（二）项目的效益性分析</w:t>
      </w:r>
      <w:bookmarkEnd w:id="25"/>
    </w:p>
    <w:p w14:paraId="76A13CB6">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1、经济效益</w:t>
      </w:r>
    </w:p>
    <w:p w14:paraId="16498E64">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在区委、区政府的正确领导下，政府办2018年充分调动工作人员的主观能动性，全力做好项目推进、土地供应、教育医疗、社会保障、城改历史遗留问题化解、信访维稳、财政、税收、发展改革、移民、招商引资、工业、非公经济、对外经济、商贸、科技、信息产业、统计、维稳、信访、司法、安全生产、交通安全、公安……政府口部门各类文件、材料的起草校核等工作，一定意义上促进了盘龙区经济发展。</w:t>
      </w:r>
    </w:p>
    <w:p w14:paraId="3BA5C80B">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2、社会效益</w:t>
      </w:r>
    </w:p>
    <w:p w14:paraId="756F7330">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全力加强公文处理规范化建设，做到件件有登记、件件有办理、件件有落实，对报送的公文坚持统一审核把关，严格按照公文内容、性质、紧急程度和报送程序及时办理，切实提高办文质量。</w:t>
      </w:r>
    </w:p>
    <w:p w14:paraId="5745113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3、可持续影响</w:t>
      </w:r>
    </w:p>
    <w:p w14:paraId="599B71B5">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的实施，促进全区各项事业健康有序发展，保障全区工作的延续性，进一步完善廉政建设制度，着力构建机关廉洁文化发展体系，创新反腐倡廉宣教工作格局，明确把党风廉政教育纳入党员干部学习培训的重要内容，贯穿于干部培养、选拔、管理等各个方面。</w:t>
      </w:r>
    </w:p>
    <w:p w14:paraId="0977FE37">
      <w:pPr>
        <w:pStyle w:val="2"/>
        <w:keepNext/>
        <w:keepLines/>
        <w:widowControl w:val="0"/>
        <w:spacing w:before="340" w:after="330"/>
        <w:ind w:firstLine="643" w:firstLineChars="200"/>
        <w:jc w:val="both"/>
        <w:rPr>
          <w:rFonts w:ascii="黑体" w:hAnsi="黑体" w:eastAsia="黑体" w:cstheme="minorBidi"/>
          <w:kern w:val="44"/>
          <w:sz w:val="32"/>
          <w:szCs w:val="32"/>
        </w:rPr>
      </w:pPr>
      <w:bookmarkStart w:id="26" w:name="_Toc7383825"/>
      <w:r>
        <w:rPr>
          <w:rFonts w:hint="eastAsia" w:ascii="黑体" w:hAnsi="黑体" w:eastAsia="黑体" w:cstheme="minorBidi"/>
          <w:kern w:val="44"/>
          <w:sz w:val="32"/>
          <w:szCs w:val="32"/>
        </w:rPr>
        <w:t>五、项目主要经验及做法、存在的问题和建议</w:t>
      </w:r>
      <w:bookmarkEnd w:id="26"/>
    </w:p>
    <w:p w14:paraId="25E5BDA7">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7" w:name="_Toc7383826"/>
      <w:r>
        <w:rPr>
          <w:rFonts w:hint="eastAsia" w:ascii="楷体_GB2312" w:eastAsia="楷体_GB2312" w:hAnsiTheme="majorHAnsi" w:cstheme="majorBidi"/>
          <w:kern w:val="2"/>
          <w:sz w:val="32"/>
          <w:szCs w:val="32"/>
        </w:rPr>
        <w:t>（一）主要经验及做法</w:t>
      </w:r>
      <w:bookmarkEnd w:id="27"/>
    </w:p>
    <w:p w14:paraId="063D5222">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1.强化组织领导</w:t>
      </w:r>
    </w:p>
    <w:p w14:paraId="4B9C091F">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成立由部门负责人任组长的绩效评价领导小组，保证了财政支出绩效评价各项工作的顺利开展。</w:t>
      </w:r>
    </w:p>
    <w:p w14:paraId="33CC71B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2.加强学习，强化绩效管理的理念。</w:t>
      </w:r>
    </w:p>
    <w:p w14:paraId="50DAB0BB">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认真学习财政部《关于推进预算绩效管理的指导意见》（财预〔2014〕416号）、云南省财政厅《云南省省级部门财政支出绩效办法》（云财预〔2016〕98号）、《昆明市盘龙区财政局关于开展2019年度区级预算支出绩效自评工作的通知》(盘财绩〔2020〕1号)《盘龙区区级部门预算绩效自评管理暂行办法》相关绩效管理文件，吃透文件精神，强化绩效管理的理念；</w:t>
      </w:r>
    </w:p>
    <w:p w14:paraId="63EAD74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3.创新方式，落实责任</w:t>
      </w:r>
    </w:p>
    <w:p w14:paraId="2B70B6ED">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创新管理方式，落实岗位责任制，夯实基础工作，突出工作重点，强化制度建设，推动本单位预算绩效管理各项工作齐头并进。</w:t>
      </w:r>
    </w:p>
    <w:p w14:paraId="3B197FBA">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8" w:name="_Toc7383827"/>
      <w:r>
        <w:rPr>
          <w:rFonts w:hint="eastAsia" w:ascii="楷体_GB2312" w:eastAsia="楷体_GB2312" w:hAnsiTheme="majorHAnsi" w:cstheme="majorBidi"/>
          <w:kern w:val="2"/>
          <w:sz w:val="32"/>
          <w:szCs w:val="32"/>
        </w:rPr>
        <w:t>（二）存在的问题</w:t>
      </w:r>
      <w:bookmarkEnd w:id="28"/>
    </w:p>
    <w:p w14:paraId="5D3B728A">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1、绩效管理水平有待提高。</w:t>
      </w:r>
    </w:p>
    <w:p w14:paraId="3C394D0E">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2、综合统筹能力还有不足，需进一步提高。</w:t>
      </w:r>
    </w:p>
    <w:p w14:paraId="1CCE4B22">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3、队伍建设和机制创新尚需加强。</w:t>
      </w:r>
    </w:p>
    <w:p w14:paraId="6263AF5C">
      <w:pPr>
        <w:pStyle w:val="3"/>
        <w:keepNext/>
        <w:keepLines/>
        <w:widowControl w:val="0"/>
        <w:spacing w:before="260" w:after="260"/>
        <w:ind w:firstLine="643" w:firstLineChars="200"/>
        <w:jc w:val="both"/>
        <w:rPr>
          <w:rFonts w:ascii="楷体_GB2312" w:eastAsia="楷体_GB2312" w:hAnsiTheme="majorHAnsi" w:cstheme="majorBidi"/>
          <w:kern w:val="2"/>
          <w:sz w:val="32"/>
          <w:szCs w:val="32"/>
        </w:rPr>
      </w:pPr>
      <w:bookmarkStart w:id="29" w:name="_Toc7383828"/>
      <w:r>
        <w:rPr>
          <w:rFonts w:hint="eastAsia" w:ascii="楷体_GB2312" w:eastAsia="楷体_GB2312" w:hAnsiTheme="majorHAnsi" w:cstheme="majorBidi"/>
          <w:kern w:val="2"/>
          <w:sz w:val="32"/>
          <w:szCs w:val="32"/>
        </w:rPr>
        <w:t>（三）建议和改进措施</w:t>
      </w:r>
      <w:bookmarkEnd w:id="29"/>
    </w:p>
    <w:p w14:paraId="4B978C81">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充分领会政府的意图，主动做好决策前的情况调研、决策中的意见收集、决策后的效果反馈，为政府领导科学、民主决策当好参谋；主动做好各项政务工作的上呈下达，加强纵横联络，确保政府的意图在传输过程中不走样、不变形，形成政令畅通的良性格局；主动、及时地协调部门和单位之间的问题，减少政务运作中的各种“磨擦”，努力在政府系统使整体与局部、部门与部门之间形成共识和合力；依托热线办、应急办及信访等平台，强化为民服务意识，大力推行政务公开，积极维护群众合法权益，提高社会公众对政府决策和政府行为的知晓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D6"/>
    <w:rsid w:val="000067C5"/>
    <w:rsid w:val="0001298B"/>
    <w:rsid w:val="00016188"/>
    <w:rsid w:val="0003079A"/>
    <w:rsid w:val="00052DD1"/>
    <w:rsid w:val="0006275E"/>
    <w:rsid w:val="00064085"/>
    <w:rsid w:val="00065FAB"/>
    <w:rsid w:val="000A189D"/>
    <w:rsid w:val="000C23F4"/>
    <w:rsid w:val="000E03E5"/>
    <w:rsid w:val="00125208"/>
    <w:rsid w:val="00125431"/>
    <w:rsid w:val="00126F57"/>
    <w:rsid w:val="0013320E"/>
    <w:rsid w:val="0015162E"/>
    <w:rsid w:val="00161615"/>
    <w:rsid w:val="00176E0C"/>
    <w:rsid w:val="0017797D"/>
    <w:rsid w:val="001A07AF"/>
    <w:rsid w:val="001B7840"/>
    <w:rsid w:val="001C21FF"/>
    <w:rsid w:val="001D7066"/>
    <w:rsid w:val="001E6CD3"/>
    <w:rsid w:val="00212E9C"/>
    <w:rsid w:val="00271937"/>
    <w:rsid w:val="0028494D"/>
    <w:rsid w:val="002A7442"/>
    <w:rsid w:val="002A748E"/>
    <w:rsid w:val="002D7222"/>
    <w:rsid w:val="002E2F13"/>
    <w:rsid w:val="003033E8"/>
    <w:rsid w:val="003272D9"/>
    <w:rsid w:val="00330BFF"/>
    <w:rsid w:val="00370834"/>
    <w:rsid w:val="003759C8"/>
    <w:rsid w:val="003A6B1A"/>
    <w:rsid w:val="003B01F1"/>
    <w:rsid w:val="003D67B3"/>
    <w:rsid w:val="00404B4C"/>
    <w:rsid w:val="00427352"/>
    <w:rsid w:val="004424D2"/>
    <w:rsid w:val="00463D09"/>
    <w:rsid w:val="004641D6"/>
    <w:rsid w:val="0046763C"/>
    <w:rsid w:val="00477607"/>
    <w:rsid w:val="004E25EA"/>
    <w:rsid w:val="004F1C6A"/>
    <w:rsid w:val="00510C06"/>
    <w:rsid w:val="00517F76"/>
    <w:rsid w:val="00540427"/>
    <w:rsid w:val="005457FD"/>
    <w:rsid w:val="00560CAF"/>
    <w:rsid w:val="00566D4A"/>
    <w:rsid w:val="00581C86"/>
    <w:rsid w:val="00586833"/>
    <w:rsid w:val="00602BA7"/>
    <w:rsid w:val="00625C2D"/>
    <w:rsid w:val="006272BF"/>
    <w:rsid w:val="00627B40"/>
    <w:rsid w:val="00633A67"/>
    <w:rsid w:val="00636E7D"/>
    <w:rsid w:val="006455AF"/>
    <w:rsid w:val="00647808"/>
    <w:rsid w:val="00653DE1"/>
    <w:rsid w:val="006638CE"/>
    <w:rsid w:val="00684C7D"/>
    <w:rsid w:val="006C39A9"/>
    <w:rsid w:val="006C55D6"/>
    <w:rsid w:val="006C6157"/>
    <w:rsid w:val="006D0F43"/>
    <w:rsid w:val="00702B18"/>
    <w:rsid w:val="00735A9E"/>
    <w:rsid w:val="00750121"/>
    <w:rsid w:val="00753157"/>
    <w:rsid w:val="0075317D"/>
    <w:rsid w:val="00753A9C"/>
    <w:rsid w:val="00781280"/>
    <w:rsid w:val="00797B22"/>
    <w:rsid w:val="007A02DD"/>
    <w:rsid w:val="007A0E87"/>
    <w:rsid w:val="007A2583"/>
    <w:rsid w:val="007A54AC"/>
    <w:rsid w:val="007A5AF6"/>
    <w:rsid w:val="007C61D5"/>
    <w:rsid w:val="007F05B5"/>
    <w:rsid w:val="007F12BD"/>
    <w:rsid w:val="007F16C0"/>
    <w:rsid w:val="007F2B86"/>
    <w:rsid w:val="007F4380"/>
    <w:rsid w:val="00862191"/>
    <w:rsid w:val="00874737"/>
    <w:rsid w:val="008A1F73"/>
    <w:rsid w:val="008E639C"/>
    <w:rsid w:val="008F235D"/>
    <w:rsid w:val="00912263"/>
    <w:rsid w:val="00932D01"/>
    <w:rsid w:val="009624A8"/>
    <w:rsid w:val="00962567"/>
    <w:rsid w:val="009647CC"/>
    <w:rsid w:val="009845E8"/>
    <w:rsid w:val="009B3352"/>
    <w:rsid w:val="00A079AD"/>
    <w:rsid w:val="00A169DA"/>
    <w:rsid w:val="00A246C6"/>
    <w:rsid w:val="00A340FE"/>
    <w:rsid w:val="00A53BF3"/>
    <w:rsid w:val="00A55682"/>
    <w:rsid w:val="00A766EB"/>
    <w:rsid w:val="00AA0784"/>
    <w:rsid w:val="00B119F6"/>
    <w:rsid w:val="00B756D2"/>
    <w:rsid w:val="00B90055"/>
    <w:rsid w:val="00BB42A4"/>
    <w:rsid w:val="00BC16C8"/>
    <w:rsid w:val="00BD3A6A"/>
    <w:rsid w:val="00BE5D8B"/>
    <w:rsid w:val="00C10481"/>
    <w:rsid w:val="00C52C64"/>
    <w:rsid w:val="00C93599"/>
    <w:rsid w:val="00CA1539"/>
    <w:rsid w:val="00CB5F00"/>
    <w:rsid w:val="00CC3DEA"/>
    <w:rsid w:val="00CD4325"/>
    <w:rsid w:val="00D23DD1"/>
    <w:rsid w:val="00D31FE5"/>
    <w:rsid w:val="00D334D3"/>
    <w:rsid w:val="00D50970"/>
    <w:rsid w:val="00D573B8"/>
    <w:rsid w:val="00D8264F"/>
    <w:rsid w:val="00DA584E"/>
    <w:rsid w:val="00DB3B05"/>
    <w:rsid w:val="00DD1F9F"/>
    <w:rsid w:val="00E131B3"/>
    <w:rsid w:val="00E17C82"/>
    <w:rsid w:val="00E23CD1"/>
    <w:rsid w:val="00E24D83"/>
    <w:rsid w:val="00E44D2C"/>
    <w:rsid w:val="00E54629"/>
    <w:rsid w:val="00E76CAF"/>
    <w:rsid w:val="00E854E6"/>
    <w:rsid w:val="00E9458B"/>
    <w:rsid w:val="00E94B83"/>
    <w:rsid w:val="00EB6335"/>
    <w:rsid w:val="00EF2A7D"/>
    <w:rsid w:val="00F334AD"/>
    <w:rsid w:val="00F46785"/>
    <w:rsid w:val="00F65B66"/>
    <w:rsid w:val="00F722B8"/>
    <w:rsid w:val="00FC6E77"/>
    <w:rsid w:val="00FD0ED8"/>
    <w:rsid w:val="00FE684F"/>
    <w:rsid w:val="00FF14B8"/>
    <w:rsid w:val="21B34857"/>
    <w:rsid w:val="5F3930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4"/>
    <w:qFormat/>
    <w:uiPriority w:val="9"/>
    <w:pPr>
      <w:widowControl/>
      <w:jc w:val="left"/>
      <w:outlineLvl w:val="0"/>
    </w:pPr>
    <w:rPr>
      <w:rFonts w:ascii="宋体" w:hAnsi="宋体" w:eastAsia="宋体" w:cs="宋体"/>
      <w:b/>
      <w:bCs/>
      <w:kern w:val="36"/>
      <w:sz w:val="48"/>
      <w:szCs w:val="48"/>
    </w:rPr>
  </w:style>
  <w:style w:type="paragraph" w:styleId="3">
    <w:name w:val="heading 2"/>
    <w:basedOn w:val="1"/>
    <w:link w:val="15"/>
    <w:qFormat/>
    <w:uiPriority w:val="9"/>
    <w:pPr>
      <w:widowControl/>
      <w:jc w:val="left"/>
      <w:outlineLvl w:val="1"/>
    </w:pPr>
    <w:rPr>
      <w:rFonts w:ascii="宋体" w:hAnsi="宋体" w:eastAsia="宋体" w:cs="宋体"/>
      <w:b/>
      <w:bCs/>
      <w:kern w:val="0"/>
      <w:sz w:val="36"/>
      <w:szCs w:val="36"/>
    </w:rPr>
  </w:style>
  <w:style w:type="paragraph" w:styleId="4">
    <w:name w:val="heading 3"/>
    <w:basedOn w:val="1"/>
    <w:link w:val="16"/>
    <w:qFormat/>
    <w:uiPriority w:val="9"/>
    <w:pPr>
      <w:widowControl/>
      <w:jc w:val="left"/>
      <w:outlineLvl w:val="2"/>
    </w:pPr>
    <w:rPr>
      <w:rFonts w:ascii="宋体" w:hAnsi="宋体" w:eastAsia="宋体" w:cs="宋体"/>
      <w:b/>
      <w:bCs/>
      <w:kern w:val="0"/>
      <w:sz w:val="27"/>
      <w:szCs w:val="27"/>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8"/>
    <w:unhideWhenUsed/>
    <w:uiPriority w:val="99"/>
    <w:pPr>
      <w:tabs>
        <w:tab w:val="center" w:pos="4153"/>
        <w:tab w:val="right" w:pos="8306"/>
      </w:tabs>
      <w:snapToGrid w:val="0"/>
      <w:jc w:val="left"/>
    </w:pPr>
    <w:rPr>
      <w:sz w:val="18"/>
      <w:szCs w:val="18"/>
    </w:rPr>
  </w:style>
  <w:style w:type="paragraph" w:styleId="6">
    <w:name w:val="header"/>
    <w:basedOn w:val="1"/>
    <w:link w:val="17"/>
    <w:unhideWhenUsed/>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tabs>
        <w:tab w:val="right" w:leader="dot" w:pos="8296"/>
      </w:tabs>
      <w:jc w:val="center"/>
    </w:pPr>
    <w:rPr>
      <w:rFonts w:ascii="Times New Roman" w:hAnsi="Times New Roman" w:eastAsia="黑体" w:cs="Times New Roman"/>
      <w:sz w:val="36"/>
    </w:rPr>
  </w:style>
  <w:style w:type="paragraph" w:styleId="8">
    <w:name w:val="toc 2"/>
    <w:basedOn w:val="1"/>
    <w:next w:val="1"/>
    <w:autoRedefine/>
    <w:unhideWhenUsed/>
    <w:uiPriority w:val="39"/>
    <w:pPr>
      <w:ind w:left="420" w:leftChars="200"/>
    </w:pPr>
  </w:style>
  <w:style w:type="paragraph" w:styleId="9">
    <w:name w:val="Normal (Web)"/>
    <w:basedOn w:val="1"/>
    <w:unhideWhenUsed/>
    <w:qFormat/>
    <w:uiPriority w:val="0"/>
    <w:pPr>
      <w:widowControl/>
      <w:jc w:val="left"/>
    </w:pPr>
    <w:rPr>
      <w:rFonts w:ascii="宋体" w:hAnsi="宋体" w:eastAsia="宋体" w:cs="宋体"/>
      <w:kern w:val="0"/>
      <w:sz w:val="24"/>
      <w:szCs w:val="24"/>
    </w:r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标题 1 Char"/>
    <w:basedOn w:val="11"/>
    <w:link w:val="2"/>
    <w:uiPriority w:val="9"/>
    <w:rPr>
      <w:rFonts w:ascii="宋体" w:hAnsi="宋体" w:eastAsia="宋体" w:cs="宋体"/>
      <w:b/>
      <w:bCs/>
      <w:kern w:val="36"/>
      <w:sz w:val="48"/>
      <w:szCs w:val="48"/>
    </w:rPr>
  </w:style>
  <w:style w:type="character" w:customStyle="1" w:styleId="15">
    <w:name w:val="标题 2 Char"/>
    <w:basedOn w:val="11"/>
    <w:link w:val="3"/>
    <w:qFormat/>
    <w:uiPriority w:val="9"/>
    <w:rPr>
      <w:rFonts w:ascii="宋体" w:hAnsi="宋体" w:eastAsia="宋体" w:cs="宋体"/>
      <w:b/>
      <w:bCs/>
      <w:kern w:val="0"/>
      <w:sz w:val="36"/>
      <w:szCs w:val="36"/>
    </w:rPr>
  </w:style>
  <w:style w:type="character" w:customStyle="1" w:styleId="16">
    <w:name w:val="标题 3 Char"/>
    <w:basedOn w:val="11"/>
    <w:link w:val="4"/>
    <w:uiPriority w:val="9"/>
    <w:rPr>
      <w:rFonts w:ascii="宋体" w:hAnsi="宋体" w:eastAsia="宋体" w:cs="宋体"/>
      <w:b/>
      <w:bCs/>
      <w:kern w:val="0"/>
      <w:sz w:val="27"/>
      <w:szCs w:val="27"/>
    </w:rPr>
  </w:style>
  <w:style w:type="character" w:customStyle="1" w:styleId="17">
    <w:name w:val="页眉 Char"/>
    <w:basedOn w:val="11"/>
    <w:link w:val="6"/>
    <w:qFormat/>
    <w:uiPriority w:val="99"/>
    <w:rPr>
      <w:sz w:val="18"/>
      <w:szCs w:val="18"/>
    </w:rPr>
  </w:style>
  <w:style w:type="character" w:customStyle="1" w:styleId="18">
    <w:name w:val="页脚 Char"/>
    <w:basedOn w:val="11"/>
    <w:link w:val="5"/>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2DB03C-2742-4A36-98D2-1059C290A8C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820</Words>
  <Characters>862</Characters>
  <Lines>63</Lines>
  <Paragraphs>17</Paragraphs>
  <TotalTime>772</TotalTime>
  <ScaleCrop>false</ScaleCrop>
  <LinksUpToDate>false</LinksUpToDate>
  <CharactersWithSpaces>953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景鸿成</cp:lastModifiedBy>
  <dcterms:modified xsi:type="dcterms:W3CDTF">2025-06-26T10:37:43Z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7B26D38FDD63405883C85F648FD6BBE3_13</vt:lpwstr>
  </property>
  <property fmtid="{D5CDD505-2E9C-101B-9397-08002B2CF9AE}" pid="4" name="KSOTemplateDocerSaveRecord">
    <vt:lpwstr>eyJoZGlkIjoiY2JlNzQyMzg5YmZjMjE5ZTE1MTdiMzJkYzQxNmE5NDciLCJ1c2VySWQiOiIyNTkzNDUzOTYifQ==</vt:lpwstr>
  </property>
</Properties>
</file>