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B884F2">
      <w:pPr>
        <w:spacing w:line="520" w:lineRule="exact"/>
        <w:ind w:left="840" w:hanging="840" w:hangingChars="300"/>
        <w:jc w:val="left"/>
        <w:rPr>
          <w:rFonts w:ascii="方正小标宋_GBK" w:hAnsi="Calibri" w:eastAsia="方正小标宋_GBK" w:cs="Times New Roman"/>
          <w:sz w:val="28"/>
          <w:szCs w:val="28"/>
        </w:rPr>
      </w:pPr>
    </w:p>
    <w:p w14:paraId="40A6FD09">
      <w:pPr>
        <w:spacing w:before="120" w:after="120" w:line="480" w:lineRule="auto"/>
        <w:jc w:val="center"/>
        <w:rPr>
          <w:rFonts w:ascii="Times New Roman" w:hAnsi="Times New Roman" w:eastAsia="黑体" w:cs="Times New Roman"/>
          <w:b/>
          <w:bCs/>
          <w:sz w:val="52"/>
          <w:szCs w:val="52"/>
        </w:rPr>
      </w:pPr>
    </w:p>
    <w:p w14:paraId="01370E49">
      <w:pPr>
        <w:tabs>
          <w:tab w:val="left" w:pos="1215"/>
        </w:tabs>
        <w:spacing w:line="360" w:lineRule="auto"/>
        <w:jc w:val="center"/>
        <w:rPr>
          <w:rFonts w:ascii="方正小标宋_GBK" w:hAnsi="Calibri" w:eastAsia="方正小标宋_GBK" w:cs="Calibri"/>
          <w:b/>
          <w:bCs/>
          <w:sz w:val="44"/>
          <w:szCs w:val="44"/>
        </w:rPr>
      </w:pPr>
    </w:p>
    <w:p w14:paraId="3EBD34E7">
      <w:pPr>
        <w:tabs>
          <w:tab w:val="left" w:pos="1215"/>
        </w:tabs>
        <w:spacing w:line="360" w:lineRule="auto"/>
        <w:jc w:val="center"/>
        <w:rPr>
          <w:rFonts w:ascii="方正小标宋_GBK" w:hAnsi="Calibri" w:eastAsia="方正小标宋_GBK" w:cs="Calibri"/>
          <w:b/>
          <w:bCs/>
          <w:sz w:val="44"/>
          <w:szCs w:val="44"/>
        </w:rPr>
      </w:pPr>
      <w:r>
        <w:rPr>
          <w:rFonts w:hint="eastAsia" w:ascii="方正小标宋_GBK" w:hAnsi="Calibri" w:eastAsia="方正小标宋_GBK" w:cs="Calibri"/>
          <w:b/>
          <w:bCs/>
          <w:sz w:val="44"/>
          <w:szCs w:val="44"/>
        </w:rPr>
        <w:t>业务补助经费项目支出绩效自评报告</w:t>
      </w:r>
    </w:p>
    <w:p w14:paraId="642048AE">
      <w:pPr>
        <w:tabs>
          <w:tab w:val="left" w:pos="1215"/>
        </w:tabs>
        <w:spacing w:line="360" w:lineRule="auto"/>
        <w:jc w:val="center"/>
        <w:rPr>
          <w:rFonts w:ascii="方正小标宋_GBK" w:hAnsi="Calibri" w:eastAsia="方正小标宋_GBK" w:cs="Calibri"/>
          <w:b/>
          <w:bCs/>
          <w:sz w:val="44"/>
          <w:szCs w:val="44"/>
        </w:rPr>
      </w:pPr>
      <w:r>
        <w:rPr>
          <w:rFonts w:hint="eastAsia" w:ascii="方正小标宋_GBK" w:hAnsi="Calibri" w:eastAsia="方正小标宋_GBK" w:cs="Calibri"/>
          <w:b/>
          <w:bCs/>
          <w:sz w:val="44"/>
          <w:szCs w:val="44"/>
        </w:rPr>
        <w:t>（2020年度）</w:t>
      </w:r>
    </w:p>
    <w:p w14:paraId="56995927">
      <w:pPr>
        <w:spacing w:before="120" w:after="120" w:line="480" w:lineRule="auto"/>
        <w:jc w:val="center"/>
        <w:rPr>
          <w:rFonts w:ascii="Times New Roman" w:hAnsi="Times New Roman" w:eastAsia="黑体" w:cs="Times New Roman"/>
          <w:b/>
          <w:bCs/>
          <w:sz w:val="52"/>
          <w:szCs w:val="52"/>
        </w:rPr>
      </w:pPr>
    </w:p>
    <w:p w14:paraId="19480336">
      <w:pPr>
        <w:spacing w:before="120" w:after="120" w:line="480" w:lineRule="auto"/>
        <w:jc w:val="center"/>
        <w:rPr>
          <w:rFonts w:ascii="Times New Roman" w:hAnsi="Times New Roman" w:eastAsia="宋体" w:cs="Times New Roman"/>
          <w:b/>
          <w:bCs/>
          <w:sz w:val="44"/>
          <w:szCs w:val="44"/>
        </w:rPr>
      </w:pPr>
    </w:p>
    <w:p w14:paraId="3857DAD5">
      <w:pPr>
        <w:spacing w:before="120" w:after="120" w:line="480" w:lineRule="auto"/>
        <w:jc w:val="center"/>
        <w:rPr>
          <w:rFonts w:ascii="Times New Roman" w:hAnsi="Times New Roman" w:eastAsia="宋体" w:cs="Times New Roman"/>
          <w:b/>
          <w:bCs/>
          <w:sz w:val="44"/>
          <w:szCs w:val="44"/>
        </w:rPr>
      </w:pPr>
    </w:p>
    <w:p w14:paraId="66A494BE">
      <w:pPr>
        <w:spacing w:before="120" w:after="120" w:line="480" w:lineRule="auto"/>
        <w:jc w:val="center"/>
        <w:rPr>
          <w:rFonts w:ascii="Times New Roman" w:hAnsi="Times New Roman" w:eastAsia="黑体" w:cs="Times New Roman"/>
          <w:b/>
          <w:bCs/>
          <w:sz w:val="44"/>
          <w:szCs w:val="44"/>
        </w:rPr>
      </w:pPr>
    </w:p>
    <w:p w14:paraId="064757C5">
      <w:pPr>
        <w:adjustRightInd w:val="0"/>
        <w:snapToGrid w:val="0"/>
        <w:spacing w:line="360" w:lineRule="auto"/>
        <w:ind w:left="1260" w:leftChars="600"/>
        <w:rPr>
          <w:rFonts w:ascii="Times New Roman" w:hAnsi="Times New Roman" w:eastAsia="黑体" w:cs="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0288" behindDoc="0" locked="0" layoutInCell="1" allowOverlap="1">
                <wp:simplePos x="0" y="0"/>
                <wp:positionH relativeFrom="column">
                  <wp:posOffset>2371725</wp:posOffset>
                </wp:positionH>
                <wp:positionV relativeFrom="paragraph">
                  <wp:posOffset>196215</wp:posOffset>
                </wp:positionV>
                <wp:extent cx="2495550" cy="0"/>
                <wp:effectExtent l="0" t="4445" r="0" b="5080"/>
                <wp:wrapNone/>
                <wp:docPr id="5" name="直接箭头连接符 5"/>
                <wp:cNvGraphicFramePr/>
                <a:graphic xmlns:a="http://schemas.openxmlformats.org/drawingml/2006/main">
                  <a:graphicData uri="http://schemas.microsoft.com/office/word/2010/wordprocessingShape">
                    <wps:wsp>
                      <wps:cNvCnPr>
                        <a:cxnSpLocks noChangeShapeType="1"/>
                      </wps:cNvCnPr>
                      <wps:spPr bwMode="auto">
                        <a:xfrm>
                          <a:off x="0" y="0"/>
                          <a:ext cx="2495550" cy="0"/>
                        </a:xfrm>
                        <a:prstGeom prst="straightConnector1">
                          <a:avLst/>
                        </a:prstGeom>
                        <a:noFill/>
                        <a:ln w="9525">
                          <a:solidFill>
                            <a:srgbClr val="000000"/>
                          </a:solidFill>
                          <a:round/>
                        </a:ln>
                        <a:effectLst/>
                      </wps:spPr>
                      <wps:bodyPr/>
                    </wps:wsp>
                  </a:graphicData>
                </a:graphic>
              </wp:anchor>
            </w:drawing>
          </mc:Choice>
          <mc:Fallback>
            <w:pict>
              <v:shape id="_x0000_s1026" o:spid="_x0000_s1026" o:spt="32" type="#_x0000_t32" style="position:absolute;left:0pt;margin-left:186.75pt;margin-top:15.45pt;height:0pt;width:196.5pt;z-index:251660288;mso-width-relative:page;mso-height-relative:page;" filled="f" stroked="t" coordsize="21600,21600" o:gfxdata="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Cl6lyg1wAAAAkBAAAPAAAAAAAAAAEAIAAAACIAAABkcnMvZG93bnJldi54bWxQ&#10;SwECFAAUAAAACACHTuJAYjGlSfgBAADMAwAADgAAAAAAAAABACAAAAAmAQAAZHJzL2Uyb0RvYy54&#10;bWxQSwUGAAAAAAYABgBZAQAAkAU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部门名称（公章）：昆明市盘龙区机关事务管理服务中心</w:t>
      </w:r>
    </w:p>
    <w:p w14:paraId="2E0AEFE4">
      <w:pPr>
        <w:adjustRightInd w:val="0"/>
        <w:snapToGrid w:val="0"/>
        <w:spacing w:line="360" w:lineRule="auto"/>
        <w:ind w:left="1260" w:leftChars="600"/>
        <w:rPr>
          <w:rFonts w:ascii="Times New Roman" w:hAnsi="Times New Roman" w:eastAsia="黑体" w:cs="黑体"/>
          <w:b/>
          <w:bCs/>
          <w:sz w:val="28"/>
          <w:szCs w:val="28"/>
          <w:u w:val="single"/>
        </w:rPr>
      </w:pPr>
      <w:r>
        <w:rPr>
          <w:rFonts w:ascii="Times New Roman" w:hAnsi="Times New Roman" w:eastAsia="黑体" w:cs="黑体"/>
          <w:b/>
          <w:bCs/>
          <w:sz w:val="28"/>
          <w:szCs w:val="28"/>
        </w:rPr>
        <mc:AlternateContent>
          <mc:Choice Requires="wps">
            <w:drawing>
              <wp:anchor distT="0" distB="0" distL="114300" distR="114300" simplePos="0" relativeHeight="251661312" behindDoc="0" locked="0" layoutInCell="1" allowOverlap="1">
                <wp:simplePos x="0" y="0"/>
                <wp:positionH relativeFrom="column">
                  <wp:posOffset>1714500</wp:posOffset>
                </wp:positionH>
                <wp:positionV relativeFrom="paragraph">
                  <wp:posOffset>221615</wp:posOffset>
                </wp:positionV>
                <wp:extent cx="2495550" cy="0"/>
                <wp:effectExtent l="0" t="4445" r="0" b="5080"/>
                <wp:wrapNone/>
                <wp:docPr id="4" name="直接箭头连接符 4"/>
                <wp:cNvGraphicFramePr/>
                <a:graphic xmlns:a="http://schemas.openxmlformats.org/drawingml/2006/main">
                  <a:graphicData uri="http://schemas.microsoft.com/office/word/2010/wordprocessingShape">
                    <wps:wsp>
                      <wps:cNvCnPr>
                        <a:cxnSpLocks noChangeShapeType="1"/>
                      </wps:cNvCnPr>
                      <wps:spPr bwMode="auto">
                        <a:xfrm>
                          <a:off x="0" y="0"/>
                          <a:ext cx="2495550" cy="0"/>
                        </a:xfrm>
                        <a:prstGeom prst="straightConnector1">
                          <a:avLst/>
                        </a:prstGeom>
                        <a:noFill/>
                        <a:ln w="9525">
                          <a:solidFill>
                            <a:srgbClr val="000000"/>
                          </a:solidFill>
                          <a:round/>
                        </a:ln>
                        <a:effectLst/>
                      </wps:spPr>
                      <wps:bodyPr/>
                    </wps:wsp>
                  </a:graphicData>
                </a:graphic>
              </wp:anchor>
            </w:drawing>
          </mc:Choice>
          <mc:Fallback>
            <w:pict>
              <v:shape id="_x0000_s1026" o:spid="_x0000_s1026" o:spt="32" type="#_x0000_t32" style="position:absolute;left:0pt;margin-left:135pt;margin-top:17.45pt;height:0pt;width:196.5pt;z-index:251661312;mso-width-relative:page;mso-height-relative:page;" filled="f" stroked="t" coordsize="21600,21600" o:gfxdata="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PGEXYNcAAAAJAQAADwAAAAAAAAABACAAAAAiAAAAZHJzL2Rvd25yZXYueG1s&#10;UEsBAhQAFAAAAAgAh07iQIsnMEP5AQAAzAMAAA4AAAAAAAAAAQAgAAAAJgEAAGRycy9lMm9Eb2Mu&#10;eG1sUEsFBgAAAAAGAAYAWQEAAJEFA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项目单位：昆明市盘龙区机关事务管理服务中心</w:t>
      </w:r>
    </w:p>
    <w:p w14:paraId="03F4D1A8">
      <w:pPr>
        <w:adjustRightInd w:val="0"/>
        <w:snapToGrid w:val="0"/>
        <w:spacing w:line="360" w:lineRule="auto"/>
        <w:ind w:left="1260" w:leftChars="600"/>
        <w:rPr>
          <w:rFonts w:ascii="Times New Roman" w:hAnsi="Times New Roman" w:eastAsia="黑体" w:cs="Times New Roman"/>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2336" behindDoc="0" locked="0" layoutInCell="1" allowOverlap="1">
                <wp:simplePos x="0" y="0"/>
                <wp:positionH relativeFrom="column">
                  <wp:posOffset>1714500</wp:posOffset>
                </wp:positionH>
                <wp:positionV relativeFrom="paragraph">
                  <wp:posOffset>180975</wp:posOffset>
                </wp:positionV>
                <wp:extent cx="2495550" cy="0"/>
                <wp:effectExtent l="0" t="4445" r="0" b="5080"/>
                <wp:wrapNone/>
                <wp:docPr id="3" name="直接箭头连接符 3"/>
                <wp:cNvGraphicFramePr/>
                <a:graphic xmlns:a="http://schemas.openxmlformats.org/drawingml/2006/main">
                  <a:graphicData uri="http://schemas.microsoft.com/office/word/2010/wordprocessingShape">
                    <wps:wsp>
                      <wps:cNvCnPr>
                        <a:cxnSpLocks noChangeShapeType="1"/>
                      </wps:cNvCnPr>
                      <wps:spPr bwMode="auto">
                        <a:xfrm>
                          <a:off x="0" y="0"/>
                          <a:ext cx="2495550" cy="0"/>
                        </a:xfrm>
                        <a:prstGeom prst="straightConnector1">
                          <a:avLst/>
                        </a:prstGeom>
                        <a:noFill/>
                        <a:ln w="9525">
                          <a:solidFill>
                            <a:srgbClr val="000000"/>
                          </a:solidFill>
                          <a:round/>
                        </a:ln>
                        <a:effectLst/>
                      </wps:spPr>
                      <wps:bodyPr/>
                    </wps:wsp>
                  </a:graphicData>
                </a:graphic>
              </wp:anchor>
            </w:drawing>
          </mc:Choice>
          <mc:Fallback>
            <w:pict>
              <v:shape id="_x0000_s1026" o:spid="_x0000_s1026" o:spt="32" type="#_x0000_t32" style="position:absolute;left:0pt;margin-left:135pt;margin-top:14.25pt;height:0pt;width:196.5pt;z-index:251662336;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tCC/u9cAAAAJAQAADwAAAAAAAAABACAAAAAiAAAAZHJzL2Rvd25yZXYueG1s&#10;UEsBAhQAFAAAAAgAh07iQBRH23b5AQAAzAMAAA4AAAAAAAAAAQAgAAAAJgEAAGRycy9lMm9Eb2Mu&#10;eG1sUEsFBgAAAAAGAAYAWQEAAJEFA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主管部门：昆明市盘龙区机关事务管理服务中心</w:t>
      </w:r>
    </w:p>
    <w:p w14:paraId="55657FAF">
      <w:pPr>
        <w:adjustRightInd w:val="0"/>
        <w:snapToGrid w:val="0"/>
        <w:spacing w:line="360" w:lineRule="auto"/>
        <w:ind w:left="1260" w:leftChars="600"/>
        <w:rPr>
          <w:rFonts w:ascii="Times New Roman" w:hAnsi="Times New Roman" w:eastAsia="黑体" w:cs="Times New Roman"/>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3360" behindDoc="0" locked="0" layoutInCell="1" allowOverlap="1">
                <wp:simplePos x="0" y="0"/>
                <wp:positionH relativeFrom="column">
                  <wp:posOffset>1714500</wp:posOffset>
                </wp:positionH>
                <wp:positionV relativeFrom="paragraph">
                  <wp:posOffset>180975</wp:posOffset>
                </wp:positionV>
                <wp:extent cx="2495550" cy="0"/>
                <wp:effectExtent l="0" t="4445" r="0" b="5080"/>
                <wp:wrapNone/>
                <wp:docPr id="2" name="直接箭头连接符 2"/>
                <wp:cNvGraphicFramePr/>
                <a:graphic xmlns:a="http://schemas.openxmlformats.org/drawingml/2006/main">
                  <a:graphicData uri="http://schemas.microsoft.com/office/word/2010/wordprocessingShape">
                    <wps:wsp>
                      <wps:cNvCnPr>
                        <a:cxnSpLocks noChangeShapeType="1"/>
                      </wps:cNvCnPr>
                      <wps:spPr bwMode="auto">
                        <a:xfrm>
                          <a:off x="0" y="0"/>
                          <a:ext cx="2495550" cy="0"/>
                        </a:xfrm>
                        <a:prstGeom prst="straightConnector1">
                          <a:avLst/>
                        </a:prstGeom>
                        <a:noFill/>
                        <a:ln w="9525">
                          <a:solidFill>
                            <a:srgbClr val="000000"/>
                          </a:solidFill>
                          <a:round/>
                        </a:ln>
                        <a:effectLst/>
                      </wps:spPr>
                      <wps:bodyPr/>
                    </wps:wsp>
                  </a:graphicData>
                </a:graphic>
              </wp:anchor>
            </w:drawing>
          </mc:Choice>
          <mc:Fallback>
            <w:pict>
              <v:shape id="_x0000_s1026" o:spid="_x0000_s1026" o:spt="32" type="#_x0000_t32" style="position:absolute;left:0pt;margin-left:135pt;margin-top:14.25pt;height:0pt;width:196.5pt;z-index:251663360;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tCC/u9cAAAAJAQAADwAAAAAAAAABACAAAAAiAAAAZHJzL2Rvd25yZXYueG1s&#10;UEsBAhQAFAAAAAgAh07iQP1RTnz5AQAAzAMAAA4AAAAAAAAAAQAgAAAAJgEAAGRycy9lMm9Eb2Mu&#10;eG1sUEsFBgAAAAAGAAYAWQEAAJEFA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项目名称：</w:t>
      </w:r>
      <w:r>
        <w:rPr>
          <w:rFonts w:hint="eastAsia" w:ascii="Times New Roman" w:hAnsi="Times New Roman" w:eastAsia="黑体" w:cs="Times New Roman"/>
          <w:b/>
          <w:bCs/>
          <w:sz w:val="28"/>
          <w:szCs w:val="28"/>
        </w:rPr>
        <w:t>业务补助经费</w:t>
      </w:r>
    </w:p>
    <w:p w14:paraId="467A0300">
      <w:pPr>
        <w:adjustRightInd w:val="0"/>
        <w:snapToGrid w:val="0"/>
        <w:spacing w:line="360" w:lineRule="auto"/>
        <w:ind w:left="1260" w:leftChars="600"/>
        <w:rPr>
          <w:rFonts w:ascii="Times New Roman" w:hAnsi="Times New Roman" w:eastAsia="黑体" w:cs="Times New Roman"/>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4384" behindDoc="0" locked="0" layoutInCell="1" allowOverlap="1">
                <wp:simplePos x="0" y="0"/>
                <wp:positionH relativeFrom="column">
                  <wp:posOffset>1714500</wp:posOffset>
                </wp:positionH>
                <wp:positionV relativeFrom="paragraph">
                  <wp:posOffset>180975</wp:posOffset>
                </wp:positionV>
                <wp:extent cx="2495550" cy="0"/>
                <wp:effectExtent l="0" t="4445" r="0" b="5080"/>
                <wp:wrapNone/>
                <wp:docPr id="1" name="直接箭头连接符 1"/>
                <wp:cNvGraphicFramePr/>
                <a:graphic xmlns:a="http://schemas.openxmlformats.org/drawingml/2006/main">
                  <a:graphicData uri="http://schemas.microsoft.com/office/word/2010/wordprocessingShape">
                    <wps:wsp>
                      <wps:cNvCnPr>
                        <a:cxnSpLocks noChangeShapeType="1"/>
                      </wps:cNvCnPr>
                      <wps:spPr bwMode="auto">
                        <a:xfrm>
                          <a:off x="0" y="0"/>
                          <a:ext cx="2495550" cy="0"/>
                        </a:xfrm>
                        <a:prstGeom prst="straightConnector1">
                          <a:avLst/>
                        </a:prstGeom>
                        <a:noFill/>
                        <a:ln w="9525">
                          <a:solidFill>
                            <a:srgbClr val="000000"/>
                          </a:solidFill>
                          <a:round/>
                        </a:ln>
                        <a:effectLst/>
                      </wps:spPr>
                      <wps:bodyPr/>
                    </wps:wsp>
                  </a:graphicData>
                </a:graphic>
              </wp:anchor>
            </w:drawing>
          </mc:Choice>
          <mc:Fallback>
            <w:pict>
              <v:shape id="_x0000_s1026" o:spid="_x0000_s1026" o:spt="32" type="#_x0000_t32" style="position:absolute;left:0pt;margin-left:135pt;margin-top:14.25pt;height:0pt;width:196.5pt;z-index:251664384;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C0IL+71wAAAAkBAAAPAAAAAAAAAAEAIAAAACIAAABkcnMvZG93bnJldi54bWxQ&#10;SwECFAAUAAAACACHTuJAxmrxY/gBAADMAwAADgAAAAAAAAABACAAAAAmAQAAZHJzL2Uyb0RvYy54&#10;bWxQSwUGAAAAAAYABgBZAQAAkAU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绩效自评日期：</w:t>
      </w:r>
      <w:r>
        <w:rPr>
          <w:rFonts w:hint="eastAsia" w:ascii="Times New Roman" w:hAnsi="Times New Roman" w:eastAsia="黑体" w:cs="Times New Roman"/>
          <w:b/>
          <w:bCs/>
          <w:sz w:val="28"/>
          <w:szCs w:val="28"/>
        </w:rPr>
        <w:t>2021年5月18日</w:t>
      </w:r>
    </w:p>
    <w:p w14:paraId="4523BBD2">
      <w:pPr>
        <w:spacing w:line="360" w:lineRule="auto"/>
        <w:ind w:left="1218" w:leftChars="580"/>
        <w:rPr>
          <w:rFonts w:ascii="Times New Roman" w:hAnsi="Times New Roman" w:eastAsia="黑体" w:cs="Times New Roman"/>
          <w:b/>
          <w:bCs/>
          <w:sz w:val="28"/>
          <w:szCs w:val="28"/>
        </w:rPr>
      </w:pPr>
    </w:p>
    <w:p w14:paraId="203ED84E">
      <w:pPr>
        <w:jc w:val="center"/>
        <w:rPr>
          <w:rFonts w:ascii="仿宋" w:hAnsi="仿宋" w:eastAsia="仿宋" w:cs="黑体"/>
          <w:b/>
          <w:bCs/>
          <w:sz w:val="32"/>
          <w:szCs w:val="32"/>
        </w:rPr>
      </w:pPr>
      <w:r>
        <w:rPr>
          <w:rFonts w:ascii="仿宋" w:hAnsi="仿宋" w:eastAsia="仿宋"/>
          <w:b/>
          <w:bCs/>
          <w:sz w:val="32"/>
          <w:szCs w:val="32"/>
        </w:rPr>
        <w:t>20</w:t>
      </w:r>
      <w:r>
        <w:rPr>
          <w:rFonts w:hint="eastAsia" w:ascii="仿宋" w:hAnsi="仿宋" w:eastAsia="仿宋"/>
          <w:b/>
          <w:bCs/>
          <w:sz w:val="32"/>
          <w:szCs w:val="32"/>
        </w:rPr>
        <w:t>21</w:t>
      </w:r>
      <w:r>
        <w:rPr>
          <w:rFonts w:hint="eastAsia" w:ascii="仿宋" w:hAnsi="仿宋" w:eastAsia="仿宋" w:cs="黑体"/>
          <w:b/>
          <w:bCs/>
          <w:sz w:val="32"/>
          <w:szCs w:val="32"/>
        </w:rPr>
        <w:t>年</w:t>
      </w:r>
      <w:r>
        <w:rPr>
          <w:rFonts w:hint="eastAsia" w:ascii="仿宋" w:hAnsi="仿宋" w:eastAsia="仿宋"/>
          <w:b/>
          <w:bCs/>
          <w:sz w:val="32"/>
          <w:szCs w:val="32"/>
        </w:rPr>
        <w:t>5</w:t>
      </w:r>
      <w:r>
        <w:rPr>
          <w:rFonts w:hint="eastAsia" w:ascii="仿宋" w:hAnsi="仿宋" w:eastAsia="仿宋" w:cs="黑体"/>
          <w:b/>
          <w:bCs/>
          <w:sz w:val="32"/>
          <w:szCs w:val="32"/>
        </w:rPr>
        <w:t>月</w:t>
      </w:r>
    </w:p>
    <w:p w14:paraId="1D6A3CBC">
      <w:pPr>
        <w:jc w:val="center"/>
        <w:rPr>
          <w:rFonts w:ascii="Times New Roman" w:hAnsi="Times New Roman" w:eastAsia="黑体" w:cs="黑体"/>
          <w:b/>
          <w:bCs/>
          <w:sz w:val="28"/>
          <w:szCs w:val="28"/>
        </w:rPr>
      </w:pPr>
    </w:p>
    <w:p w14:paraId="0F152A96">
      <w:pPr>
        <w:jc w:val="center"/>
        <w:rPr>
          <w:rFonts w:ascii="Times New Roman" w:hAnsi="Times New Roman" w:eastAsia="黑体" w:cs="黑体"/>
          <w:b/>
          <w:bCs/>
          <w:sz w:val="28"/>
          <w:szCs w:val="28"/>
        </w:rPr>
      </w:pPr>
    </w:p>
    <w:p w14:paraId="62F2801E">
      <w:pPr>
        <w:jc w:val="center"/>
        <w:rPr>
          <w:rFonts w:ascii="Times New Roman" w:hAnsi="Times New Roman" w:eastAsia="黑体" w:cs="黑体"/>
          <w:b/>
          <w:bCs/>
          <w:sz w:val="28"/>
          <w:szCs w:val="28"/>
        </w:rPr>
      </w:pPr>
    </w:p>
    <w:p w14:paraId="7BCFF529">
      <w:pPr>
        <w:jc w:val="center"/>
        <w:rPr>
          <w:rFonts w:ascii="Times New Roman" w:hAnsi="Times New Roman" w:eastAsia="黑体" w:cs="黑体"/>
          <w:b/>
          <w:bCs/>
          <w:sz w:val="28"/>
          <w:szCs w:val="28"/>
        </w:rPr>
      </w:pPr>
    </w:p>
    <w:p w14:paraId="2433A5B5">
      <w:pPr>
        <w:jc w:val="center"/>
        <w:rPr>
          <w:rFonts w:ascii="Times New Roman" w:hAnsi="Times New Roman" w:eastAsia="黑体" w:cs="黑体"/>
          <w:b/>
          <w:bCs/>
          <w:sz w:val="28"/>
          <w:szCs w:val="28"/>
        </w:rPr>
      </w:pPr>
    </w:p>
    <w:p w14:paraId="37E8D337">
      <w:pPr>
        <w:jc w:val="center"/>
        <w:rPr>
          <w:rFonts w:ascii="Times New Roman" w:hAnsi="Times New Roman" w:eastAsia="黑体" w:cs="黑体"/>
          <w:b/>
          <w:bCs/>
          <w:sz w:val="28"/>
          <w:szCs w:val="28"/>
        </w:rPr>
      </w:pPr>
    </w:p>
    <w:p w14:paraId="5C1CB148">
      <w:pPr>
        <w:jc w:val="center"/>
        <w:rPr>
          <w:rFonts w:ascii="Times New Roman" w:hAnsi="Times New Roman" w:eastAsia="黑体" w:cs="黑体"/>
          <w:b/>
          <w:bCs/>
          <w:sz w:val="28"/>
          <w:szCs w:val="28"/>
        </w:rPr>
      </w:pPr>
    </w:p>
    <w:p w14:paraId="0CF16F1F">
      <w:pPr>
        <w:spacing w:line="360" w:lineRule="auto"/>
        <w:ind w:left="420" w:leftChars="200"/>
        <w:rPr>
          <w:rFonts w:ascii="Times New Roman" w:hAnsi="Times New Roman" w:eastAsia="黑体" w:cs="Times New Roman"/>
          <w:color w:val="000000"/>
          <w:sz w:val="24"/>
          <w:szCs w:val="24"/>
          <w:u w:color="000000"/>
          <w:lang w:val="zh-TW" w:eastAsia="zh-TW"/>
        </w:rPr>
      </w:pPr>
      <w:r>
        <w:rPr>
          <w:rFonts w:hint="eastAsia" w:ascii="Times New Roman" w:hAnsi="Times New Roman" w:eastAsia="黑体" w:cs="黑体"/>
          <w:color w:val="000000"/>
          <w:sz w:val="24"/>
          <w:szCs w:val="24"/>
          <w:u w:color="000000"/>
          <w:lang w:val="zh-TW" w:eastAsia="zh-TW"/>
        </w:rPr>
        <w:t>评价小组成员：</w:t>
      </w:r>
    </w:p>
    <w:tbl>
      <w:tblPr>
        <w:tblStyle w:val="10"/>
        <w:tblpPr w:leftFromText="180" w:rightFromText="180" w:vertAnchor="text" w:horzAnchor="margin" w:tblpY="72"/>
        <w:tblW w:w="81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620"/>
        <w:gridCol w:w="1753"/>
        <w:gridCol w:w="1950"/>
        <w:gridCol w:w="1159"/>
      </w:tblGrid>
      <w:tr w14:paraId="29924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14:paraId="79364B21">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评价小组</w:t>
            </w:r>
          </w:p>
          <w:p w14:paraId="7A11670A">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机构职位</w:t>
            </w:r>
          </w:p>
        </w:tc>
        <w:tc>
          <w:tcPr>
            <w:tcW w:w="1620" w:type="dxa"/>
            <w:vAlign w:val="center"/>
          </w:tcPr>
          <w:p w14:paraId="1DD970F6">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姓名</w:t>
            </w:r>
          </w:p>
        </w:tc>
        <w:tc>
          <w:tcPr>
            <w:tcW w:w="1753" w:type="dxa"/>
            <w:vAlign w:val="center"/>
          </w:tcPr>
          <w:p w14:paraId="5E2E4243">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职务/职称</w:t>
            </w:r>
          </w:p>
        </w:tc>
        <w:tc>
          <w:tcPr>
            <w:tcW w:w="1950" w:type="dxa"/>
            <w:vAlign w:val="center"/>
          </w:tcPr>
          <w:p w14:paraId="2C580699">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所属</w:t>
            </w:r>
          </w:p>
          <w:p w14:paraId="326A8AE9">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单位/处室</w:t>
            </w:r>
          </w:p>
        </w:tc>
        <w:tc>
          <w:tcPr>
            <w:tcW w:w="1159" w:type="dxa"/>
            <w:vAlign w:val="center"/>
          </w:tcPr>
          <w:p w14:paraId="1F79E413">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签字</w:t>
            </w:r>
          </w:p>
        </w:tc>
      </w:tr>
      <w:tr w14:paraId="3C729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trPr>
        <w:tc>
          <w:tcPr>
            <w:tcW w:w="1620" w:type="dxa"/>
            <w:vAlign w:val="center"/>
          </w:tcPr>
          <w:p w14:paraId="70ACD965">
            <w:pPr>
              <w:jc w:val="center"/>
              <w:rPr>
                <w:rFonts w:hint="eastAsia" w:ascii="仿宋_GB2312" w:hAnsi="Times New Roman" w:eastAsia="仿宋_GB2312" w:cs="黑体"/>
                <w:color w:val="000000"/>
                <w:sz w:val="24"/>
                <w:szCs w:val="24"/>
                <w:u w:color="000000"/>
                <w:lang w:val="zh-TW"/>
              </w:rPr>
            </w:pPr>
            <w:r>
              <w:rPr>
                <w:rFonts w:hint="eastAsia" w:ascii="仿宋_GB2312" w:hAnsi="Times New Roman" w:eastAsia="仿宋_GB2312" w:cs="黑体"/>
                <w:color w:val="000000"/>
                <w:sz w:val="24"/>
                <w:szCs w:val="24"/>
                <w:u w:color="000000"/>
                <w:lang w:val="zh-TW"/>
              </w:rPr>
              <w:t>组</w:t>
            </w:r>
            <w:r>
              <w:rPr>
                <w:rFonts w:hint="eastAsia" w:ascii="仿宋_GB2312" w:hAnsi="Times New Roman" w:eastAsia="仿宋_GB2312" w:cs="黑体"/>
                <w:color w:val="000000"/>
                <w:sz w:val="24"/>
                <w:szCs w:val="24"/>
                <w:u w:color="000000"/>
                <w:lang w:val="en-US" w:eastAsia="zh-CN"/>
              </w:rPr>
              <w:t xml:space="preserve"> </w:t>
            </w:r>
            <w:r>
              <w:rPr>
                <w:rFonts w:hint="eastAsia" w:ascii="仿宋_GB2312" w:hAnsi="Times New Roman" w:eastAsia="仿宋_GB2312" w:cs="黑体"/>
                <w:color w:val="000000"/>
                <w:sz w:val="24"/>
                <w:szCs w:val="24"/>
                <w:u w:color="000000"/>
                <w:lang w:val="zh-TW"/>
              </w:rPr>
              <w:t>长</w:t>
            </w:r>
          </w:p>
        </w:tc>
        <w:tc>
          <w:tcPr>
            <w:tcW w:w="1620" w:type="dxa"/>
            <w:vAlign w:val="center"/>
          </w:tcPr>
          <w:p w14:paraId="0A949900">
            <w:pPr>
              <w:jc w:val="center"/>
              <w:rPr>
                <w:rFonts w:hint="eastAsia" w:ascii="仿宋_GB2312" w:hAnsi="Times New Roman" w:eastAsia="仿宋_GB2312" w:cs="黑体"/>
                <w:color w:val="000000"/>
                <w:sz w:val="24"/>
                <w:szCs w:val="24"/>
                <w:u w:color="000000"/>
                <w:lang w:val="zh-TW"/>
              </w:rPr>
            </w:pPr>
            <w:r>
              <w:rPr>
                <w:rFonts w:hint="eastAsia" w:ascii="仿宋_GB2312" w:hAnsi="Times New Roman" w:eastAsia="仿宋_GB2312" w:cs="黑体"/>
                <w:color w:val="000000"/>
                <w:sz w:val="24"/>
                <w:szCs w:val="24"/>
                <w:u w:color="000000"/>
                <w:lang w:val="zh-TW"/>
              </w:rPr>
              <w:t>肖伟</w:t>
            </w:r>
          </w:p>
        </w:tc>
        <w:tc>
          <w:tcPr>
            <w:tcW w:w="1753" w:type="dxa"/>
            <w:vAlign w:val="center"/>
          </w:tcPr>
          <w:p w14:paraId="5D845A81">
            <w:pPr>
              <w:jc w:val="center"/>
              <w:rPr>
                <w:rFonts w:hint="eastAsia" w:ascii="仿宋_GB2312" w:hAnsi="Times New Roman" w:eastAsia="仿宋_GB2312" w:cs="黑体"/>
                <w:color w:val="000000"/>
                <w:sz w:val="24"/>
                <w:szCs w:val="24"/>
                <w:u w:color="000000"/>
              </w:rPr>
            </w:pPr>
            <w:r>
              <w:rPr>
                <w:rFonts w:hint="eastAsia" w:ascii="仿宋_GB2312" w:hAnsi="Times New Roman" w:eastAsia="仿宋_GB2312" w:cs="黑体"/>
                <w:color w:val="000000"/>
                <w:sz w:val="24"/>
                <w:szCs w:val="24"/>
                <w:u w:color="000000"/>
              </w:rPr>
              <w:t>副主任</w:t>
            </w:r>
          </w:p>
        </w:tc>
        <w:tc>
          <w:tcPr>
            <w:tcW w:w="1950" w:type="dxa"/>
            <w:vAlign w:val="center"/>
          </w:tcPr>
          <w:p w14:paraId="125769AA">
            <w:pPr>
              <w:pStyle w:val="19"/>
              <w:widowControl w:val="0"/>
              <w:spacing w:after="0" w:line="240" w:lineRule="auto"/>
              <w:jc w:val="center"/>
              <w:rPr>
                <w:rFonts w:hint="eastAsia" w:ascii="仿宋_GB2312" w:hAnsi="仿宋" w:eastAsia="仿宋_GB2312" w:cs="黑体"/>
                <w:kern w:val="2"/>
                <w:sz w:val="32"/>
                <w:szCs w:val="32"/>
                <w:lang w:val="zh-TW" w:eastAsia="zh-TW"/>
              </w:rPr>
            </w:pPr>
            <w:r>
              <w:rPr>
                <w:rFonts w:hint="eastAsia" w:ascii="仿宋_GB2312" w:hAnsi="黑体" w:eastAsia="仿宋_GB2312" w:cs="黑体"/>
                <w:kern w:val="2"/>
                <w:sz w:val="24"/>
                <w:szCs w:val="24"/>
                <w:lang w:val="zh-TW"/>
              </w:rPr>
              <w:t>区政府办</w:t>
            </w:r>
          </w:p>
        </w:tc>
        <w:tc>
          <w:tcPr>
            <w:tcW w:w="1159" w:type="dxa"/>
          </w:tcPr>
          <w:p w14:paraId="51F58715">
            <w:pPr>
              <w:rPr>
                <w:rFonts w:ascii="Times New Roman" w:hAnsi="Times New Roman" w:eastAsia="黑体" w:cs="黑体"/>
                <w:color w:val="000000"/>
                <w:sz w:val="24"/>
                <w:szCs w:val="24"/>
                <w:u w:color="000000"/>
                <w:lang w:val="zh-TW" w:eastAsia="zh-TW"/>
              </w:rPr>
            </w:pPr>
          </w:p>
        </w:tc>
      </w:tr>
      <w:tr w14:paraId="768A5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1620" w:type="dxa"/>
            <w:vAlign w:val="center"/>
          </w:tcPr>
          <w:p w14:paraId="7D524F79">
            <w:pPr>
              <w:spacing w:line="360" w:lineRule="auto"/>
              <w:jc w:val="center"/>
              <w:rPr>
                <w:rFonts w:hint="eastAsia" w:ascii="仿宋_GB2312" w:hAnsi="Times New Roman" w:eastAsia="仿宋_GB2312" w:cs="黑体"/>
                <w:color w:val="000000"/>
                <w:sz w:val="24"/>
                <w:szCs w:val="24"/>
                <w:u w:color="000000"/>
                <w:lang w:val="zh-TW"/>
              </w:rPr>
            </w:pPr>
            <w:r>
              <w:rPr>
                <w:rFonts w:hint="eastAsia" w:ascii="仿宋_GB2312" w:hAnsi="Times New Roman" w:eastAsia="仿宋_GB2312" w:cs="黑体"/>
                <w:color w:val="000000"/>
                <w:sz w:val="24"/>
                <w:szCs w:val="24"/>
                <w:u w:color="000000"/>
                <w:lang w:val="zh-TW"/>
              </w:rPr>
              <w:t>副组长</w:t>
            </w:r>
          </w:p>
        </w:tc>
        <w:tc>
          <w:tcPr>
            <w:tcW w:w="1620" w:type="dxa"/>
            <w:vAlign w:val="center"/>
          </w:tcPr>
          <w:p w14:paraId="4422E17C">
            <w:pPr>
              <w:spacing w:line="360" w:lineRule="auto"/>
              <w:jc w:val="center"/>
              <w:rPr>
                <w:rFonts w:hint="eastAsia" w:ascii="仿宋_GB2312" w:hAnsi="Times New Roman" w:eastAsia="仿宋_GB2312" w:cs="黑体"/>
                <w:color w:val="000000"/>
                <w:sz w:val="24"/>
                <w:szCs w:val="24"/>
                <w:u w:color="000000"/>
                <w:lang w:val="zh-TW"/>
              </w:rPr>
            </w:pPr>
            <w:r>
              <w:rPr>
                <w:rFonts w:hint="eastAsia" w:ascii="仿宋_GB2312" w:hAnsi="Times New Roman" w:eastAsia="仿宋_GB2312" w:cs="黑体"/>
                <w:color w:val="000000"/>
                <w:sz w:val="24"/>
                <w:szCs w:val="24"/>
                <w:u w:color="000000"/>
                <w:lang w:val="zh-TW"/>
              </w:rPr>
              <w:t>闫鑫</w:t>
            </w:r>
          </w:p>
        </w:tc>
        <w:tc>
          <w:tcPr>
            <w:tcW w:w="1753" w:type="dxa"/>
            <w:vAlign w:val="center"/>
          </w:tcPr>
          <w:p w14:paraId="14B3602F">
            <w:pPr>
              <w:spacing w:line="360" w:lineRule="auto"/>
              <w:jc w:val="center"/>
              <w:rPr>
                <w:rFonts w:hint="eastAsia" w:ascii="仿宋_GB2312" w:hAnsi="Times New Roman" w:eastAsia="仿宋_GB2312" w:cs="黑体"/>
                <w:color w:val="000000"/>
                <w:sz w:val="24"/>
                <w:szCs w:val="24"/>
                <w:u w:color="000000"/>
                <w:lang w:val="zh-TW"/>
              </w:rPr>
            </w:pPr>
            <w:r>
              <w:rPr>
                <w:rFonts w:hint="eastAsia" w:ascii="仿宋_GB2312" w:hAnsi="Times New Roman" w:eastAsia="仿宋_GB2312" w:cs="黑体"/>
                <w:color w:val="000000"/>
                <w:sz w:val="24"/>
                <w:szCs w:val="24"/>
                <w:u w:color="000000"/>
                <w:lang w:val="zh-TW"/>
              </w:rPr>
              <w:t>副主任</w:t>
            </w:r>
          </w:p>
        </w:tc>
        <w:tc>
          <w:tcPr>
            <w:tcW w:w="1950" w:type="dxa"/>
            <w:vAlign w:val="center"/>
          </w:tcPr>
          <w:p w14:paraId="2511301C">
            <w:pPr>
              <w:pStyle w:val="19"/>
              <w:widowControl w:val="0"/>
              <w:spacing w:after="0" w:line="360" w:lineRule="auto"/>
              <w:jc w:val="center"/>
              <w:rPr>
                <w:rFonts w:hint="eastAsia" w:ascii="仿宋_GB2312" w:hAnsi="仿宋" w:eastAsia="仿宋_GB2312" w:cs="黑体"/>
                <w:kern w:val="2"/>
                <w:sz w:val="32"/>
                <w:szCs w:val="32"/>
                <w:lang w:val="zh-TW" w:eastAsia="zh-TW"/>
              </w:rPr>
            </w:pPr>
            <w:r>
              <w:rPr>
                <w:rFonts w:hint="eastAsia" w:ascii="仿宋_GB2312" w:hAnsi="黑体" w:eastAsia="仿宋_GB2312" w:cs="黑体"/>
                <w:kern w:val="2"/>
                <w:sz w:val="24"/>
                <w:szCs w:val="24"/>
                <w:lang w:val="zh-TW"/>
              </w:rPr>
              <w:t>区机关事务管理服务中心</w:t>
            </w:r>
          </w:p>
        </w:tc>
        <w:tc>
          <w:tcPr>
            <w:tcW w:w="1159" w:type="dxa"/>
          </w:tcPr>
          <w:p w14:paraId="70D08E7D">
            <w:pPr>
              <w:spacing w:line="360" w:lineRule="auto"/>
              <w:rPr>
                <w:rFonts w:ascii="Times New Roman" w:hAnsi="Times New Roman" w:eastAsia="黑体" w:cs="黑体"/>
                <w:color w:val="000000"/>
                <w:sz w:val="24"/>
                <w:szCs w:val="24"/>
                <w:u w:color="000000"/>
                <w:lang w:val="zh-TW" w:eastAsia="zh-TW"/>
              </w:rPr>
            </w:pPr>
          </w:p>
        </w:tc>
      </w:tr>
      <w:tr w14:paraId="4B1FB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620" w:type="dxa"/>
            <w:vAlign w:val="center"/>
          </w:tcPr>
          <w:p w14:paraId="19C4CD8B">
            <w:pPr>
              <w:spacing w:line="360" w:lineRule="auto"/>
              <w:jc w:val="center"/>
              <w:rPr>
                <w:rFonts w:hint="eastAsia" w:ascii="仿宋_GB2312" w:hAnsi="Times New Roman" w:eastAsia="仿宋_GB2312" w:cs="黑体"/>
                <w:color w:val="000000"/>
                <w:sz w:val="24"/>
                <w:szCs w:val="24"/>
                <w:u w:color="000000"/>
                <w:lang w:val="zh-TW"/>
              </w:rPr>
            </w:pPr>
            <w:r>
              <w:rPr>
                <w:rFonts w:hint="eastAsia" w:ascii="仿宋_GB2312" w:hAnsi="Times New Roman" w:eastAsia="仿宋_GB2312" w:cs="黑体"/>
                <w:color w:val="000000"/>
                <w:sz w:val="24"/>
                <w:szCs w:val="24"/>
                <w:u w:color="000000"/>
                <w:lang w:val="zh-TW"/>
              </w:rPr>
              <w:t>副组长</w:t>
            </w:r>
          </w:p>
        </w:tc>
        <w:tc>
          <w:tcPr>
            <w:tcW w:w="1620" w:type="dxa"/>
            <w:vAlign w:val="center"/>
          </w:tcPr>
          <w:p w14:paraId="68AC9194">
            <w:pPr>
              <w:spacing w:line="360" w:lineRule="auto"/>
              <w:jc w:val="center"/>
              <w:rPr>
                <w:rFonts w:hint="eastAsia" w:ascii="仿宋_GB2312" w:hAnsi="Times New Roman" w:eastAsia="仿宋_GB2312" w:cs="黑体"/>
                <w:color w:val="000000"/>
                <w:sz w:val="24"/>
                <w:szCs w:val="24"/>
                <w:u w:color="000000"/>
                <w:lang w:val="zh-TW"/>
              </w:rPr>
            </w:pPr>
            <w:r>
              <w:rPr>
                <w:rFonts w:hint="eastAsia" w:ascii="仿宋_GB2312" w:hAnsi="Times New Roman" w:eastAsia="仿宋_GB2312" w:cs="黑体"/>
                <w:color w:val="000000"/>
                <w:sz w:val="24"/>
                <w:szCs w:val="24"/>
                <w:u w:color="000000"/>
                <w:lang w:val="zh-TW"/>
              </w:rPr>
              <w:t>杨艳</w:t>
            </w:r>
          </w:p>
        </w:tc>
        <w:tc>
          <w:tcPr>
            <w:tcW w:w="1753" w:type="dxa"/>
            <w:vAlign w:val="center"/>
          </w:tcPr>
          <w:p w14:paraId="6BAFD46B">
            <w:pPr>
              <w:spacing w:line="360" w:lineRule="auto"/>
              <w:jc w:val="center"/>
              <w:rPr>
                <w:rFonts w:hint="eastAsia" w:ascii="仿宋_GB2312" w:hAnsi="Times New Roman" w:eastAsia="仿宋_GB2312" w:cs="黑体"/>
                <w:color w:val="000000"/>
                <w:sz w:val="24"/>
                <w:szCs w:val="24"/>
                <w:u w:color="000000"/>
                <w:lang w:val="zh-TW"/>
              </w:rPr>
            </w:pPr>
            <w:r>
              <w:rPr>
                <w:rFonts w:hint="eastAsia" w:ascii="仿宋_GB2312" w:hAnsi="Times New Roman" w:eastAsia="仿宋_GB2312" w:cs="黑体"/>
                <w:color w:val="000000"/>
                <w:sz w:val="24"/>
                <w:szCs w:val="24"/>
                <w:u w:color="000000"/>
                <w:lang w:val="zh-TW"/>
              </w:rPr>
              <w:t>副主任</w:t>
            </w:r>
          </w:p>
        </w:tc>
        <w:tc>
          <w:tcPr>
            <w:tcW w:w="1950" w:type="dxa"/>
            <w:vAlign w:val="center"/>
          </w:tcPr>
          <w:p w14:paraId="11A728FB">
            <w:pPr>
              <w:pStyle w:val="19"/>
              <w:widowControl w:val="0"/>
              <w:spacing w:after="0" w:line="360" w:lineRule="auto"/>
              <w:jc w:val="center"/>
              <w:rPr>
                <w:rFonts w:hint="eastAsia" w:ascii="仿宋_GB2312" w:hAnsi="仿宋" w:eastAsia="仿宋_GB2312" w:cs="黑体"/>
                <w:kern w:val="2"/>
                <w:sz w:val="32"/>
                <w:szCs w:val="32"/>
                <w:lang w:val="zh-TW" w:eastAsia="zh-TW"/>
              </w:rPr>
            </w:pPr>
            <w:r>
              <w:rPr>
                <w:rFonts w:hint="eastAsia" w:ascii="仿宋_GB2312" w:hAnsi="黑体" w:eastAsia="仿宋_GB2312" w:cs="黑体"/>
                <w:kern w:val="2"/>
                <w:sz w:val="24"/>
                <w:szCs w:val="24"/>
                <w:lang w:val="zh-TW"/>
              </w:rPr>
              <w:t>区机关事务管理服务中心</w:t>
            </w:r>
          </w:p>
        </w:tc>
        <w:tc>
          <w:tcPr>
            <w:tcW w:w="1159" w:type="dxa"/>
          </w:tcPr>
          <w:p w14:paraId="4144DD33">
            <w:pPr>
              <w:spacing w:line="360" w:lineRule="auto"/>
              <w:rPr>
                <w:rFonts w:ascii="Times New Roman" w:hAnsi="Times New Roman" w:eastAsia="黑体" w:cs="黑体"/>
                <w:color w:val="000000"/>
                <w:sz w:val="24"/>
                <w:szCs w:val="24"/>
                <w:u w:color="000000"/>
                <w:lang w:val="zh-TW" w:eastAsia="zh-TW"/>
              </w:rPr>
            </w:pPr>
          </w:p>
        </w:tc>
      </w:tr>
      <w:tr w14:paraId="1DA9D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1620" w:type="dxa"/>
            <w:vAlign w:val="center"/>
          </w:tcPr>
          <w:p w14:paraId="614A5AC2">
            <w:pPr>
              <w:spacing w:line="360" w:lineRule="auto"/>
              <w:jc w:val="center"/>
              <w:rPr>
                <w:rFonts w:hint="eastAsia" w:ascii="仿宋_GB2312" w:hAnsi="Times New Roman" w:eastAsia="仿宋_GB2312" w:cs="黑体"/>
                <w:color w:val="000000"/>
                <w:sz w:val="24"/>
                <w:szCs w:val="24"/>
                <w:u w:color="000000"/>
                <w:lang w:val="zh-TW"/>
              </w:rPr>
            </w:pPr>
            <w:r>
              <w:rPr>
                <w:rFonts w:hint="eastAsia" w:ascii="仿宋_GB2312" w:hAnsi="Times New Roman" w:eastAsia="仿宋_GB2312" w:cs="黑体"/>
                <w:color w:val="000000"/>
                <w:sz w:val="24"/>
                <w:szCs w:val="24"/>
                <w:u w:color="000000"/>
                <w:lang w:val="zh-TW"/>
              </w:rPr>
              <w:t>组</w:t>
            </w:r>
            <w:r>
              <w:rPr>
                <w:rFonts w:hint="eastAsia" w:ascii="仿宋_GB2312" w:hAnsi="Times New Roman" w:eastAsia="仿宋_GB2312" w:cs="黑体"/>
                <w:color w:val="000000"/>
                <w:sz w:val="24"/>
                <w:szCs w:val="24"/>
                <w:u w:color="000000"/>
                <w:lang w:val="en-US" w:eastAsia="zh-CN"/>
              </w:rPr>
              <w:t xml:space="preserve"> </w:t>
            </w:r>
            <w:r>
              <w:rPr>
                <w:rFonts w:hint="eastAsia" w:ascii="仿宋_GB2312" w:hAnsi="Times New Roman" w:eastAsia="仿宋_GB2312" w:cs="黑体"/>
                <w:color w:val="000000"/>
                <w:sz w:val="24"/>
                <w:szCs w:val="24"/>
                <w:u w:color="000000"/>
                <w:lang w:val="zh-TW"/>
              </w:rPr>
              <w:t>员</w:t>
            </w:r>
          </w:p>
        </w:tc>
        <w:tc>
          <w:tcPr>
            <w:tcW w:w="1620" w:type="dxa"/>
          </w:tcPr>
          <w:p w14:paraId="29D16568">
            <w:pPr>
              <w:spacing w:line="360" w:lineRule="auto"/>
              <w:jc w:val="center"/>
              <w:rPr>
                <w:rFonts w:hint="eastAsia" w:ascii="仿宋_GB2312" w:hAnsi="Times New Roman" w:eastAsia="仿宋_GB2312" w:cs="黑体"/>
                <w:color w:val="000000"/>
                <w:sz w:val="24"/>
                <w:szCs w:val="24"/>
                <w:u w:color="000000"/>
              </w:rPr>
            </w:pPr>
            <w:r>
              <w:rPr>
                <w:rFonts w:hint="eastAsia" w:ascii="仿宋_GB2312" w:hAnsi="Times New Roman" w:eastAsia="仿宋_GB2312" w:cs="黑体"/>
                <w:color w:val="000000"/>
                <w:sz w:val="24"/>
                <w:szCs w:val="24"/>
                <w:u w:color="000000"/>
                <w:lang w:val="zh-TW"/>
              </w:rPr>
              <w:t>和娟</w:t>
            </w:r>
          </w:p>
        </w:tc>
        <w:tc>
          <w:tcPr>
            <w:tcW w:w="1753" w:type="dxa"/>
          </w:tcPr>
          <w:p w14:paraId="52F9975C">
            <w:pPr>
              <w:spacing w:line="360" w:lineRule="auto"/>
              <w:jc w:val="center"/>
              <w:rPr>
                <w:rFonts w:hint="eastAsia" w:ascii="仿宋_GB2312" w:hAnsi="Times New Roman" w:eastAsia="仿宋_GB2312" w:cs="黑体"/>
                <w:color w:val="000000"/>
                <w:sz w:val="24"/>
                <w:szCs w:val="24"/>
                <w:u w:color="000000"/>
                <w:lang w:val="zh-TW" w:eastAsia="zh-TW"/>
              </w:rPr>
            </w:pPr>
            <w:r>
              <w:rPr>
                <w:rFonts w:hint="eastAsia" w:ascii="仿宋_GB2312" w:hAnsi="Times New Roman" w:eastAsia="仿宋_GB2312" w:cs="黑体"/>
                <w:color w:val="000000"/>
                <w:sz w:val="24"/>
                <w:szCs w:val="24"/>
                <w:u w:color="000000"/>
                <w:lang w:val="zh-TW"/>
              </w:rPr>
              <w:t>主任</w:t>
            </w:r>
          </w:p>
        </w:tc>
        <w:tc>
          <w:tcPr>
            <w:tcW w:w="1950" w:type="dxa"/>
          </w:tcPr>
          <w:p w14:paraId="6BEEC24C">
            <w:pPr>
              <w:spacing w:line="360" w:lineRule="auto"/>
              <w:jc w:val="center"/>
              <w:rPr>
                <w:rFonts w:hint="eastAsia" w:ascii="仿宋_GB2312" w:hAnsi="Times New Roman" w:eastAsia="仿宋_GB2312" w:cs="黑体"/>
                <w:color w:val="000000"/>
                <w:sz w:val="24"/>
                <w:szCs w:val="24"/>
                <w:u w:color="000000"/>
                <w:lang w:val="zh-TW" w:eastAsia="zh-TW"/>
              </w:rPr>
            </w:pPr>
            <w:r>
              <w:rPr>
                <w:rFonts w:hint="eastAsia" w:ascii="仿宋_GB2312" w:hAnsi="Times New Roman" w:eastAsia="仿宋_GB2312" w:cs="黑体"/>
                <w:color w:val="000000"/>
                <w:sz w:val="24"/>
                <w:szCs w:val="24"/>
                <w:u w:color="000000"/>
                <w:lang w:val="zh-TW"/>
              </w:rPr>
              <w:t>办公室</w:t>
            </w:r>
          </w:p>
        </w:tc>
        <w:tc>
          <w:tcPr>
            <w:tcW w:w="1159" w:type="dxa"/>
          </w:tcPr>
          <w:p w14:paraId="4A20CEC1">
            <w:pPr>
              <w:spacing w:line="360" w:lineRule="auto"/>
              <w:rPr>
                <w:rFonts w:ascii="Times New Roman" w:hAnsi="Times New Roman" w:eastAsia="黑体" w:cs="黑体"/>
                <w:color w:val="000000"/>
                <w:sz w:val="24"/>
                <w:szCs w:val="24"/>
                <w:u w:color="000000"/>
                <w:lang w:val="zh-TW" w:eastAsia="zh-TW"/>
              </w:rPr>
            </w:pPr>
          </w:p>
        </w:tc>
      </w:tr>
      <w:tr w14:paraId="00427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1620" w:type="dxa"/>
            <w:vAlign w:val="center"/>
          </w:tcPr>
          <w:p w14:paraId="6F32F194">
            <w:pPr>
              <w:spacing w:line="360" w:lineRule="auto"/>
              <w:jc w:val="center"/>
              <w:rPr>
                <w:rFonts w:hint="eastAsia" w:ascii="仿宋_GB2312" w:hAnsi="Times New Roman" w:eastAsia="仿宋_GB2312" w:cs="黑体"/>
                <w:color w:val="000000"/>
                <w:sz w:val="24"/>
                <w:szCs w:val="24"/>
                <w:u w:color="000000"/>
                <w:lang w:val="zh-TW"/>
              </w:rPr>
            </w:pPr>
            <w:r>
              <w:rPr>
                <w:rFonts w:hint="eastAsia" w:ascii="仿宋_GB2312" w:hAnsi="Times New Roman" w:eastAsia="仿宋_GB2312" w:cs="黑体"/>
                <w:color w:val="000000"/>
                <w:sz w:val="24"/>
                <w:szCs w:val="24"/>
                <w:u w:color="000000"/>
                <w:lang w:val="zh-TW"/>
              </w:rPr>
              <w:t>组</w:t>
            </w:r>
            <w:r>
              <w:rPr>
                <w:rFonts w:hint="eastAsia" w:ascii="仿宋_GB2312" w:hAnsi="Times New Roman" w:eastAsia="仿宋_GB2312" w:cs="黑体"/>
                <w:color w:val="000000"/>
                <w:sz w:val="24"/>
                <w:szCs w:val="24"/>
                <w:u w:color="000000"/>
                <w:lang w:val="en-US" w:eastAsia="zh-CN"/>
              </w:rPr>
              <w:t xml:space="preserve"> </w:t>
            </w:r>
            <w:r>
              <w:rPr>
                <w:rFonts w:hint="eastAsia" w:ascii="仿宋_GB2312" w:hAnsi="Times New Roman" w:eastAsia="仿宋_GB2312" w:cs="黑体"/>
                <w:color w:val="000000"/>
                <w:sz w:val="24"/>
                <w:szCs w:val="24"/>
                <w:u w:color="000000"/>
                <w:lang w:val="zh-TW"/>
              </w:rPr>
              <w:t>员</w:t>
            </w:r>
          </w:p>
        </w:tc>
        <w:tc>
          <w:tcPr>
            <w:tcW w:w="1620" w:type="dxa"/>
          </w:tcPr>
          <w:p w14:paraId="6E4FAA05">
            <w:pPr>
              <w:spacing w:line="360" w:lineRule="auto"/>
              <w:jc w:val="center"/>
              <w:rPr>
                <w:rFonts w:hint="eastAsia" w:ascii="仿宋_GB2312" w:hAnsi="Times New Roman" w:eastAsia="仿宋_GB2312" w:cs="黑体"/>
                <w:color w:val="000000"/>
                <w:sz w:val="24"/>
                <w:szCs w:val="24"/>
                <w:u w:color="000000"/>
              </w:rPr>
            </w:pPr>
            <w:r>
              <w:rPr>
                <w:rFonts w:hint="eastAsia" w:ascii="仿宋_GB2312" w:hAnsi="Times New Roman" w:eastAsia="仿宋_GB2312" w:cs="黑体"/>
                <w:color w:val="000000"/>
                <w:sz w:val="24"/>
                <w:szCs w:val="24"/>
                <w:u w:color="000000"/>
              </w:rPr>
              <w:t>刘荣地</w:t>
            </w:r>
          </w:p>
        </w:tc>
        <w:tc>
          <w:tcPr>
            <w:tcW w:w="1753" w:type="dxa"/>
          </w:tcPr>
          <w:p w14:paraId="33FD7BCA">
            <w:pPr>
              <w:spacing w:line="360" w:lineRule="auto"/>
              <w:jc w:val="center"/>
              <w:rPr>
                <w:rFonts w:hint="eastAsia" w:ascii="仿宋_GB2312" w:hAnsi="Times New Roman" w:eastAsia="仿宋_GB2312" w:cs="黑体"/>
                <w:color w:val="000000"/>
                <w:sz w:val="24"/>
                <w:szCs w:val="24"/>
                <w:u w:color="000000"/>
                <w:lang w:val="zh-TW"/>
              </w:rPr>
            </w:pPr>
            <w:r>
              <w:rPr>
                <w:rFonts w:hint="eastAsia" w:ascii="仿宋_GB2312" w:hAnsi="Times New Roman" w:eastAsia="仿宋_GB2312" w:cs="黑体"/>
                <w:color w:val="000000"/>
                <w:sz w:val="24"/>
                <w:szCs w:val="24"/>
                <w:u w:color="000000"/>
                <w:lang w:val="zh-TW"/>
              </w:rPr>
              <w:t>主任</w:t>
            </w:r>
          </w:p>
        </w:tc>
        <w:tc>
          <w:tcPr>
            <w:tcW w:w="1950" w:type="dxa"/>
          </w:tcPr>
          <w:p w14:paraId="44DDE2E1">
            <w:pPr>
              <w:spacing w:line="360" w:lineRule="auto"/>
              <w:jc w:val="center"/>
              <w:rPr>
                <w:rFonts w:hint="eastAsia" w:ascii="仿宋_GB2312" w:hAnsi="Times New Roman" w:eastAsia="仿宋_GB2312" w:cs="黑体"/>
                <w:color w:val="000000"/>
                <w:sz w:val="24"/>
                <w:szCs w:val="24"/>
                <w:u w:color="000000"/>
                <w:lang w:val="zh-TW" w:eastAsia="zh-TW"/>
              </w:rPr>
            </w:pPr>
            <w:r>
              <w:rPr>
                <w:rFonts w:hint="eastAsia" w:ascii="仿宋_GB2312" w:hAnsi="Times New Roman" w:eastAsia="仿宋_GB2312" w:cs="黑体"/>
                <w:color w:val="000000"/>
                <w:sz w:val="24"/>
                <w:szCs w:val="24"/>
                <w:u w:color="000000"/>
                <w:lang w:val="zh-TW"/>
              </w:rPr>
              <w:t>会务中心</w:t>
            </w:r>
          </w:p>
        </w:tc>
        <w:tc>
          <w:tcPr>
            <w:tcW w:w="1159" w:type="dxa"/>
          </w:tcPr>
          <w:p w14:paraId="1BA78445">
            <w:pPr>
              <w:spacing w:line="360" w:lineRule="auto"/>
              <w:rPr>
                <w:rFonts w:ascii="Times New Roman" w:hAnsi="Times New Roman" w:eastAsia="黑体" w:cs="黑体"/>
                <w:color w:val="000000"/>
                <w:sz w:val="24"/>
                <w:szCs w:val="24"/>
                <w:u w:color="000000"/>
                <w:lang w:val="zh-TW" w:eastAsia="zh-TW"/>
              </w:rPr>
            </w:pPr>
          </w:p>
        </w:tc>
      </w:tr>
      <w:tr w14:paraId="3ABF2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9" w:hRule="atLeast"/>
        </w:trPr>
        <w:tc>
          <w:tcPr>
            <w:tcW w:w="8102" w:type="dxa"/>
            <w:gridSpan w:val="5"/>
          </w:tcPr>
          <w:p w14:paraId="6541E3A6">
            <w:pPr>
              <w:spacing w:line="360" w:lineRule="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报告撰写人（签字）：</w:t>
            </w:r>
          </w:p>
          <w:p w14:paraId="24EE6957">
            <w:pPr>
              <w:spacing w:line="360" w:lineRule="auto"/>
              <w:rPr>
                <w:rFonts w:ascii="Times New Roman" w:hAnsi="Times New Roman" w:eastAsia="黑体" w:cs="黑体"/>
                <w:color w:val="000000"/>
                <w:sz w:val="24"/>
                <w:szCs w:val="24"/>
                <w:u w:color="000000"/>
                <w:lang w:val="zh-TW"/>
              </w:rPr>
            </w:pPr>
          </w:p>
          <w:p w14:paraId="57DDA47B">
            <w:pPr>
              <w:spacing w:line="360" w:lineRule="auto"/>
              <w:rPr>
                <w:rFonts w:ascii="Times New Roman" w:hAnsi="Times New Roman" w:eastAsia="黑体" w:cs="黑体"/>
                <w:color w:val="000000"/>
                <w:sz w:val="24"/>
                <w:szCs w:val="24"/>
                <w:u w:color="000000"/>
                <w:lang w:val="zh-TW"/>
              </w:rPr>
            </w:pPr>
          </w:p>
          <w:p w14:paraId="554BB4E9">
            <w:pPr>
              <w:wordWrap w:val="0"/>
              <w:spacing w:line="360" w:lineRule="auto"/>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年  月  日</w:t>
            </w:r>
          </w:p>
        </w:tc>
      </w:tr>
      <w:tr w14:paraId="32E6E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1" w:hRule="atLeast"/>
        </w:trPr>
        <w:tc>
          <w:tcPr>
            <w:tcW w:w="8102" w:type="dxa"/>
            <w:gridSpan w:val="5"/>
          </w:tcPr>
          <w:p w14:paraId="2C627CE3">
            <w:pPr>
              <w:spacing w:line="360" w:lineRule="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评价工作负责人（签字）：</w:t>
            </w:r>
          </w:p>
          <w:p w14:paraId="64B8DC3B">
            <w:pPr>
              <w:spacing w:line="360" w:lineRule="auto"/>
              <w:rPr>
                <w:rFonts w:ascii="Times New Roman" w:hAnsi="Times New Roman" w:eastAsia="黑体" w:cs="黑体"/>
                <w:color w:val="000000"/>
                <w:sz w:val="24"/>
                <w:szCs w:val="24"/>
                <w:u w:color="000000"/>
                <w:lang w:val="zh-TW"/>
              </w:rPr>
            </w:pPr>
          </w:p>
          <w:p w14:paraId="2EFFAE8B">
            <w:pPr>
              <w:spacing w:line="360" w:lineRule="auto"/>
              <w:rPr>
                <w:rFonts w:ascii="Times New Roman" w:hAnsi="Times New Roman" w:eastAsia="黑体" w:cs="黑体"/>
                <w:color w:val="000000"/>
                <w:sz w:val="24"/>
                <w:szCs w:val="24"/>
                <w:u w:color="000000"/>
                <w:lang w:val="zh-TW"/>
              </w:rPr>
            </w:pPr>
          </w:p>
          <w:p w14:paraId="10BB3055">
            <w:pPr>
              <w:wordWrap w:val="0"/>
              <w:spacing w:line="360" w:lineRule="auto"/>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年  月  日</w:t>
            </w:r>
          </w:p>
        </w:tc>
      </w:tr>
    </w:tbl>
    <w:p w14:paraId="2D6F9581">
      <w:pPr>
        <w:widowControl/>
        <w:shd w:val="clear" w:color="auto" w:fill="FFFFFF"/>
        <w:jc w:val="center"/>
        <w:rPr>
          <w:rFonts w:ascii="宋体" w:hAnsi="宋体" w:eastAsia="宋体" w:cs="宋体"/>
          <w:color w:val="333333"/>
          <w:kern w:val="0"/>
          <w:szCs w:val="21"/>
        </w:rPr>
      </w:pPr>
    </w:p>
    <w:p w14:paraId="786CE460">
      <w:pPr>
        <w:widowControl/>
        <w:shd w:val="clear" w:color="auto" w:fill="FFFFFF"/>
        <w:jc w:val="center"/>
        <w:rPr>
          <w:rFonts w:ascii="宋体" w:hAnsi="宋体" w:eastAsia="宋体" w:cs="宋体"/>
          <w:color w:val="333333"/>
          <w:kern w:val="0"/>
          <w:szCs w:val="21"/>
        </w:rPr>
      </w:pPr>
    </w:p>
    <w:p w14:paraId="7530C78D">
      <w:pPr>
        <w:widowControl/>
        <w:shd w:val="clear" w:color="auto" w:fill="FFFFFF"/>
        <w:jc w:val="center"/>
        <w:rPr>
          <w:rFonts w:ascii="宋体" w:hAnsi="宋体" w:eastAsia="宋体" w:cs="宋体"/>
          <w:color w:val="333333"/>
          <w:kern w:val="0"/>
          <w:szCs w:val="21"/>
        </w:rPr>
      </w:pPr>
    </w:p>
    <w:p w14:paraId="4E06CADF">
      <w:pPr>
        <w:widowControl/>
        <w:shd w:val="clear" w:color="auto" w:fill="FFFFFF"/>
        <w:jc w:val="center"/>
        <w:rPr>
          <w:rFonts w:ascii="宋体" w:hAnsi="宋体" w:eastAsia="宋体" w:cs="宋体"/>
          <w:color w:val="333333"/>
          <w:kern w:val="0"/>
          <w:szCs w:val="21"/>
        </w:rPr>
      </w:pPr>
    </w:p>
    <w:p w14:paraId="7861FE75">
      <w:pPr>
        <w:widowControl/>
        <w:shd w:val="clear" w:color="auto" w:fill="FFFFFF"/>
        <w:jc w:val="center"/>
        <w:rPr>
          <w:rFonts w:ascii="宋体" w:hAnsi="宋体" w:eastAsia="宋体" w:cs="宋体"/>
          <w:color w:val="333333"/>
          <w:kern w:val="0"/>
          <w:szCs w:val="21"/>
        </w:rPr>
      </w:pPr>
    </w:p>
    <w:p w14:paraId="2B60FA24">
      <w:pPr>
        <w:widowControl/>
        <w:shd w:val="clear" w:color="auto" w:fill="FFFFFF"/>
        <w:jc w:val="center"/>
        <w:rPr>
          <w:rFonts w:ascii="宋体" w:hAnsi="宋体" w:eastAsia="宋体" w:cs="宋体"/>
          <w:color w:val="333333"/>
          <w:kern w:val="0"/>
          <w:szCs w:val="21"/>
        </w:rPr>
      </w:pPr>
    </w:p>
    <w:p w14:paraId="5C6C3B1F">
      <w:pPr>
        <w:widowControl/>
        <w:shd w:val="clear" w:color="auto" w:fill="FFFFFF"/>
        <w:jc w:val="center"/>
        <w:rPr>
          <w:rFonts w:ascii="宋体" w:hAnsi="宋体" w:eastAsia="宋体" w:cs="宋体"/>
          <w:color w:val="333333"/>
          <w:kern w:val="0"/>
          <w:szCs w:val="21"/>
        </w:rPr>
      </w:pPr>
    </w:p>
    <w:p w14:paraId="0F57B7C5">
      <w:pPr>
        <w:widowControl/>
        <w:shd w:val="clear" w:color="auto" w:fill="FFFFFF"/>
        <w:jc w:val="center"/>
        <w:rPr>
          <w:rFonts w:ascii="宋体" w:hAnsi="宋体" w:eastAsia="宋体" w:cs="宋体"/>
          <w:color w:val="333333"/>
          <w:kern w:val="0"/>
          <w:szCs w:val="21"/>
        </w:rPr>
      </w:pPr>
    </w:p>
    <w:p w14:paraId="54CDF010">
      <w:pPr>
        <w:widowControl/>
        <w:shd w:val="clear" w:color="auto" w:fill="FFFFFF"/>
        <w:jc w:val="center"/>
        <w:rPr>
          <w:rFonts w:ascii="宋体" w:hAnsi="宋体" w:eastAsia="宋体" w:cs="宋体"/>
          <w:color w:val="333333"/>
          <w:kern w:val="0"/>
          <w:szCs w:val="21"/>
        </w:rPr>
      </w:pPr>
    </w:p>
    <w:p w14:paraId="1A3E67B0">
      <w:pPr>
        <w:widowControl/>
        <w:shd w:val="clear" w:color="auto" w:fill="FFFFFF"/>
        <w:jc w:val="center"/>
        <w:rPr>
          <w:rFonts w:ascii="宋体" w:hAnsi="宋体" w:eastAsia="宋体" w:cs="宋体"/>
          <w:color w:val="333333"/>
          <w:kern w:val="0"/>
          <w:szCs w:val="21"/>
        </w:rPr>
      </w:pPr>
    </w:p>
    <w:p w14:paraId="2DBB6E2E">
      <w:pPr>
        <w:widowControl/>
        <w:shd w:val="clear" w:color="auto" w:fill="FFFFFF"/>
        <w:jc w:val="center"/>
        <w:rPr>
          <w:rFonts w:ascii="宋体" w:hAnsi="宋体" w:eastAsia="宋体" w:cs="宋体"/>
          <w:color w:val="333333"/>
          <w:kern w:val="0"/>
          <w:szCs w:val="21"/>
        </w:rPr>
      </w:pPr>
    </w:p>
    <w:p w14:paraId="4CE7D491">
      <w:pPr>
        <w:widowControl/>
        <w:shd w:val="clear" w:color="auto" w:fill="FFFFFF"/>
        <w:jc w:val="center"/>
        <w:rPr>
          <w:rFonts w:ascii="宋体" w:hAnsi="宋体" w:eastAsia="宋体" w:cs="宋体"/>
          <w:color w:val="333333"/>
          <w:kern w:val="0"/>
          <w:szCs w:val="21"/>
        </w:rPr>
      </w:pPr>
    </w:p>
    <w:p w14:paraId="5492D9D3">
      <w:pPr>
        <w:widowControl/>
        <w:shd w:val="clear" w:color="auto" w:fill="FFFFFF"/>
        <w:jc w:val="center"/>
        <w:rPr>
          <w:rFonts w:ascii="宋体" w:hAnsi="宋体" w:eastAsia="宋体" w:cs="宋体"/>
          <w:color w:val="333333"/>
          <w:kern w:val="0"/>
          <w:szCs w:val="21"/>
        </w:rPr>
      </w:pPr>
    </w:p>
    <w:p w14:paraId="2B45CC77">
      <w:pPr>
        <w:widowControl/>
        <w:shd w:val="clear" w:color="auto" w:fill="FFFFFF"/>
        <w:jc w:val="center"/>
        <w:rPr>
          <w:rFonts w:ascii="宋体" w:hAnsi="宋体" w:eastAsia="宋体" w:cs="宋体"/>
          <w:color w:val="333333"/>
          <w:kern w:val="0"/>
          <w:szCs w:val="21"/>
        </w:rPr>
      </w:pPr>
    </w:p>
    <w:p w14:paraId="59B2F412">
      <w:pPr>
        <w:widowControl/>
        <w:shd w:val="clear" w:color="auto" w:fill="FFFFFF"/>
        <w:jc w:val="center"/>
        <w:rPr>
          <w:rFonts w:ascii="黑体" w:hAnsi="黑体" w:eastAsia="黑体" w:cs="黑体"/>
          <w:color w:val="333333"/>
          <w:kern w:val="0"/>
          <w:szCs w:val="21"/>
        </w:rPr>
      </w:pPr>
    </w:p>
    <w:p w14:paraId="58F81193">
      <w:pPr>
        <w:pStyle w:val="7"/>
        <w:spacing w:line="440" w:lineRule="exact"/>
        <w:rPr>
          <w:rStyle w:val="13"/>
          <w:rFonts w:ascii="黑体" w:hAnsi="黑体" w:cs="黑体"/>
          <w:color w:val="auto"/>
          <w:u w:val="none"/>
        </w:rPr>
      </w:pPr>
      <w:r>
        <w:rPr>
          <w:rStyle w:val="13"/>
          <w:rFonts w:hint="eastAsia" w:ascii="黑体" w:hAnsi="黑体" w:cs="黑体"/>
          <w:color w:val="auto"/>
          <w:u w:val="none"/>
        </w:rPr>
        <w:t>目录</w:t>
      </w:r>
    </w:p>
    <w:p w14:paraId="1BABBCAB">
      <w:pPr>
        <w:spacing w:line="440" w:lineRule="exact"/>
        <w:rPr>
          <w:rFonts w:ascii="黑体" w:hAnsi="黑体" w:eastAsia="黑体" w:cs="黑体"/>
          <w:sz w:val="18"/>
        </w:rPr>
      </w:pPr>
    </w:p>
    <w:p w14:paraId="2D992B15">
      <w:pPr>
        <w:pStyle w:val="7"/>
        <w:spacing w:line="440" w:lineRule="exact"/>
        <w:rPr>
          <w:rStyle w:val="13"/>
          <w:rFonts w:ascii="黑体" w:hAnsi="黑体" w:cs="黑体"/>
          <w:color w:val="auto"/>
          <w:sz w:val="28"/>
          <w:u w:val="none"/>
        </w:rPr>
      </w:pPr>
      <w:r>
        <w:rPr>
          <w:rStyle w:val="13"/>
          <w:rFonts w:hint="eastAsia" w:ascii="黑体" w:hAnsi="黑体" w:cs="黑体"/>
          <w:color w:val="auto"/>
          <w:sz w:val="28"/>
          <w:u w:val="none"/>
        </w:rPr>
        <w:t>摘要</w:t>
      </w:r>
    </w:p>
    <w:p w14:paraId="109D3F94">
      <w:pPr>
        <w:pStyle w:val="7"/>
        <w:tabs>
          <w:tab w:val="right" w:leader="dot" w:pos="8306"/>
          <w:tab w:val="clear" w:pos="8296"/>
        </w:tabs>
        <w:spacing w:line="440" w:lineRule="exact"/>
        <w:rPr>
          <w:rFonts w:ascii="黑体" w:hAnsi="黑体" w:cs="黑体"/>
          <w:sz w:val="28"/>
          <w:szCs w:val="28"/>
        </w:rPr>
      </w:pPr>
      <w:r>
        <w:rPr>
          <w:rStyle w:val="13"/>
          <w:rFonts w:hint="eastAsia"/>
        </w:rPr>
        <w:fldChar w:fldCharType="begin"/>
      </w:r>
      <w:r>
        <w:rPr>
          <w:rStyle w:val="13"/>
          <w:rFonts w:hint="eastAsia" w:ascii="黑体" w:hAnsi="黑体" w:cs="黑体"/>
          <w:sz w:val="28"/>
          <w:szCs w:val="28"/>
        </w:rPr>
        <w:instrText xml:space="preserve">TOC \o "1-2" \h \z \u</w:instrText>
      </w:r>
      <w:r>
        <w:rPr>
          <w:rStyle w:val="13"/>
          <w:rFonts w:hint="eastAsia"/>
        </w:rPr>
        <w:fldChar w:fldCharType="separate"/>
      </w:r>
      <w:r>
        <w:fldChar w:fldCharType="begin"/>
      </w:r>
      <w:r>
        <w:instrText xml:space="preserve"> HYPERLINK \l "_Toc15525" </w:instrText>
      </w:r>
      <w:r>
        <w:fldChar w:fldCharType="separate"/>
      </w:r>
      <w:r>
        <w:rPr>
          <w:rFonts w:hint="eastAsia" w:ascii="黑体" w:hAnsi="黑体" w:cs="黑体"/>
          <w:kern w:val="44"/>
          <w:sz w:val="28"/>
          <w:szCs w:val="28"/>
        </w:rPr>
        <w:t>一、项目概况</w:t>
      </w:r>
      <w:r>
        <w:rPr>
          <w:rFonts w:hint="eastAsia" w:ascii="黑体" w:hAnsi="黑体" w:cs="黑体"/>
          <w:sz w:val="28"/>
          <w:szCs w:val="28"/>
        </w:rPr>
        <w:tab/>
      </w:r>
      <w:r>
        <w:rPr>
          <w:rFonts w:hint="eastAsia" w:ascii="黑体" w:hAnsi="黑体" w:cs="黑体"/>
          <w:sz w:val="28"/>
          <w:szCs w:val="28"/>
        </w:rPr>
        <w:fldChar w:fldCharType="begin"/>
      </w:r>
      <w:r>
        <w:rPr>
          <w:rFonts w:hint="eastAsia" w:ascii="黑体" w:hAnsi="黑体" w:cs="黑体"/>
          <w:sz w:val="28"/>
          <w:szCs w:val="28"/>
        </w:rPr>
        <w:instrText xml:space="preserve"> PAGEREF _Toc15525 </w:instrText>
      </w:r>
      <w:r>
        <w:rPr>
          <w:rFonts w:hint="eastAsia" w:ascii="黑体" w:hAnsi="黑体" w:cs="黑体"/>
          <w:sz w:val="28"/>
          <w:szCs w:val="28"/>
        </w:rPr>
        <w:fldChar w:fldCharType="separate"/>
      </w:r>
      <w:r>
        <w:rPr>
          <w:rFonts w:hint="eastAsia" w:ascii="黑体" w:hAnsi="黑体" w:cs="黑体"/>
          <w:sz w:val="28"/>
          <w:szCs w:val="28"/>
        </w:rPr>
        <w:t>4</w:t>
      </w:r>
      <w:r>
        <w:rPr>
          <w:rFonts w:hint="eastAsia" w:ascii="黑体" w:hAnsi="黑体" w:cs="黑体"/>
          <w:sz w:val="28"/>
          <w:szCs w:val="28"/>
        </w:rPr>
        <w:fldChar w:fldCharType="end"/>
      </w:r>
      <w:r>
        <w:rPr>
          <w:rFonts w:hint="eastAsia" w:ascii="黑体" w:hAnsi="黑体" w:cs="黑体"/>
          <w:sz w:val="28"/>
          <w:szCs w:val="28"/>
        </w:rPr>
        <w:fldChar w:fldCharType="end"/>
      </w:r>
    </w:p>
    <w:p w14:paraId="2160BFC3">
      <w:pPr>
        <w:pStyle w:val="8"/>
        <w:tabs>
          <w:tab w:val="right" w:leader="dot" w:pos="8306"/>
        </w:tabs>
        <w:spacing w:line="440" w:lineRule="exact"/>
        <w:rPr>
          <w:rFonts w:ascii="黑体" w:hAnsi="黑体" w:eastAsia="黑体" w:cs="黑体"/>
          <w:sz w:val="28"/>
          <w:szCs w:val="28"/>
        </w:rPr>
      </w:pPr>
      <w:r>
        <w:fldChar w:fldCharType="begin"/>
      </w:r>
      <w:r>
        <w:instrText xml:space="preserve"> HYPERLINK \l "_Toc26348" </w:instrText>
      </w:r>
      <w:r>
        <w:fldChar w:fldCharType="separate"/>
      </w:r>
      <w:r>
        <w:rPr>
          <w:rFonts w:hint="eastAsia" w:ascii="黑体" w:hAnsi="黑体" w:eastAsia="黑体" w:cs="黑体"/>
          <w:sz w:val="28"/>
          <w:szCs w:val="28"/>
        </w:rPr>
        <w:t>（一）项目立项背景及目的</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_Toc26348 </w:instrText>
      </w:r>
      <w:r>
        <w:rPr>
          <w:rFonts w:hint="eastAsia" w:ascii="黑体" w:hAnsi="黑体" w:eastAsia="黑体" w:cs="黑体"/>
          <w:sz w:val="28"/>
          <w:szCs w:val="28"/>
        </w:rPr>
        <w:fldChar w:fldCharType="separate"/>
      </w:r>
      <w:r>
        <w:rPr>
          <w:rFonts w:hint="eastAsia" w:ascii="黑体" w:hAnsi="黑体" w:eastAsia="黑体" w:cs="黑体"/>
          <w:sz w:val="28"/>
          <w:szCs w:val="28"/>
        </w:rPr>
        <w:t>4</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44B165E9">
      <w:pPr>
        <w:pStyle w:val="8"/>
        <w:tabs>
          <w:tab w:val="right" w:leader="dot" w:pos="8306"/>
        </w:tabs>
        <w:spacing w:line="440" w:lineRule="exact"/>
        <w:rPr>
          <w:rFonts w:ascii="黑体" w:hAnsi="黑体" w:eastAsia="黑体" w:cs="黑体"/>
          <w:sz w:val="28"/>
          <w:szCs w:val="28"/>
        </w:rPr>
      </w:pPr>
      <w:r>
        <w:fldChar w:fldCharType="begin"/>
      </w:r>
      <w:r>
        <w:instrText xml:space="preserve"> HYPERLINK \l "_Toc18198" </w:instrText>
      </w:r>
      <w:r>
        <w:fldChar w:fldCharType="separate"/>
      </w:r>
      <w:r>
        <w:rPr>
          <w:rFonts w:hint="eastAsia" w:ascii="黑体" w:hAnsi="黑体" w:eastAsia="黑体" w:cs="黑体"/>
          <w:sz w:val="28"/>
          <w:szCs w:val="28"/>
        </w:rPr>
        <w:t>（二）预算收支情况</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_Toc18198 </w:instrText>
      </w:r>
      <w:r>
        <w:rPr>
          <w:rFonts w:hint="eastAsia" w:ascii="黑体" w:hAnsi="黑体" w:eastAsia="黑体" w:cs="黑体"/>
          <w:sz w:val="28"/>
          <w:szCs w:val="28"/>
        </w:rPr>
        <w:fldChar w:fldCharType="separate"/>
      </w:r>
      <w:r>
        <w:rPr>
          <w:rFonts w:hint="eastAsia" w:ascii="黑体" w:hAnsi="黑体" w:eastAsia="黑体" w:cs="黑体"/>
          <w:sz w:val="28"/>
          <w:szCs w:val="28"/>
        </w:rPr>
        <w:t>4</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7F9E8F50">
      <w:pPr>
        <w:pStyle w:val="7"/>
        <w:tabs>
          <w:tab w:val="right" w:leader="dot" w:pos="8306"/>
          <w:tab w:val="clear" w:pos="8296"/>
        </w:tabs>
        <w:spacing w:line="440" w:lineRule="exact"/>
        <w:rPr>
          <w:rFonts w:ascii="黑体" w:hAnsi="黑体" w:cs="黑体"/>
          <w:sz w:val="28"/>
          <w:szCs w:val="28"/>
        </w:rPr>
      </w:pPr>
      <w:r>
        <w:fldChar w:fldCharType="begin"/>
      </w:r>
      <w:r>
        <w:instrText xml:space="preserve"> HYPERLINK \l "_Toc9801" </w:instrText>
      </w:r>
      <w:r>
        <w:fldChar w:fldCharType="separate"/>
      </w:r>
      <w:r>
        <w:rPr>
          <w:rFonts w:hint="eastAsia" w:ascii="黑体" w:hAnsi="黑体" w:cs="黑体"/>
          <w:kern w:val="44"/>
          <w:sz w:val="28"/>
          <w:szCs w:val="28"/>
        </w:rPr>
        <w:t>二、评价结论</w:t>
      </w:r>
      <w:r>
        <w:rPr>
          <w:rFonts w:hint="eastAsia" w:ascii="黑体" w:hAnsi="黑体" w:cs="黑体"/>
          <w:sz w:val="28"/>
          <w:szCs w:val="28"/>
        </w:rPr>
        <w:tab/>
      </w:r>
      <w:r>
        <w:rPr>
          <w:rFonts w:hint="eastAsia" w:ascii="黑体" w:hAnsi="黑体" w:cs="黑体"/>
          <w:sz w:val="28"/>
          <w:szCs w:val="28"/>
        </w:rPr>
        <w:fldChar w:fldCharType="begin"/>
      </w:r>
      <w:r>
        <w:rPr>
          <w:rFonts w:hint="eastAsia" w:ascii="黑体" w:hAnsi="黑体" w:cs="黑体"/>
          <w:sz w:val="28"/>
          <w:szCs w:val="28"/>
        </w:rPr>
        <w:instrText xml:space="preserve"> PAGEREF _Toc9801 </w:instrText>
      </w:r>
      <w:r>
        <w:rPr>
          <w:rFonts w:hint="eastAsia" w:ascii="黑体" w:hAnsi="黑体" w:cs="黑体"/>
          <w:sz w:val="28"/>
          <w:szCs w:val="28"/>
        </w:rPr>
        <w:fldChar w:fldCharType="separate"/>
      </w:r>
      <w:r>
        <w:rPr>
          <w:rFonts w:hint="eastAsia" w:ascii="黑体" w:hAnsi="黑体" w:cs="黑体"/>
          <w:sz w:val="28"/>
          <w:szCs w:val="28"/>
        </w:rPr>
        <w:t>4</w:t>
      </w:r>
      <w:r>
        <w:rPr>
          <w:rFonts w:hint="eastAsia" w:ascii="黑体" w:hAnsi="黑体" w:cs="黑体"/>
          <w:sz w:val="28"/>
          <w:szCs w:val="28"/>
        </w:rPr>
        <w:fldChar w:fldCharType="end"/>
      </w:r>
      <w:r>
        <w:rPr>
          <w:rFonts w:hint="eastAsia" w:ascii="黑体" w:hAnsi="黑体" w:cs="黑体"/>
          <w:sz w:val="28"/>
          <w:szCs w:val="28"/>
        </w:rPr>
        <w:fldChar w:fldCharType="end"/>
      </w:r>
    </w:p>
    <w:p w14:paraId="6E2066A8">
      <w:pPr>
        <w:pStyle w:val="7"/>
        <w:tabs>
          <w:tab w:val="right" w:leader="dot" w:pos="8306"/>
          <w:tab w:val="clear" w:pos="8296"/>
        </w:tabs>
        <w:spacing w:line="440" w:lineRule="exact"/>
        <w:rPr>
          <w:rFonts w:ascii="黑体" w:hAnsi="黑体" w:cs="黑体"/>
          <w:sz w:val="28"/>
          <w:szCs w:val="28"/>
        </w:rPr>
      </w:pPr>
      <w:r>
        <w:fldChar w:fldCharType="begin"/>
      </w:r>
      <w:r>
        <w:instrText xml:space="preserve"> HYPERLINK \l "_Toc29580" </w:instrText>
      </w:r>
      <w:r>
        <w:fldChar w:fldCharType="separate"/>
      </w:r>
      <w:r>
        <w:rPr>
          <w:rFonts w:hint="eastAsia" w:ascii="黑体" w:hAnsi="黑体" w:cs="黑体"/>
          <w:kern w:val="44"/>
          <w:sz w:val="28"/>
          <w:szCs w:val="28"/>
        </w:rPr>
        <w:t>三、经验、问题和建议</w:t>
      </w:r>
      <w:r>
        <w:rPr>
          <w:rFonts w:hint="eastAsia" w:ascii="黑体" w:hAnsi="黑体" w:cs="黑体"/>
          <w:sz w:val="28"/>
          <w:szCs w:val="28"/>
        </w:rPr>
        <w:tab/>
      </w:r>
      <w:r>
        <w:rPr>
          <w:rFonts w:hint="eastAsia" w:ascii="黑体" w:hAnsi="黑体" w:cs="黑体"/>
          <w:sz w:val="28"/>
          <w:szCs w:val="28"/>
        </w:rPr>
        <w:fldChar w:fldCharType="begin"/>
      </w:r>
      <w:r>
        <w:rPr>
          <w:rFonts w:hint="eastAsia" w:ascii="黑体" w:hAnsi="黑体" w:cs="黑体"/>
          <w:sz w:val="28"/>
          <w:szCs w:val="28"/>
        </w:rPr>
        <w:instrText xml:space="preserve"> PAGEREF _Toc29580 </w:instrText>
      </w:r>
      <w:r>
        <w:rPr>
          <w:rFonts w:hint="eastAsia" w:ascii="黑体" w:hAnsi="黑体" w:cs="黑体"/>
          <w:sz w:val="28"/>
          <w:szCs w:val="28"/>
        </w:rPr>
        <w:fldChar w:fldCharType="separate"/>
      </w:r>
      <w:r>
        <w:rPr>
          <w:rFonts w:hint="eastAsia" w:ascii="黑体" w:hAnsi="黑体" w:cs="黑体"/>
          <w:sz w:val="28"/>
          <w:szCs w:val="28"/>
        </w:rPr>
        <w:t>5</w:t>
      </w:r>
      <w:r>
        <w:rPr>
          <w:rFonts w:hint="eastAsia" w:ascii="黑体" w:hAnsi="黑体" w:cs="黑体"/>
          <w:sz w:val="28"/>
          <w:szCs w:val="28"/>
        </w:rPr>
        <w:fldChar w:fldCharType="end"/>
      </w:r>
      <w:r>
        <w:rPr>
          <w:rFonts w:hint="eastAsia" w:ascii="黑体" w:hAnsi="黑体" w:cs="黑体"/>
          <w:sz w:val="28"/>
          <w:szCs w:val="28"/>
        </w:rPr>
        <w:fldChar w:fldCharType="end"/>
      </w:r>
    </w:p>
    <w:p w14:paraId="0CFB6D8A">
      <w:pPr>
        <w:pStyle w:val="8"/>
        <w:tabs>
          <w:tab w:val="right" w:leader="dot" w:pos="8306"/>
        </w:tabs>
        <w:spacing w:line="440" w:lineRule="exact"/>
        <w:rPr>
          <w:rFonts w:ascii="黑体" w:hAnsi="黑体" w:eastAsia="黑体" w:cs="黑体"/>
          <w:sz w:val="28"/>
          <w:szCs w:val="28"/>
        </w:rPr>
      </w:pPr>
      <w:r>
        <w:fldChar w:fldCharType="begin"/>
      </w:r>
      <w:r>
        <w:instrText xml:space="preserve"> HYPERLINK \l "_Toc19810" </w:instrText>
      </w:r>
      <w:r>
        <w:fldChar w:fldCharType="separate"/>
      </w:r>
      <w:r>
        <w:rPr>
          <w:rFonts w:hint="eastAsia" w:ascii="黑体" w:hAnsi="黑体" w:eastAsia="黑体" w:cs="黑体"/>
          <w:sz w:val="28"/>
          <w:szCs w:val="28"/>
        </w:rPr>
        <w:t>（一）主要经验及做法</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_Toc19810 </w:instrText>
      </w:r>
      <w:r>
        <w:rPr>
          <w:rFonts w:hint="eastAsia" w:ascii="黑体" w:hAnsi="黑体" w:eastAsia="黑体" w:cs="黑体"/>
          <w:sz w:val="28"/>
          <w:szCs w:val="28"/>
        </w:rPr>
        <w:fldChar w:fldCharType="separate"/>
      </w:r>
      <w:r>
        <w:rPr>
          <w:rFonts w:hint="eastAsia" w:ascii="黑体" w:hAnsi="黑体" w:eastAsia="黑体" w:cs="黑体"/>
          <w:sz w:val="28"/>
          <w:szCs w:val="28"/>
        </w:rPr>
        <w:t>5</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4F69AE53">
      <w:pPr>
        <w:pStyle w:val="8"/>
        <w:tabs>
          <w:tab w:val="right" w:leader="dot" w:pos="8306"/>
        </w:tabs>
        <w:spacing w:line="440" w:lineRule="exact"/>
        <w:rPr>
          <w:rFonts w:ascii="黑体" w:hAnsi="黑体" w:eastAsia="黑体" w:cs="黑体"/>
          <w:sz w:val="28"/>
          <w:szCs w:val="28"/>
        </w:rPr>
      </w:pPr>
      <w:r>
        <w:fldChar w:fldCharType="begin"/>
      </w:r>
      <w:r>
        <w:instrText xml:space="preserve"> HYPERLINK \l "_Toc13426" </w:instrText>
      </w:r>
      <w:r>
        <w:fldChar w:fldCharType="separate"/>
      </w:r>
      <w:r>
        <w:rPr>
          <w:rFonts w:hint="eastAsia" w:ascii="黑体" w:hAnsi="黑体" w:eastAsia="黑体" w:cs="黑体"/>
          <w:sz w:val="28"/>
          <w:szCs w:val="28"/>
        </w:rPr>
        <w:t>（二）存在的问题</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_Toc13426 </w:instrText>
      </w:r>
      <w:r>
        <w:rPr>
          <w:rFonts w:hint="eastAsia" w:ascii="黑体" w:hAnsi="黑体" w:eastAsia="黑体" w:cs="黑体"/>
          <w:sz w:val="28"/>
          <w:szCs w:val="28"/>
        </w:rPr>
        <w:fldChar w:fldCharType="separate"/>
      </w:r>
      <w:r>
        <w:rPr>
          <w:rFonts w:hint="eastAsia" w:ascii="黑体" w:hAnsi="黑体" w:eastAsia="黑体" w:cs="黑体"/>
          <w:sz w:val="28"/>
          <w:szCs w:val="28"/>
        </w:rPr>
        <w:t>5</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22B3707C">
      <w:pPr>
        <w:pStyle w:val="8"/>
        <w:tabs>
          <w:tab w:val="right" w:leader="dot" w:pos="8306"/>
        </w:tabs>
        <w:spacing w:line="440" w:lineRule="exact"/>
        <w:rPr>
          <w:rFonts w:ascii="黑体" w:hAnsi="黑体" w:eastAsia="黑体" w:cs="黑体"/>
          <w:sz w:val="28"/>
          <w:szCs w:val="28"/>
        </w:rPr>
      </w:pPr>
      <w:r>
        <w:fldChar w:fldCharType="begin"/>
      </w:r>
      <w:r>
        <w:instrText xml:space="preserve"> HYPERLINK \l "_Toc13630" </w:instrText>
      </w:r>
      <w:r>
        <w:fldChar w:fldCharType="separate"/>
      </w:r>
      <w:r>
        <w:rPr>
          <w:rFonts w:hint="eastAsia" w:ascii="黑体" w:hAnsi="黑体" w:eastAsia="黑体" w:cs="黑体"/>
          <w:sz w:val="28"/>
          <w:szCs w:val="28"/>
        </w:rPr>
        <w:t>（三）建议和改进措施</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_Toc13630 </w:instrText>
      </w:r>
      <w:r>
        <w:rPr>
          <w:rFonts w:hint="eastAsia" w:ascii="黑体" w:hAnsi="黑体" w:eastAsia="黑体" w:cs="黑体"/>
          <w:sz w:val="28"/>
          <w:szCs w:val="28"/>
        </w:rPr>
        <w:fldChar w:fldCharType="separate"/>
      </w:r>
      <w:r>
        <w:rPr>
          <w:rFonts w:hint="eastAsia" w:ascii="黑体" w:hAnsi="黑体" w:eastAsia="黑体" w:cs="黑体"/>
          <w:sz w:val="28"/>
          <w:szCs w:val="28"/>
        </w:rPr>
        <w:t>6</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79B770E7">
      <w:pPr>
        <w:pStyle w:val="7"/>
        <w:tabs>
          <w:tab w:val="right" w:leader="dot" w:pos="8306"/>
          <w:tab w:val="clear" w:pos="8296"/>
        </w:tabs>
        <w:spacing w:line="440" w:lineRule="exact"/>
        <w:rPr>
          <w:rStyle w:val="13"/>
          <w:rFonts w:ascii="黑体" w:hAnsi="黑体" w:cs="黑体"/>
          <w:color w:val="auto"/>
          <w:sz w:val="28"/>
          <w:szCs w:val="28"/>
          <w:u w:val="none"/>
        </w:rPr>
      </w:pPr>
      <w:r>
        <w:rPr>
          <w:rStyle w:val="13"/>
          <w:rFonts w:hint="eastAsia" w:ascii="黑体" w:hAnsi="黑体" w:cs="黑体"/>
          <w:color w:val="auto"/>
          <w:sz w:val="28"/>
          <w:szCs w:val="28"/>
          <w:u w:val="none"/>
        </w:rPr>
        <w:t>正文</w:t>
      </w:r>
    </w:p>
    <w:p w14:paraId="33365697">
      <w:pPr>
        <w:pStyle w:val="7"/>
        <w:tabs>
          <w:tab w:val="right" w:leader="dot" w:pos="8306"/>
          <w:tab w:val="clear" w:pos="8296"/>
        </w:tabs>
        <w:spacing w:line="440" w:lineRule="exact"/>
        <w:rPr>
          <w:rFonts w:ascii="黑体" w:hAnsi="黑体" w:cs="黑体"/>
          <w:sz w:val="28"/>
          <w:szCs w:val="28"/>
        </w:rPr>
      </w:pPr>
      <w:r>
        <w:fldChar w:fldCharType="begin"/>
      </w:r>
      <w:r>
        <w:instrText xml:space="preserve"> HYPERLINK \l "_Toc5587" </w:instrText>
      </w:r>
      <w:r>
        <w:fldChar w:fldCharType="separate"/>
      </w:r>
      <w:r>
        <w:rPr>
          <w:rFonts w:hint="eastAsia" w:ascii="黑体" w:hAnsi="黑体" w:cs="黑体"/>
          <w:kern w:val="44"/>
          <w:sz w:val="28"/>
          <w:szCs w:val="28"/>
        </w:rPr>
        <w:t>一、项目基本情况</w:t>
      </w:r>
      <w:r>
        <w:rPr>
          <w:rFonts w:hint="eastAsia" w:ascii="黑体" w:hAnsi="黑体" w:cs="黑体"/>
          <w:sz w:val="28"/>
          <w:szCs w:val="28"/>
        </w:rPr>
        <w:tab/>
      </w:r>
      <w:r>
        <w:rPr>
          <w:rFonts w:hint="eastAsia" w:ascii="黑体" w:hAnsi="黑体" w:cs="黑体"/>
          <w:sz w:val="28"/>
          <w:szCs w:val="28"/>
        </w:rPr>
        <w:fldChar w:fldCharType="begin"/>
      </w:r>
      <w:r>
        <w:rPr>
          <w:rFonts w:hint="eastAsia" w:ascii="黑体" w:hAnsi="黑体" w:cs="黑体"/>
          <w:sz w:val="28"/>
          <w:szCs w:val="28"/>
        </w:rPr>
        <w:instrText xml:space="preserve"> PAGEREF _Toc5587 </w:instrText>
      </w:r>
      <w:r>
        <w:rPr>
          <w:rFonts w:hint="eastAsia" w:ascii="黑体" w:hAnsi="黑体" w:cs="黑体"/>
          <w:sz w:val="28"/>
          <w:szCs w:val="28"/>
        </w:rPr>
        <w:fldChar w:fldCharType="separate"/>
      </w:r>
      <w:r>
        <w:rPr>
          <w:rFonts w:hint="eastAsia" w:ascii="黑体" w:hAnsi="黑体" w:cs="黑体"/>
          <w:sz w:val="28"/>
          <w:szCs w:val="28"/>
        </w:rPr>
        <w:t>7</w:t>
      </w:r>
      <w:r>
        <w:rPr>
          <w:rFonts w:hint="eastAsia" w:ascii="黑体" w:hAnsi="黑体" w:cs="黑体"/>
          <w:sz w:val="28"/>
          <w:szCs w:val="28"/>
        </w:rPr>
        <w:fldChar w:fldCharType="end"/>
      </w:r>
      <w:r>
        <w:rPr>
          <w:rFonts w:hint="eastAsia" w:ascii="黑体" w:hAnsi="黑体" w:cs="黑体"/>
          <w:sz w:val="28"/>
          <w:szCs w:val="28"/>
        </w:rPr>
        <w:fldChar w:fldCharType="end"/>
      </w:r>
    </w:p>
    <w:p w14:paraId="2D4D934B">
      <w:pPr>
        <w:pStyle w:val="8"/>
        <w:tabs>
          <w:tab w:val="right" w:leader="dot" w:pos="8306"/>
        </w:tabs>
        <w:spacing w:line="440" w:lineRule="exact"/>
        <w:rPr>
          <w:rFonts w:ascii="黑体" w:hAnsi="黑体" w:eastAsia="黑体" w:cs="黑体"/>
          <w:sz w:val="28"/>
          <w:szCs w:val="28"/>
        </w:rPr>
      </w:pPr>
      <w:r>
        <w:fldChar w:fldCharType="begin"/>
      </w:r>
      <w:r>
        <w:instrText xml:space="preserve"> HYPERLINK \l "_Toc31829" </w:instrText>
      </w:r>
      <w:r>
        <w:fldChar w:fldCharType="separate"/>
      </w:r>
      <w:r>
        <w:rPr>
          <w:rFonts w:hint="eastAsia" w:ascii="黑体" w:hAnsi="黑体" w:eastAsia="黑体" w:cs="黑体"/>
          <w:sz w:val="28"/>
          <w:szCs w:val="28"/>
        </w:rPr>
        <w:t>（一）项目概况</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_Toc31829 </w:instrText>
      </w:r>
      <w:r>
        <w:rPr>
          <w:rFonts w:hint="eastAsia" w:ascii="黑体" w:hAnsi="黑体" w:eastAsia="黑体" w:cs="黑体"/>
          <w:sz w:val="28"/>
          <w:szCs w:val="28"/>
        </w:rPr>
        <w:fldChar w:fldCharType="separate"/>
      </w:r>
      <w:r>
        <w:rPr>
          <w:rFonts w:hint="eastAsia" w:ascii="黑体" w:hAnsi="黑体" w:eastAsia="黑体" w:cs="黑体"/>
          <w:sz w:val="28"/>
          <w:szCs w:val="28"/>
        </w:rPr>
        <w:t>7</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28893BBB">
      <w:pPr>
        <w:pStyle w:val="8"/>
        <w:tabs>
          <w:tab w:val="right" w:leader="dot" w:pos="8306"/>
        </w:tabs>
        <w:spacing w:line="440" w:lineRule="exact"/>
        <w:rPr>
          <w:rFonts w:ascii="黑体" w:hAnsi="黑体" w:eastAsia="黑体" w:cs="黑体"/>
          <w:sz w:val="28"/>
          <w:szCs w:val="28"/>
        </w:rPr>
      </w:pPr>
      <w:r>
        <w:fldChar w:fldCharType="begin"/>
      </w:r>
      <w:r>
        <w:instrText xml:space="preserve"> HYPERLINK \l "_Toc23679" </w:instrText>
      </w:r>
      <w:r>
        <w:fldChar w:fldCharType="separate"/>
      </w:r>
      <w:r>
        <w:rPr>
          <w:rFonts w:hint="eastAsia" w:ascii="黑体" w:hAnsi="黑体" w:eastAsia="黑体" w:cs="黑体"/>
          <w:sz w:val="28"/>
          <w:szCs w:val="28"/>
        </w:rPr>
        <w:t>（二）项目绩效目标</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_Toc23679 </w:instrText>
      </w:r>
      <w:r>
        <w:rPr>
          <w:rFonts w:hint="eastAsia" w:ascii="黑体" w:hAnsi="黑体" w:eastAsia="黑体" w:cs="黑体"/>
          <w:sz w:val="28"/>
          <w:szCs w:val="28"/>
        </w:rPr>
        <w:fldChar w:fldCharType="separate"/>
      </w:r>
      <w:r>
        <w:rPr>
          <w:rFonts w:hint="eastAsia" w:ascii="黑体" w:hAnsi="黑体" w:eastAsia="黑体" w:cs="黑体"/>
          <w:sz w:val="28"/>
          <w:szCs w:val="28"/>
        </w:rPr>
        <w:t>9</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4910D8EA">
      <w:pPr>
        <w:pStyle w:val="7"/>
        <w:tabs>
          <w:tab w:val="right" w:leader="dot" w:pos="8306"/>
          <w:tab w:val="clear" w:pos="8296"/>
        </w:tabs>
        <w:spacing w:line="440" w:lineRule="exact"/>
        <w:rPr>
          <w:rFonts w:ascii="黑体" w:hAnsi="黑体" w:cs="黑体"/>
          <w:sz w:val="28"/>
          <w:szCs w:val="28"/>
        </w:rPr>
      </w:pPr>
      <w:r>
        <w:fldChar w:fldCharType="begin"/>
      </w:r>
      <w:r>
        <w:instrText xml:space="preserve"> HYPERLINK \l "_Toc12095" </w:instrText>
      </w:r>
      <w:r>
        <w:fldChar w:fldCharType="separate"/>
      </w:r>
      <w:r>
        <w:rPr>
          <w:rFonts w:hint="eastAsia" w:ascii="黑体" w:hAnsi="黑体" w:cs="黑体"/>
          <w:kern w:val="44"/>
          <w:sz w:val="28"/>
          <w:szCs w:val="28"/>
        </w:rPr>
        <w:t>二、绩效评价工作情况</w:t>
      </w:r>
      <w:r>
        <w:rPr>
          <w:rFonts w:hint="eastAsia" w:ascii="黑体" w:hAnsi="黑体" w:cs="黑体"/>
          <w:sz w:val="28"/>
          <w:szCs w:val="28"/>
        </w:rPr>
        <w:tab/>
      </w:r>
      <w:r>
        <w:rPr>
          <w:rFonts w:hint="eastAsia" w:ascii="黑体" w:hAnsi="黑体" w:cs="黑体"/>
          <w:sz w:val="28"/>
          <w:szCs w:val="28"/>
        </w:rPr>
        <w:fldChar w:fldCharType="begin"/>
      </w:r>
      <w:r>
        <w:rPr>
          <w:rFonts w:hint="eastAsia" w:ascii="黑体" w:hAnsi="黑体" w:cs="黑体"/>
          <w:sz w:val="28"/>
          <w:szCs w:val="28"/>
        </w:rPr>
        <w:instrText xml:space="preserve"> PAGEREF _Toc12095 </w:instrText>
      </w:r>
      <w:r>
        <w:rPr>
          <w:rFonts w:hint="eastAsia" w:ascii="黑体" w:hAnsi="黑体" w:cs="黑体"/>
          <w:sz w:val="28"/>
          <w:szCs w:val="28"/>
        </w:rPr>
        <w:fldChar w:fldCharType="separate"/>
      </w:r>
      <w:r>
        <w:rPr>
          <w:rFonts w:hint="eastAsia" w:ascii="黑体" w:hAnsi="黑体" w:cs="黑体"/>
          <w:sz w:val="28"/>
          <w:szCs w:val="28"/>
        </w:rPr>
        <w:t>10</w:t>
      </w:r>
      <w:r>
        <w:rPr>
          <w:rFonts w:hint="eastAsia" w:ascii="黑体" w:hAnsi="黑体" w:cs="黑体"/>
          <w:sz w:val="28"/>
          <w:szCs w:val="28"/>
        </w:rPr>
        <w:fldChar w:fldCharType="end"/>
      </w:r>
      <w:r>
        <w:rPr>
          <w:rFonts w:hint="eastAsia" w:ascii="黑体" w:hAnsi="黑体" w:cs="黑体"/>
          <w:sz w:val="28"/>
          <w:szCs w:val="28"/>
        </w:rPr>
        <w:fldChar w:fldCharType="end"/>
      </w:r>
    </w:p>
    <w:p w14:paraId="6E792876">
      <w:pPr>
        <w:pStyle w:val="8"/>
        <w:tabs>
          <w:tab w:val="right" w:leader="dot" w:pos="8306"/>
        </w:tabs>
        <w:spacing w:line="440" w:lineRule="exact"/>
        <w:rPr>
          <w:rFonts w:ascii="黑体" w:hAnsi="黑体" w:eastAsia="黑体" w:cs="黑体"/>
          <w:sz w:val="28"/>
          <w:szCs w:val="28"/>
        </w:rPr>
      </w:pPr>
      <w:r>
        <w:fldChar w:fldCharType="begin"/>
      </w:r>
      <w:r>
        <w:instrText xml:space="preserve"> HYPERLINK \l "_Toc12677" </w:instrText>
      </w:r>
      <w:r>
        <w:fldChar w:fldCharType="separate"/>
      </w:r>
      <w:r>
        <w:rPr>
          <w:rFonts w:hint="eastAsia" w:ascii="黑体" w:hAnsi="黑体" w:eastAsia="黑体" w:cs="黑体"/>
          <w:sz w:val="28"/>
          <w:szCs w:val="28"/>
        </w:rPr>
        <w:t>(一)评价的目的和依据</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_Toc12677 </w:instrText>
      </w:r>
      <w:r>
        <w:rPr>
          <w:rFonts w:hint="eastAsia" w:ascii="黑体" w:hAnsi="黑体" w:eastAsia="黑体" w:cs="黑体"/>
          <w:sz w:val="28"/>
          <w:szCs w:val="28"/>
        </w:rPr>
        <w:fldChar w:fldCharType="separate"/>
      </w:r>
      <w:r>
        <w:rPr>
          <w:rFonts w:hint="eastAsia" w:ascii="黑体" w:hAnsi="黑体" w:eastAsia="黑体" w:cs="黑体"/>
          <w:sz w:val="28"/>
          <w:szCs w:val="28"/>
        </w:rPr>
        <w:t>10</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439B8EB4">
      <w:pPr>
        <w:pStyle w:val="8"/>
        <w:tabs>
          <w:tab w:val="right" w:leader="dot" w:pos="8306"/>
        </w:tabs>
        <w:spacing w:line="440" w:lineRule="exact"/>
        <w:rPr>
          <w:rFonts w:ascii="黑体" w:hAnsi="黑体" w:eastAsia="黑体" w:cs="黑体"/>
          <w:sz w:val="28"/>
          <w:szCs w:val="28"/>
        </w:rPr>
      </w:pPr>
      <w:r>
        <w:fldChar w:fldCharType="begin"/>
      </w:r>
      <w:r>
        <w:instrText xml:space="preserve"> HYPERLINK \l "_Toc8908" </w:instrText>
      </w:r>
      <w:r>
        <w:fldChar w:fldCharType="separate"/>
      </w:r>
      <w:r>
        <w:rPr>
          <w:rFonts w:hint="eastAsia" w:ascii="黑体" w:hAnsi="黑体" w:eastAsia="黑体" w:cs="黑体"/>
          <w:sz w:val="28"/>
          <w:szCs w:val="28"/>
        </w:rPr>
        <w:t>（二）绩效评价工作方案制定过程</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_Toc8908 </w:instrText>
      </w:r>
      <w:r>
        <w:rPr>
          <w:rFonts w:hint="eastAsia" w:ascii="黑体" w:hAnsi="黑体" w:eastAsia="黑体" w:cs="黑体"/>
          <w:sz w:val="28"/>
          <w:szCs w:val="28"/>
        </w:rPr>
        <w:fldChar w:fldCharType="separate"/>
      </w:r>
      <w:r>
        <w:rPr>
          <w:rFonts w:hint="eastAsia" w:ascii="黑体" w:hAnsi="黑体" w:eastAsia="黑体" w:cs="黑体"/>
          <w:sz w:val="28"/>
          <w:szCs w:val="28"/>
        </w:rPr>
        <w:t>10</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79756718">
      <w:pPr>
        <w:pStyle w:val="8"/>
        <w:tabs>
          <w:tab w:val="right" w:leader="dot" w:pos="8306"/>
        </w:tabs>
        <w:spacing w:line="440" w:lineRule="exact"/>
        <w:rPr>
          <w:rFonts w:ascii="黑体" w:hAnsi="黑体" w:eastAsia="黑体" w:cs="黑体"/>
          <w:sz w:val="28"/>
          <w:szCs w:val="28"/>
        </w:rPr>
      </w:pPr>
      <w:r>
        <w:fldChar w:fldCharType="begin"/>
      </w:r>
      <w:r>
        <w:instrText xml:space="preserve"> HYPERLINK \l "_Toc30814" </w:instrText>
      </w:r>
      <w:r>
        <w:fldChar w:fldCharType="separate"/>
      </w:r>
      <w:r>
        <w:rPr>
          <w:rFonts w:hint="eastAsia" w:ascii="黑体" w:hAnsi="黑体" w:eastAsia="黑体" w:cs="黑体"/>
          <w:sz w:val="28"/>
          <w:szCs w:val="28"/>
        </w:rPr>
        <w:t>（三）绩效评价原则及评价方法</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_Toc30814 </w:instrText>
      </w:r>
      <w:r>
        <w:rPr>
          <w:rFonts w:hint="eastAsia" w:ascii="黑体" w:hAnsi="黑体" w:eastAsia="黑体" w:cs="黑体"/>
          <w:sz w:val="28"/>
          <w:szCs w:val="28"/>
        </w:rPr>
        <w:fldChar w:fldCharType="separate"/>
      </w:r>
      <w:r>
        <w:rPr>
          <w:rFonts w:hint="eastAsia" w:ascii="黑体" w:hAnsi="黑体" w:eastAsia="黑体" w:cs="黑体"/>
          <w:sz w:val="28"/>
          <w:szCs w:val="28"/>
        </w:rPr>
        <w:t>11</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3D448200">
      <w:pPr>
        <w:pStyle w:val="8"/>
        <w:tabs>
          <w:tab w:val="right" w:leader="dot" w:pos="8306"/>
        </w:tabs>
        <w:spacing w:line="440" w:lineRule="exact"/>
        <w:rPr>
          <w:rFonts w:ascii="黑体" w:hAnsi="黑体" w:eastAsia="黑体" w:cs="黑体"/>
          <w:sz w:val="28"/>
          <w:szCs w:val="28"/>
        </w:rPr>
      </w:pPr>
      <w:r>
        <w:fldChar w:fldCharType="begin"/>
      </w:r>
      <w:r>
        <w:instrText xml:space="preserve"> HYPERLINK \l "_Toc1639" </w:instrText>
      </w:r>
      <w:r>
        <w:fldChar w:fldCharType="separate"/>
      </w:r>
      <w:r>
        <w:rPr>
          <w:rFonts w:hint="eastAsia" w:ascii="黑体" w:hAnsi="黑体" w:eastAsia="黑体" w:cs="黑体"/>
          <w:sz w:val="28"/>
          <w:szCs w:val="28"/>
        </w:rPr>
        <w:t>(四) 绩效评价实施过程</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_Toc1639 </w:instrText>
      </w:r>
      <w:r>
        <w:rPr>
          <w:rFonts w:hint="eastAsia" w:ascii="黑体" w:hAnsi="黑体" w:eastAsia="黑体" w:cs="黑体"/>
          <w:sz w:val="28"/>
          <w:szCs w:val="28"/>
        </w:rPr>
        <w:fldChar w:fldCharType="separate"/>
      </w:r>
      <w:r>
        <w:rPr>
          <w:rFonts w:hint="eastAsia" w:ascii="黑体" w:hAnsi="黑体" w:eastAsia="黑体" w:cs="黑体"/>
          <w:sz w:val="28"/>
          <w:szCs w:val="28"/>
        </w:rPr>
        <w:t>12</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54D651B4">
      <w:pPr>
        <w:pStyle w:val="8"/>
        <w:tabs>
          <w:tab w:val="right" w:leader="dot" w:pos="8306"/>
        </w:tabs>
        <w:spacing w:line="440" w:lineRule="exact"/>
        <w:rPr>
          <w:rFonts w:ascii="黑体" w:hAnsi="黑体" w:eastAsia="黑体" w:cs="黑体"/>
          <w:sz w:val="28"/>
          <w:szCs w:val="28"/>
        </w:rPr>
      </w:pPr>
      <w:r>
        <w:fldChar w:fldCharType="begin"/>
      </w:r>
      <w:r>
        <w:instrText xml:space="preserve"> HYPERLINK \l "_Toc20289" </w:instrText>
      </w:r>
      <w:r>
        <w:fldChar w:fldCharType="separate"/>
      </w:r>
      <w:r>
        <w:rPr>
          <w:rFonts w:hint="eastAsia" w:ascii="黑体" w:hAnsi="黑体" w:eastAsia="黑体" w:cs="黑体"/>
          <w:sz w:val="28"/>
          <w:szCs w:val="28"/>
        </w:rPr>
        <w:t>（五）绩效评价的局限性</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_Toc20289 </w:instrText>
      </w:r>
      <w:r>
        <w:rPr>
          <w:rFonts w:hint="eastAsia" w:ascii="黑体" w:hAnsi="黑体" w:eastAsia="黑体" w:cs="黑体"/>
          <w:sz w:val="28"/>
          <w:szCs w:val="28"/>
        </w:rPr>
        <w:fldChar w:fldCharType="separate"/>
      </w:r>
      <w:r>
        <w:rPr>
          <w:rFonts w:hint="eastAsia" w:ascii="黑体" w:hAnsi="黑体" w:eastAsia="黑体" w:cs="黑体"/>
          <w:sz w:val="28"/>
          <w:szCs w:val="28"/>
        </w:rPr>
        <w:t>13</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2B3FAFA1">
      <w:pPr>
        <w:pStyle w:val="7"/>
        <w:tabs>
          <w:tab w:val="right" w:leader="dot" w:pos="8306"/>
          <w:tab w:val="clear" w:pos="8296"/>
        </w:tabs>
        <w:spacing w:line="440" w:lineRule="exact"/>
        <w:rPr>
          <w:rFonts w:ascii="黑体" w:hAnsi="黑体" w:cs="黑体"/>
          <w:sz w:val="28"/>
          <w:szCs w:val="28"/>
        </w:rPr>
      </w:pPr>
      <w:r>
        <w:fldChar w:fldCharType="begin"/>
      </w:r>
      <w:r>
        <w:instrText xml:space="preserve"> HYPERLINK \l "_Toc32321" </w:instrText>
      </w:r>
      <w:r>
        <w:fldChar w:fldCharType="separate"/>
      </w:r>
      <w:r>
        <w:rPr>
          <w:rFonts w:hint="eastAsia" w:ascii="黑体" w:hAnsi="黑体" w:cs="黑体"/>
          <w:kern w:val="44"/>
          <w:sz w:val="28"/>
          <w:szCs w:val="28"/>
        </w:rPr>
        <w:t>三、评价结论和绩效分析</w:t>
      </w:r>
      <w:r>
        <w:rPr>
          <w:rFonts w:hint="eastAsia" w:ascii="黑体" w:hAnsi="黑体" w:cs="黑体"/>
          <w:sz w:val="28"/>
          <w:szCs w:val="28"/>
        </w:rPr>
        <w:tab/>
      </w:r>
      <w:r>
        <w:rPr>
          <w:rFonts w:hint="eastAsia" w:ascii="黑体" w:hAnsi="黑体" w:cs="黑体"/>
          <w:sz w:val="28"/>
          <w:szCs w:val="28"/>
        </w:rPr>
        <w:fldChar w:fldCharType="begin"/>
      </w:r>
      <w:r>
        <w:rPr>
          <w:rFonts w:hint="eastAsia" w:ascii="黑体" w:hAnsi="黑体" w:cs="黑体"/>
          <w:sz w:val="28"/>
          <w:szCs w:val="28"/>
        </w:rPr>
        <w:instrText xml:space="preserve"> PAGEREF _Toc32321 </w:instrText>
      </w:r>
      <w:r>
        <w:rPr>
          <w:rFonts w:hint="eastAsia" w:ascii="黑体" w:hAnsi="黑体" w:cs="黑体"/>
          <w:sz w:val="28"/>
          <w:szCs w:val="28"/>
        </w:rPr>
        <w:fldChar w:fldCharType="separate"/>
      </w:r>
      <w:r>
        <w:rPr>
          <w:rFonts w:hint="eastAsia" w:ascii="黑体" w:hAnsi="黑体" w:cs="黑体"/>
          <w:sz w:val="28"/>
          <w:szCs w:val="28"/>
        </w:rPr>
        <w:t>13</w:t>
      </w:r>
      <w:r>
        <w:rPr>
          <w:rFonts w:hint="eastAsia" w:ascii="黑体" w:hAnsi="黑体" w:cs="黑体"/>
          <w:sz w:val="28"/>
          <w:szCs w:val="28"/>
        </w:rPr>
        <w:fldChar w:fldCharType="end"/>
      </w:r>
      <w:r>
        <w:rPr>
          <w:rFonts w:hint="eastAsia" w:ascii="黑体" w:hAnsi="黑体" w:cs="黑体"/>
          <w:sz w:val="28"/>
          <w:szCs w:val="28"/>
        </w:rPr>
        <w:fldChar w:fldCharType="end"/>
      </w:r>
    </w:p>
    <w:p w14:paraId="2AB0D263">
      <w:pPr>
        <w:pStyle w:val="8"/>
        <w:tabs>
          <w:tab w:val="right" w:leader="dot" w:pos="8306"/>
        </w:tabs>
        <w:spacing w:line="440" w:lineRule="exact"/>
        <w:rPr>
          <w:rFonts w:ascii="黑体" w:hAnsi="黑体" w:eastAsia="黑体" w:cs="黑体"/>
          <w:sz w:val="28"/>
          <w:szCs w:val="28"/>
        </w:rPr>
      </w:pPr>
      <w:r>
        <w:fldChar w:fldCharType="begin"/>
      </w:r>
      <w:r>
        <w:instrText xml:space="preserve"> HYPERLINK \l "_Toc27975" </w:instrText>
      </w:r>
      <w:r>
        <w:fldChar w:fldCharType="separate"/>
      </w:r>
      <w:r>
        <w:rPr>
          <w:rFonts w:hint="eastAsia" w:ascii="黑体" w:hAnsi="黑体" w:eastAsia="黑体" w:cs="黑体"/>
          <w:sz w:val="28"/>
          <w:szCs w:val="28"/>
        </w:rPr>
        <w:t>(一)评价结论</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_Toc27975 </w:instrText>
      </w:r>
      <w:r>
        <w:rPr>
          <w:rFonts w:hint="eastAsia" w:ascii="黑体" w:hAnsi="黑体" w:eastAsia="黑体" w:cs="黑体"/>
          <w:sz w:val="28"/>
          <w:szCs w:val="28"/>
        </w:rPr>
        <w:fldChar w:fldCharType="separate"/>
      </w:r>
      <w:r>
        <w:rPr>
          <w:rFonts w:hint="eastAsia" w:ascii="黑体" w:hAnsi="黑体" w:eastAsia="黑体" w:cs="黑体"/>
          <w:sz w:val="28"/>
          <w:szCs w:val="28"/>
        </w:rPr>
        <w:t>13</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52E6B7AF">
      <w:pPr>
        <w:pStyle w:val="8"/>
        <w:tabs>
          <w:tab w:val="right" w:leader="dot" w:pos="8306"/>
        </w:tabs>
        <w:spacing w:line="440" w:lineRule="exact"/>
        <w:rPr>
          <w:rFonts w:ascii="黑体" w:hAnsi="黑体" w:eastAsia="黑体" w:cs="黑体"/>
          <w:sz w:val="28"/>
          <w:szCs w:val="28"/>
        </w:rPr>
      </w:pPr>
      <w:r>
        <w:fldChar w:fldCharType="begin"/>
      </w:r>
      <w:r>
        <w:instrText xml:space="preserve"> HYPERLINK \l "_Toc8725" </w:instrText>
      </w:r>
      <w:r>
        <w:fldChar w:fldCharType="separate"/>
      </w:r>
      <w:r>
        <w:rPr>
          <w:rFonts w:hint="eastAsia" w:ascii="黑体" w:hAnsi="黑体" w:eastAsia="黑体" w:cs="黑体"/>
          <w:sz w:val="28"/>
          <w:szCs w:val="28"/>
        </w:rPr>
        <w:t>（二）具体绩效分析</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_Toc8725 </w:instrText>
      </w:r>
      <w:r>
        <w:rPr>
          <w:rFonts w:hint="eastAsia" w:ascii="黑体" w:hAnsi="黑体" w:eastAsia="黑体" w:cs="黑体"/>
          <w:sz w:val="28"/>
          <w:szCs w:val="28"/>
        </w:rPr>
        <w:fldChar w:fldCharType="separate"/>
      </w:r>
      <w:r>
        <w:rPr>
          <w:rFonts w:hint="eastAsia" w:ascii="黑体" w:hAnsi="黑体" w:eastAsia="黑体" w:cs="黑体"/>
          <w:sz w:val="28"/>
          <w:szCs w:val="28"/>
        </w:rPr>
        <w:t>14</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2C260BCB">
      <w:pPr>
        <w:pStyle w:val="7"/>
        <w:tabs>
          <w:tab w:val="right" w:leader="dot" w:pos="8306"/>
          <w:tab w:val="clear" w:pos="8296"/>
        </w:tabs>
        <w:spacing w:line="440" w:lineRule="exact"/>
        <w:rPr>
          <w:rFonts w:ascii="黑体" w:hAnsi="黑体" w:cs="黑体"/>
          <w:sz w:val="28"/>
          <w:szCs w:val="28"/>
        </w:rPr>
      </w:pPr>
      <w:r>
        <w:fldChar w:fldCharType="begin"/>
      </w:r>
      <w:r>
        <w:instrText xml:space="preserve"> HYPERLINK \l "_Toc23606" </w:instrText>
      </w:r>
      <w:r>
        <w:fldChar w:fldCharType="separate"/>
      </w:r>
      <w:r>
        <w:rPr>
          <w:rFonts w:hint="eastAsia" w:ascii="黑体" w:hAnsi="黑体" w:cs="黑体"/>
          <w:kern w:val="44"/>
          <w:sz w:val="28"/>
          <w:szCs w:val="28"/>
        </w:rPr>
        <w:t>四、成本效益分析</w:t>
      </w:r>
      <w:r>
        <w:rPr>
          <w:rFonts w:hint="eastAsia" w:ascii="黑体" w:hAnsi="黑体" w:cs="黑体"/>
          <w:sz w:val="28"/>
          <w:szCs w:val="28"/>
        </w:rPr>
        <w:tab/>
      </w:r>
      <w:r>
        <w:rPr>
          <w:rFonts w:hint="eastAsia" w:ascii="黑体" w:hAnsi="黑体" w:cs="黑体"/>
          <w:sz w:val="28"/>
          <w:szCs w:val="28"/>
        </w:rPr>
        <w:fldChar w:fldCharType="begin"/>
      </w:r>
      <w:r>
        <w:rPr>
          <w:rFonts w:hint="eastAsia" w:ascii="黑体" w:hAnsi="黑体" w:cs="黑体"/>
          <w:sz w:val="28"/>
          <w:szCs w:val="28"/>
        </w:rPr>
        <w:instrText xml:space="preserve"> PAGEREF _Toc23606 </w:instrText>
      </w:r>
      <w:r>
        <w:rPr>
          <w:rFonts w:hint="eastAsia" w:ascii="黑体" w:hAnsi="黑体" w:cs="黑体"/>
          <w:sz w:val="28"/>
          <w:szCs w:val="28"/>
        </w:rPr>
        <w:fldChar w:fldCharType="separate"/>
      </w:r>
      <w:r>
        <w:rPr>
          <w:rFonts w:hint="eastAsia" w:ascii="黑体" w:hAnsi="黑体" w:cs="黑体"/>
          <w:sz w:val="28"/>
          <w:szCs w:val="28"/>
        </w:rPr>
        <w:t>14</w:t>
      </w:r>
      <w:r>
        <w:rPr>
          <w:rFonts w:hint="eastAsia" w:ascii="黑体" w:hAnsi="黑体" w:cs="黑体"/>
          <w:sz w:val="28"/>
          <w:szCs w:val="28"/>
        </w:rPr>
        <w:fldChar w:fldCharType="end"/>
      </w:r>
      <w:r>
        <w:rPr>
          <w:rFonts w:hint="eastAsia" w:ascii="黑体" w:hAnsi="黑体" w:cs="黑体"/>
          <w:sz w:val="28"/>
          <w:szCs w:val="28"/>
        </w:rPr>
        <w:fldChar w:fldCharType="end"/>
      </w:r>
    </w:p>
    <w:p w14:paraId="6B90A35E">
      <w:pPr>
        <w:pStyle w:val="8"/>
        <w:tabs>
          <w:tab w:val="right" w:leader="dot" w:pos="8306"/>
        </w:tabs>
        <w:spacing w:line="440" w:lineRule="exact"/>
        <w:rPr>
          <w:rFonts w:ascii="黑体" w:hAnsi="黑体" w:eastAsia="黑体" w:cs="黑体"/>
          <w:sz w:val="28"/>
          <w:szCs w:val="28"/>
        </w:rPr>
      </w:pPr>
      <w:r>
        <w:fldChar w:fldCharType="begin"/>
      </w:r>
      <w:r>
        <w:instrText xml:space="preserve"> HYPERLINK \l "_Toc18853" </w:instrText>
      </w:r>
      <w:r>
        <w:fldChar w:fldCharType="separate"/>
      </w:r>
      <w:r>
        <w:rPr>
          <w:rFonts w:hint="eastAsia" w:ascii="黑体" w:hAnsi="黑体" w:eastAsia="黑体" w:cs="黑体"/>
          <w:sz w:val="28"/>
          <w:szCs w:val="28"/>
        </w:rPr>
        <w:t>（一）项目经济性分析</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_Toc18853 </w:instrText>
      </w:r>
      <w:r>
        <w:rPr>
          <w:rFonts w:hint="eastAsia" w:ascii="黑体" w:hAnsi="黑体" w:eastAsia="黑体" w:cs="黑体"/>
          <w:sz w:val="28"/>
          <w:szCs w:val="28"/>
        </w:rPr>
        <w:fldChar w:fldCharType="separate"/>
      </w:r>
      <w:r>
        <w:rPr>
          <w:rFonts w:hint="eastAsia" w:ascii="黑体" w:hAnsi="黑体" w:eastAsia="黑体" w:cs="黑体"/>
          <w:sz w:val="28"/>
          <w:szCs w:val="28"/>
        </w:rPr>
        <w:t>14</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2745BE72">
      <w:pPr>
        <w:pStyle w:val="8"/>
        <w:tabs>
          <w:tab w:val="right" w:leader="dot" w:pos="8306"/>
        </w:tabs>
        <w:spacing w:line="440" w:lineRule="exact"/>
        <w:rPr>
          <w:rFonts w:ascii="黑体" w:hAnsi="黑体" w:eastAsia="黑体" w:cs="黑体"/>
          <w:sz w:val="28"/>
          <w:szCs w:val="28"/>
        </w:rPr>
      </w:pPr>
      <w:r>
        <w:fldChar w:fldCharType="begin"/>
      </w:r>
      <w:r>
        <w:instrText xml:space="preserve"> HYPERLINK \l "_Toc32152" </w:instrText>
      </w:r>
      <w:r>
        <w:fldChar w:fldCharType="separate"/>
      </w:r>
      <w:r>
        <w:rPr>
          <w:rFonts w:hint="eastAsia" w:ascii="黑体" w:hAnsi="黑体" w:eastAsia="黑体" w:cs="黑体"/>
          <w:sz w:val="28"/>
          <w:szCs w:val="28"/>
        </w:rPr>
        <w:t>（二）项目的效益性分析</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_Toc32152 </w:instrText>
      </w:r>
      <w:r>
        <w:rPr>
          <w:rFonts w:hint="eastAsia" w:ascii="黑体" w:hAnsi="黑体" w:eastAsia="黑体" w:cs="黑体"/>
          <w:sz w:val="28"/>
          <w:szCs w:val="28"/>
        </w:rPr>
        <w:fldChar w:fldCharType="separate"/>
      </w:r>
      <w:r>
        <w:rPr>
          <w:rFonts w:hint="eastAsia" w:ascii="黑体" w:hAnsi="黑体" w:eastAsia="黑体" w:cs="黑体"/>
          <w:sz w:val="28"/>
          <w:szCs w:val="28"/>
        </w:rPr>
        <w:t>14</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0AE19DEA">
      <w:pPr>
        <w:pStyle w:val="7"/>
        <w:tabs>
          <w:tab w:val="right" w:leader="dot" w:pos="8306"/>
          <w:tab w:val="clear" w:pos="8296"/>
        </w:tabs>
        <w:spacing w:line="440" w:lineRule="exact"/>
        <w:rPr>
          <w:rFonts w:ascii="黑体" w:hAnsi="黑体" w:cs="黑体"/>
          <w:sz w:val="28"/>
          <w:szCs w:val="28"/>
        </w:rPr>
      </w:pPr>
      <w:r>
        <w:fldChar w:fldCharType="begin"/>
      </w:r>
      <w:r>
        <w:instrText xml:space="preserve"> HYPERLINK \l "_Toc15855" </w:instrText>
      </w:r>
      <w:r>
        <w:fldChar w:fldCharType="separate"/>
      </w:r>
      <w:r>
        <w:rPr>
          <w:rFonts w:hint="eastAsia" w:ascii="黑体" w:hAnsi="黑体" w:cs="黑体"/>
          <w:kern w:val="44"/>
          <w:sz w:val="28"/>
          <w:szCs w:val="28"/>
        </w:rPr>
        <w:t>五、项目主要经验及做法、存在的问题和建议</w:t>
      </w:r>
      <w:r>
        <w:rPr>
          <w:rFonts w:hint="eastAsia" w:ascii="黑体" w:hAnsi="黑体" w:cs="黑体"/>
          <w:sz w:val="28"/>
          <w:szCs w:val="28"/>
        </w:rPr>
        <w:tab/>
      </w:r>
      <w:r>
        <w:rPr>
          <w:rFonts w:hint="eastAsia" w:ascii="黑体" w:hAnsi="黑体" w:cs="黑体"/>
          <w:sz w:val="28"/>
          <w:szCs w:val="28"/>
        </w:rPr>
        <w:fldChar w:fldCharType="begin"/>
      </w:r>
      <w:r>
        <w:rPr>
          <w:rFonts w:hint="eastAsia" w:ascii="黑体" w:hAnsi="黑体" w:cs="黑体"/>
          <w:sz w:val="28"/>
          <w:szCs w:val="28"/>
        </w:rPr>
        <w:instrText xml:space="preserve"> PAGEREF _Toc15855 </w:instrText>
      </w:r>
      <w:r>
        <w:rPr>
          <w:rFonts w:hint="eastAsia" w:ascii="黑体" w:hAnsi="黑体" w:cs="黑体"/>
          <w:sz w:val="28"/>
          <w:szCs w:val="28"/>
        </w:rPr>
        <w:fldChar w:fldCharType="separate"/>
      </w:r>
      <w:r>
        <w:rPr>
          <w:rFonts w:hint="eastAsia" w:ascii="黑体" w:hAnsi="黑体" w:cs="黑体"/>
          <w:sz w:val="28"/>
          <w:szCs w:val="28"/>
        </w:rPr>
        <w:t>15</w:t>
      </w:r>
      <w:r>
        <w:rPr>
          <w:rFonts w:hint="eastAsia" w:ascii="黑体" w:hAnsi="黑体" w:cs="黑体"/>
          <w:sz w:val="28"/>
          <w:szCs w:val="28"/>
        </w:rPr>
        <w:fldChar w:fldCharType="end"/>
      </w:r>
      <w:r>
        <w:rPr>
          <w:rFonts w:hint="eastAsia" w:ascii="黑体" w:hAnsi="黑体" w:cs="黑体"/>
          <w:sz w:val="28"/>
          <w:szCs w:val="28"/>
        </w:rPr>
        <w:fldChar w:fldCharType="end"/>
      </w:r>
    </w:p>
    <w:p w14:paraId="6E19F943">
      <w:pPr>
        <w:pStyle w:val="8"/>
        <w:tabs>
          <w:tab w:val="right" w:leader="dot" w:pos="8306"/>
        </w:tabs>
        <w:spacing w:line="440" w:lineRule="exact"/>
        <w:rPr>
          <w:rFonts w:ascii="黑体" w:hAnsi="黑体" w:eastAsia="黑体" w:cs="黑体"/>
          <w:sz w:val="28"/>
          <w:szCs w:val="28"/>
        </w:rPr>
      </w:pPr>
      <w:r>
        <w:fldChar w:fldCharType="begin"/>
      </w:r>
      <w:r>
        <w:instrText xml:space="preserve"> HYPERLINK \l "_Toc13701" </w:instrText>
      </w:r>
      <w:r>
        <w:fldChar w:fldCharType="separate"/>
      </w:r>
      <w:r>
        <w:rPr>
          <w:rFonts w:hint="eastAsia" w:ascii="黑体" w:hAnsi="黑体" w:eastAsia="黑体" w:cs="黑体"/>
          <w:sz w:val="28"/>
          <w:szCs w:val="28"/>
        </w:rPr>
        <w:t>（一）主要经验及做法</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_Toc13701 </w:instrText>
      </w:r>
      <w:r>
        <w:rPr>
          <w:rFonts w:hint="eastAsia" w:ascii="黑体" w:hAnsi="黑体" w:eastAsia="黑体" w:cs="黑体"/>
          <w:sz w:val="28"/>
          <w:szCs w:val="28"/>
        </w:rPr>
        <w:fldChar w:fldCharType="separate"/>
      </w:r>
      <w:r>
        <w:rPr>
          <w:rFonts w:hint="eastAsia" w:ascii="黑体" w:hAnsi="黑体" w:eastAsia="黑体" w:cs="黑体"/>
          <w:sz w:val="28"/>
          <w:szCs w:val="28"/>
        </w:rPr>
        <w:t>15</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39E47564">
      <w:pPr>
        <w:pStyle w:val="8"/>
        <w:tabs>
          <w:tab w:val="right" w:leader="dot" w:pos="8306"/>
        </w:tabs>
        <w:spacing w:line="440" w:lineRule="exact"/>
        <w:rPr>
          <w:rFonts w:ascii="黑体" w:hAnsi="黑体" w:eastAsia="黑体" w:cs="黑体"/>
          <w:sz w:val="28"/>
          <w:szCs w:val="28"/>
        </w:rPr>
      </w:pPr>
      <w:r>
        <w:fldChar w:fldCharType="begin"/>
      </w:r>
      <w:r>
        <w:instrText xml:space="preserve"> HYPERLINK \l "_Toc32098" </w:instrText>
      </w:r>
      <w:r>
        <w:fldChar w:fldCharType="separate"/>
      </w:r>
      <w:r>
        <w:rPr>
          <w:rFonts w:hint="eastAsia" w:ascii="黑体" w:hAnsi="黑体" w:eastAsia="黑体" w:cs="黑体"/>
          <w:sz w:val="28"/>
          <w:szCs w:val="28"/>
        </w:rPr>
        <w:t>（二）存在的问题</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_Toc32098 </w:instrText>
      </w:r>
      <w:r>
        <w:rPr>
          <w:rFonts w:hint="eastAsia" w:ascii="黑体" w:hAnsi="黑体" w:eastAsia="黑体" w:cs="黑体"/>
          <w:sz w:val="28"/>
          <w:szCs w:val="28"/>
        </w:rPr>
        <w:fldChar w:fldCharType="separate"/>
      </w:r>
      <w:r>
        <w:rPr>
          <w:rFonts w:hint="eastAsia" w:ascii="黑体" w:hAnsi="黑体" w:eastAsia="黑体" w:cs="黑体"/>
          <w:sz w:val="28"/>
          <w:szCs w:val="28"/>
        </w:rPr>
        <w:t>16</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5DCBFA2C">
      <w:pPr>
        <w:pStyle w:val="8"/>
        <w:tabs>
          <w:tab w:val="right" w:leader="dot" w:pos="8306"/>
        </w:tabs>
        <w:spacing w:line="440" w:lineRule="exact"/>
        <w:rPr>
          <w:rFonts w:ascii="黑体" w:hAnsi="黑体" w:eastAsia="黑体" w:cs="黑体"/>
          <w:sz w:val="28"/>
          <w:szCs w:val="28"/>
        </w:rPr>
      </w:pPr>
      <w:r>
        <w:fldChar w:fldCharType="begin"/>
      </w:r>
      <w:r>
        <w:instrText xml:space="preserve"> HYPERLINK \l "_Toc20639" </w:instrText>
      </w:r>
      <w:r>
        <w:fldChar w:fldCharType="separate"/>
      </w:r>
      <w:r>
        <w:rPr>
          <w:rFonts w:hint="eastAsia" w:ascii="黑体" w:hAnsi="黑体" w:eastAsia="黑体" w:cs="黑体"/>
          <w:sz w:val="28"/>
          <w:szCs w:val="28"/>
        </w:rPr>
        <w:t>（三）建议和改进措施</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_Toc20639 </w:instrText>
      </w:r>
      <w:r>
        <w:rPr>
          <w:rFonts w:hint="eastAsia" w:ascii="黑体" w:hAnsi="黑体" w:eastAsia="黑体" w:cs="黑体"/>
          <w:sz w:val="28"/>
          <w:szCs w:val="28"/>
        </w:rPr>
        <w:fldChar w:fldCharType="separate"/>
      </w:r>
      <w:r>
        <w:rPr>
          <w:rFonts w:hint="eastAsia" w:ascii="黑体" w:hAnsi="黑体" w:eastAsia="黑体" w:cs="黑体"/>
          <w:sz w:val="28"/>
          <w:szCs w:val="28"/>
        </w:rPr>
        <w:t>17</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08DE593C">
      <w:pPr>
        <w:pStyle w:val="7"/>
        <w:spacing w:line="440" w:lineRule="exact"/>
        <w:rPr>
          <w:rFonts w:ascii="黑体" w:hAnsi="黑体"/>
          <w:szCs w:val="32"/>
        </w:rPr>
      </w:pPr>
      <w:r>
        <w:rPr>
          <w:rFonts w:hint="eastAsia" w:ascii="黑体" w:hAnsi="黑体" w:cs="黑体"/>
          <w:sz w:val="28"/>
          <w:szCs w:val="28"/>
        </w:rPr>
        <w:fldChar w:fldCharType="end"/>
      </w:r>
    </w:p>
    <w:p w14:paraId="20B75784">
      <w:pPr>
        <w:spacing w:line="560" w:lineRule="exact"/>
        <w:jc w:val="center"/>
        <w:rPr>
          <w:rFonts w:ascii="Times New Roman" w:hAnsi="Times New Roman" w:cs="Times New Roman"/>
          <w:b/>
          <w:bCs/>
          <w:sz w:val="44"/>
          <w:szCs w:val="44"/>
        </w:rPr>
      </w:pPr>
      <w:r>
        <w:rPr>
          <w:rFonts w:ascii="Times New Roman" w:cs="Times New Roman" w:hAnsiTheme="minorEastAsia"/>
          <w:b/>
          <w:sz w:val="44"/>
          <w:szCs w:val="44"/>
        </w:rPr>
        <w:t>昆明市盘龙区</w:t>
      </w:r>
      <w:r>
        <w:rPr>
          <w:rFonts w:ascii="Times New Roman" w:cs="Times New Roman" w:hAnsiTheme="minorEastAsia"/>
          <w:b/>
          <w:bCs/>
          <w:sz w:val="44"/>
          <w:szCs w:val="44"/>
        </w:rPr>
        <w:t>机关事务管理服务中心</w:t>
      </w:r>
    </w:p>
    <w:p w14:paraId="4D84D3C1">
      <w:pPr>
        <w:spacing w:line="560" w:lineRule="exact"/>
        <w:jc w:val="center"/>
        <w:rPr>
          <w:rFonts w:ascii="Times New Roman" w:hAnsi="Times New Roman" w:cs="Times New Roman"/>
          <w:b/>
          <w:sz w:val="44"/>
          <w:szCs w:val="44"/>
        </w:rPr>
      </w:pPr>
      <w:r>
        <w:rPr>
          <w:rFonts w:ascii="Times New Roman" w:cs="Times New Roman" w:hAnsiTheme="minorEastAsia"/>
          <w:b/>
          <w:bCs/>
          <w:sz w:val="44"/>
          <w:szCs w:val="44"/>
        </w:rPr>
        <w:t>业务补助经费</w:t>
      </w:r>
      <w:r>
        <w:rPr>
          <w:rFonts w:ascii="Times New Roman" w:cs="Times New Roman" w:hAnsiTheme="minorEastAsia"/>
          <w:b/>
          <w:sz w:val="44"/>
          <w:szCs w:val="44"/>
        </w:rPr>
        <w:t>项目支出绩效自评报告</w:t>
      </w:r>
    </w:p>
    <w:p w14:paraId="1F034529">
      <w:pPr>
        <w:widowControl/>
        <w:shd w:val="clear" w:color="auto" w:fill="FFFFFF"/>
        <w:spacing w:line="560" w:lineRule="exact"/>
        <w:rPr>
          <w:rFonts w:ascii="Times New Roman" w:hAnsi="Times New Roman" w:eastAsia="仿宋" w:cs="Times New Roman"/>
          <w:b/>
          <w:bCs/>
          <w:color w:val="333333"/>
          <w:kern w:val="0"/>
          <w:sz w:val="36"/>
          <w:szCs w:val="36"/>
        </w:rPr>
      </w:pPr>
    </w:p>
    <w:p w14:paraId="7E212AB0">
      <w:pPr>
        <w:spacing w:line="560" w:lineRule="exact"/>
        <w:ind w:firstLine="560" w:firstLineChars="200"/>
        <w:jc w:val="center"/>
        <w:rPr>
          <w:rFonts w:ascii="Times New Roman" w:hAnsi="Times New Roman" w:eastAsia="方正小标宋_GBK" w:cs="Times New Roman"/>
          <w:sz w:val="28"/>
          <w:szCs w:val="32"/>
        </w:rPr>
      </w:pPr>
      <w:r>
        <w:rPr>
          <w:rFonts w:ascii="Times New Roman" w:hAnsi="Times New Roman" w:eastAsia="方正小标宋_GBK" w:cs="Times New Roman"/>
          <w:sz w:val="28"/>
          <w:szCs w:val="32"/>
        </w:rPr>
        <w:t>摘要</w:t>
      </w:r>
    </w:p>
    <w:p w14:paraId="1E4135EF">
      <w:pPr>
        <w:pStyle w:val="2"/>
        <w:keepNext/>
        <w:keepLines/>
        <w:widowControl w:val="0"/>
        <w:spacing w:before="340" w:after="330" w:line="560" w:lineRule="exact"/>
        <w:ind w:firstLine="643" w:firstLineChars="200"/>
        <w:jc w:val="both"/>
        <w:rPr>
          <w:rFonts w:ascii="Times New Roman" w:hAnsi="Times New Roman" w:eastAsia="黑体" w:cs="Times New Roman"/>
          <w:kern w:val="44"/>
          <w:sz w:val="32"/>
          <w:szCs w:val="32"/>
        </w:rPr>
      </w:pPr>
      <w:bookmarkStart w:id="0" w:name="_Toc15525"/>
      <w:r>
        <w:rPr>
          <w:rFonts w:ascii="Times New Roman" w:hAnsi="黑体" w:eastAsia="黑体" w:cs="Times New Roman"/>
          <w:kern w:val="44"/>
          <w:sz w:val="32"/>
          <w:szCs w:val="32"/>
        </w:rPr>
        <w:t>一、项目概况</w:t>
      </w:r>
      <w:bookmarkEnd w:id="0"/>
    </w:p>
    <w:p w14:paraId="674578C0">
      <w:pPr>
        <w:pStyle w:val="3"/>
        <w:keepNext/>
        <w:keepLines/>
        <w:widowControl w:val="0"/>
        <w:spacing w:before="260" w:after="260" w:line="560" w:lineRule="exact"/>
        <w:ind w:firstLine="643" w:firstLineChars="200"/>
        <w:jc w:val="both"/>
        <w:rPr>
          <w:rFonts w:ascii="Times New Roman" w:hAnsi="Times New Roman" w:eastAsia="楷体_GB2312" w:cs="Times New Roman"/>
          <w:kern w:val="2"/>
          <w:sz w:val="32"/>
          <w:szCs w:val="32"/>
        </w:rPr>
      </w:pPr>
      <w:bookmarkStart w:id="1" w:name="_Toc26348"/>
      <w:r>
        <w:rPr>
          <w:rFonts w:ascii="Times New Roman" w:hAnsi="Times New Roman" w:eastAsia="楷体_GB2312" w:cs="Times New Roman"/>
          <w:kern w:val="2"/>
          <w:sz w:val="32"/>
          <w:szCs w:val="32"/>
        </w:rPr>
        <w:t>（一）项目立项背景及目的</w:t>
      </w:r>
      <w:bookmarkEnd w:id="1"/>
    </w:p>
    <w:p w14:paraId="645F3933">
      <w:pPr>
        <w:widowControl/>
        <w:shd w:val="clear" w:color="auto" w:fill="FFFFFF"/>
        <w:spacing w:line="560" w:lineRule="exact"/>
        <w:ind w:firstLine="705"/>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为贯彻党的十九大精神以及习近平总书记系列重要讲话精神，围绕区委、区政府中心工作，切实履行各项职责，高效服务，保障区委、区政府的各项工作高效有序运转。根据《关于印发&lt;昆明市盘龙区机关事务管理服务中心主要职责内设机构和人员编制规定&gt;的通知》（盘政办通</w:t>
      </w:r>
      <w:r>
        <w:rPr>
          <w:rFonts w:ascii="Times New Roman" w:cs="Times New Roman" w:hAnsiTheme="minorEastAsia"/>
          <w:color w:val="333333"/>
          <w:kern w:val="0"/>
          <w:sz w:val="32"/>
          <w:szCs w:val="32"/>
        </w:rPr>
        <w:t>﹝</w:t>
      </w:r>
      <w:r>
        <w:rPr>
          <w:rFonts w:ascii="Times New Roman" w:hAnsi="Times New Roman" w:eastAsia="仿宋_GB2312" w:cs="Times New Roman"/>
          <w:color w:val="333333"/>
          <w:kern w:val="0"/>
          <w:sz w:val="32"/>
          <w:szCs w:val="32"/>
        </w:rPr>
        <w:t>2005</w:t>
      </w:r>
      <w:r>
        <w:rPr>
          <w:rFonts w:ascii="Times New Roman" w:hAnsi="宋体" w:eastAsia="宋体" w:cs="Times New Roman"/>
          <w:color w:val="333333"/>
          <w:kern w:val="0"/>
          <w:sz w:val="32"/>
          <w:szCs w:val="32"/>
        </w:rPr>
        <w:t>﹞</w:t>
      </w:r>
      <w:r>
        <w:rPr>
          <w:rFonts w:ascii="Times New Roman" w:hAnsi="Times New Roman" w:eastAsia="仿宋_GB2312" w:cs="Times New Roman"/>
          <w:color w:val="333333"/>
          <w:kern w:val="0"/>
          <w:sz w:val="32"/>
          <w:szCs w:val="32"/>
        </w:rPr>
        <w:t>34号）文件精神，区机关事务管理服务中心主要承担区级机关餐饮保障服务。</w:t>
      </w:r>
    </w:p>
    <w:p w14:paraId="5C888101">
      <w:pPr>
        <w:pStyle w:val="3"/>
        <w:keepNext/>
        <w:keepLines/>
        <w:widowControl w:val="0"/>
        <w:spacing w:before="260" w:after="260" w:line="560" w:lineRule="exact"/>
        <w:ind w:firstLine="643" w:firstLineChars="200"/>
        <w:jc w:val="both"/>
        <w:rPr>
          <w:rFonts w:ascii="Times New Roman" w:hAnsi="Times New Roman" w:eastAsia="楷体_GB2312" w:cs="Times New Roman"/>
          <w:kern w:val="2"/>
          <w:sz w:val="32"/>
          <w:szCs w:val="32"/>
        </w:rPr>
      </w:pPr>
      <w:bookmarkStart w:id="2" w:name="_Toc18198"/>
      <w:r>
        <w:rPr>
          <w:rFonts w:ascii="Times New Roman" w:hAnsi="Times New Roman" w:eastAsia="楷体_GB2312" w:cs="Times New Roman"/>
          <w:kern w:val="2"/>
          <w:sz w:val="32"/>
          <w:szCs w:val="32"/>
        </w:rPr>
        <w:t>（二）预算收支情况</w:t>
      </w:r>
      <w:bookmarkEnd w:id="2"/>
    </w:p>
    <w:p w14:paraId="55FDD99D">
      <w:pPr>
        <w:widowControl/>
        <w:shd w:val="clear" w:color="auto" w:fill="FFFFFF"/>
        <w:spacing w:line="560" w:lineRule="exact"/>
        <w:ind w:firstLine="705"/>
        <w:jc w:val="left"/>
        <w:rPr>
          <w:rFonts w:ascii="Times New Roman" w:hAnsi="Times New Roman" w:eastAsia="黑体" w:cs="Times New Roman"/>
          <w:kern w:val="44"/>
          <w:sz w:val="32"/>
          <w:szCs w:val="32"/>
        </w:rPr>
      </w:pPr>
      <w:r>
        <w:rPr>
          <w:rFonts w:ascii="Times New Roman" w:hAnsi="Times New Roman" w:eastAsia="仿宋_GB2312" w:cs="Times New Roman"/>
          <w:color w:val="333333"/>
          <w:kern w:val="0"/>
          <w:sz w:val="32"/>
          <w:szCs w:val="32"/>
        </w:rPr>
        <w:t>为确保区级机关餐饮保障工作到位，需申请业务经费4577700元，2020年实际收到财政拨款4577700元，实际支出4577700元。 </w:t>
      </w:r>
    </w:p>
    <w:p w14:paraId="30D191D6">
      <w:pPr>
        <w:pStyle w:val="2"/>
        <w:keepNext/>
        <w:keepLines/>
        <w:widowControl w:val="0"/>
        <w:spacing w:before="340" w:after="330" w:line="560" w:lineRule="exact"/>
        <w:ind w:firstLine="643" w:firstLineChars="200"/>
        <w:jc w:val="both"/>
        <w:rPr>
          <w:rFonts w:ascii="Times New Roman" w:hAnsi="Times New Roman" w:eastAsia="黑体" w:cs="Times New Roman"/>
          <w:kern w:val="44"/>
          <w:sz w:val="32"/>
          <w:szCs w:val="32"/>
        </w:rPr>
      </w:pPr>
      <w:bookmarkStart w:id="3" w:name="_Toc9801"/>
      <w:r>
        <w:rPr>
          <w:rFonts w:ascii="Times New Roman" w:hAnsi="黑体" w:eastAsia="黑体" w:cs="Times New Roman"/>
          <w:kern w:val="44"/>
          <w:sz w:val="32"/>
          <w:szCs w:val="32"/>
        </w:rPr>
        <w:t>二、评价结论</w:t>
      </w:r>
      <w:bookmarkEnd w:id="3"/>
    </w:p>
    <w:p w14:paraId="2DBECD67">
      <w:pPr>
        <w:widowControl/>
        <w:shd w:val="clear" w:color="auto" w:fill="FFFFFF"/>
        <w:spacing w:line="560" w:lineRule="exact"/>
        <w:ind w:firstLine="705"/>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1.评分结果</w:t>
      </w:r>
    </w:p>
    <w:p w14:paraId="59509B4C">
      <w:pPr>
        <w:widowControl/>
        <w:shd w:val="clear" w:color="auto" w:fill="FFFFFF"/>
        <w:spacing w:line="560" w:lineRule="exact"/>
        <w:ind w:firstLine="705"/>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根据制定的绩效指标考评体系，本次绩效考核得分94分，绩效评价等级为优秀。</w:t>
      </w:r>
    </w:p>
    <w:p w14:paraId="44911D2B">
      <w:pPr>
        <w:widowControl/>
        <w:shd w:val="clear" w:color="auto" w:fill="FFFFFF"/>
        <w:spacing w:line="560" w:lineRule="exact"/>
        <w:ind w:firstLine="705"/>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2.主要结论</w:t>
      </w:r>
    </w:p>
    <w:p w14:paraId="0267ECAB">
      <w:pPr>
        <w:widowControl/>
        <w:shd w:val="clear" w:color="auto" w:fill="FFFFFF"/>
        <w:spacing w:line="560" w:lineRule="exact"/>
        <w:ind w:firstLine="705"/>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本项目不属于投资建设类项目，主要内容为我单位管理的机关食堂食材费、劳务派遣人员加班费、电费、煤气费、劳保用品费、材料维修费等支出。2020年度该项工作完成效益较好，保证了区委、区政府各项工作的顺利开展。</w:t>
      </w:r>
    </w:p>
    <w:p w14:paraId="45614FC8">
      <w:pPr>
        <w:pStyle w:val="2"/>
        <w:keepNext/>
        <w:keepLines/>
        <w:widowControl w:val="0"/>
        <w:spacing w:before="340" w:after="330" w:line="560" w:lineRule="exact"/>
        <w:ind w:firstLine="643" w:firstLineChars="200"/>
        <w:jc w:val="both"/>
        <w:rPr>
          <w:rFonts w:ascii="Times New Roman" w:hAnsi="Times New Roman" w:eastAsia="黑体" w:cs="Times New Roman"/>
          <w:kern w:val="44"/>
          <w:sz w:val="32"/>
          <w:szCs w:val="32"/>
        </w:rPr>
      </w:pPr>
      <w:bookmarkStart w:id="4" w:name="_Toc29580"/>
      <w:r>
        <w:rPr>
          <w:rFonts w:ascii="Times New Roman" w:hAnsi="黑体" w:eastAsia="黑体" w:cs="Times New Roman"/>
          <w:kern w:val="44"/>
          <w:sz w:val="32"/>
          <w:szCs w:val="32"/>
        </w:rPr>
        <w:t>三、经验、问题和建议</w:t>
      </w:r>
      <w:bookmarkEnd w:id="4"/>
    </w:p>
    <w:p w14:paraId="2CE03723">
      <w:pPr>
        <w:pStyle w:val="3"/>
        <w:keepNext/>
        <w:keepLines/>
        <w:widowControl w:val="0"/>
        <w:spacing w:before="260" w:after="260" w:line="560" w:lineRule="exact"/>
        <w:ind w:firstLine="643" w:firstLineChars="200"/>
        <w:jc w:val="both"/>
        <w:rPr>
          <w:rFonts w:ascii="Times New Roman" w:hAnsi="Times New Roman" w:eastAsia="楷体_GB2312" w:cs="Times New Roman"/>
          <w:kern w:val="2"/>
          <w:sz w:val="32"/>
          <w:szCs w:val="32"/>
        </w:rPr>
      </w:pPr>
      <w:bookmarkStart w:id="5" w:name="_Toc19810"/>
      <w:r>
        <w:rPr>
          <w:rFonts w:ascii="Times New Roman" w:hAnsi="Times New Roman" w:eastAsia="楷体_GB2312" w:cs="Times New Roman"/>
          <w:kern w:val="2"/>
          <w:sz w:val="32"/>
          <w:szCs w:val="32"/>
        </w:rPr>
        <w:t>（一）主要经验及做法</w:t>
      </w:r>
      <w:bookmarkEnd w:id="5"/>
    </w:p>
    <w:p w14:paraId="6F295E12">
      <w:pPr>
        <w:widowControl/>
        <w:shd w:val="clear" w:color="auto" w:fill="FFFFFF"/>
        <w:spacing w:line="560" w:lineRule="exact"/>
        <w:ind w:firstLine="705"/>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机关事务管理服务中心根据</w:t>
      </w:r>
      <w:r>
        <w:rPr>
          <w:rFonts w:ascii="Times New Roman" w:hAnsi="仿宋_GB2312" w:eastAsia="仿宋_GB2312" w:cs="Times New Roman"/>
          <w:sz w:val="32"/>
          <w:szCs w:val="32"/>
        </w:rPr>
        <w:t>《盘龙区区级部门预算绩效自评管理暂行办法》、《昆明市盘龙区财政局关于开展</w:t>
      </w:r>
      <w:r>
        <w:rPr>
          <w:rFonts w:ascii="Times New Roman" w:hAnsi="Times New Roman" w:eastAsia="仿宋_GB2312" w:cs="Times New Roman"/>
          <w:sz w:val="32"/>
          <w:szCs w:val="32"/>
        </w:rPr>
        <w:t>2020</w:t>
      </w:r>
      <w:r>
        <w:rPr>
          <w:rFonts w:ascii="Times New Roman" w:hAnsi="仿宋_GB2312" w:eastAsia="仿宋_GB2312" w:cs="Times New Roman"/>
          <w:sz w:val="32"/>
          <w:szCs w:val="32"/>
        </w:rPr>
        <w:t>年度区级预算支出绩效自评工作的通知》</w:t>
      </w:r>
      <w:r>
        <w:rPr>
          <w:rFonts w:hint="eastAsia" w:ascii="仿宋_GB2312" w:hAnsi="仿宋_GB2312" w:eastAsia="仿宋_GB2312" w:cs="仿宋_GB2312"/>
          <w:sz w:val="32"/>
          <w:szCs w:val="32"/>
        </w:rPr>
        <w:t>（盘财绩</w:t>
      </w:r>
      <w:r>
        <w:rPr>
          <w:rFonts w:hint="eastAsia" w:ascii="仿宋_GB2312" w:eastAsia="仿宋_GB2312"/>
          <w:sz w:val="32"/>
          <w:szCs w:val="32"/>
        </w:rPr>
        <w:t>〔</w:t>
      </w:r>
      <w:r>
        <w:rPr>
          <w:rFonts w:hint="eastAsia" w:ascii="Times New Roman" w:hAnsi="Times New Roman" w:eastAsia="仿宋_GB2312"/>
          <w:sz w:val="32"/>
          <w:szCs w:val="32"/>
        </w:rPr>
        <w:t>20</w:t>
      </w:r>
      <w:r>
        <w:rPr>
          <w:rFonts w:hint="eastAsia" w:eastAsia="仿宋_GB2312"/>
          <w:sz w:val="32"/>
          <w:szCs w:val="32"/>
        </w:rPr>
        <w:t>21</w:t>
      </w:r>
      <w:r>
        <w:rPr>
          <w:rFonts w:hint="eastAsia" w:ascii="仿宋_GB2312" w:eastAsia="仿宋_GB2312"/>
          <w:sz w:val="32"/>
          <w:szCs w:val="32"/>
        </w:rPr>
        <w:t>〕</w:t>
      </w:r>
      <w:r>
        <w:rPr>
          <w:rFonts w:ascii="Times New Roman" w:hAnsi="Times New Roman" w:eastAsia="仿宋_GB2312" w:cs="Times New Roman"/>
          <w:sz w:val="32"/>
          <w:szCs w:val="32"/>
        </w:rPr>
        <w:t>2号</w:t>
      </w:r>
      <w:r>
        <w:rPr>
          <w:rFonts w:hint="eastAsia" w:ascii="仿宋_GB2312" w:hAnsi="仿宋_GB2312" w:eastAsia="仿宋_GB2312" w:cs="仿宋_GB2312"/>
          <w:sz w:val="32"/>
          <w:szCs w:val="32"/>
        </w:rPr>
        <w:t>）</w:t>
      </w:r>
      <w:r>
        <w:rPr>
          <w:rFonts w:ascii="Times New Roman" w:hAnsi="仿宋_GB2312" w:eastAsia="仿宋_GB2312" w:cs="Times New Roman"/>
          <w:sz w:val="32"/>
          <w:szCs w:val="32"/>
        </w:rPr>
        <w:t>文件</w:t>
      </w:r>
      <w:r>
        <w:rPr>
          <w:rFonts w:ascii="Times New Roman" w:hAnsi="Times New Roman" w:eastAsia="仿宋_GB2312" w:cs="Times New Roman"/>
          <w:color w:val="333333"/>
          <w:kern w:val="0"/>
          <w:sz w:val="32"/>
          <w:szCs w:val="32"/>
        </w:rPr>
        <w:t>精神，成立了自评小组，通过前期调研工作，充分了解评价项目有关情况；通过查看资金使用情况，核实2020年业务补助经费的各项支出的合法性、合规性；通过分析目标完成情况，查找存在的问题及总结好的经验方法，较好的完成了自评工作。</w:t>
      </w:r>
    </w:p>
    <w:p w14:paraId="6057F119">
      <w:pPr>
        <w:pStyle w:val="3"/>
        <w:keepNext/>
        <w:keepLines/>
        <w:widowControl w:val="0"/>
        <w:spacing w:before="260" w:after="260" w:line="560" w:lineRule="exact"/>
        <w:ind w:firstLine="643" w:firstLineChars="200"/>
        <w:jc w:val="both"/>
        <w:rPr>
          <w:rFonts w:ascii="Times New Roman" w:hAnsi="Times New Roman" w:eastAsia="楷体_GB2312" w:cs="Times New Roman"/>
          <w:kern w:val="2"/>
          <w:sz w:val="32"/>
          <w:szCs w:val="32"/>
        </w:rPr>
      </w:pPr>
      <w:bookmarkStart w:id="6" w:name="_Toc13426"/>
      <w:r>
        <w:rPr>
          <w:rFonts w:ascii="Times New Roman" w:hAnsi="Times New Roman" w:eastAsia="楷体_GB2312" w:cs="Times New Roman"/>
          <w:kern w:val="2"/>
          <w:sz w:val="32"/>
          <w:szCs w:val="32"/>
        </w:rPr>
        <w:t>（二）存在的问题</w:t>
      </w:r>
      <w:bookmarkEnd w:id="6"/>
    </w:p>
    <w:p w14:paraId="56F5EEB3">
      <w:pPr>
        <w:widowControl/>
        <w:shd w:val="clear" w:color="auto" w:fill="FFFFFF"/>
        <w:spacing w:line="560" w:lineRule="exact"/>
        <w:ind w:firstLine="705"/>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1.业务补助经费主要用于机关食堂运行维护费用支出，因地点分散及服务对象众多，我单位对工作人员和服务的监管相对薄弱，考核评价体系及相应制度欠缺。</w:t>
      </w:r>
    </w:p>
    <w:p w14:paraId="61AF92DE">
      <w:pPr>
        <w:widowControl/>
        <w:shd w:val="clear" w:color="auto" w:fill="FFFFFF"/>
        <w:spacing w:line="560" w:lineRule="exact"/>
        <w:ind w:firstLine="705"/>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2.为避免工作中出现矛盾，大部分人员的工资水平差距不大，致使部分人员的薪资水平与社会平均工资差异较大，使得这部分人工作积极性难以提高。</w:t>
      </w:r>
    </w:p>
    <w:p w14:paraId="0F3F8426">
      <w:pPr>
        <w:widowControl/>
        <w:shd w:val="clear" w:color="auto" w:fill="FFFFFF"/>
        <w:spacing w:line="560" w:lineRule="exact"/>
        <w:ind w:firstLine="705"/>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3.因工资水平整体偏低，致使日常工作中人员流动性较大，部分人员的综合素质不高，在服务质量上和干部职工的要求还有差距。</w:t>
      </w:r>
    </w:p>
    <w:p w14:paraId="59766B14">
      <w:pPr>
        <w:widowControl/>
        <w:shd w:val="clear" w:color="auto" w:fill="FFFFFF"/>
        <w:spacing w:line="560" w:lineRule="exact"/>
        <w:ind w:firstLine="705"/>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4.因种种特殊原因，向社会购买服务的范围有待进一步扩大。</w:t>
      </w:r>
    </w:p>
    <w:p w14:paraId="5E4082F5">
      <w:pPr>
        <w:pStyle w:val="3"/>
        <w:keepNext/>
        <w:keepLines/>
        <w:widowControl w:val="0"/>
        <w:spacing w:before="260" w:after="260" w:line="560" w:lineRule="exact"/>
        <w:ind w:firstLine="643" w:firstLineChars="200"/>
        <w:jc w:val="both"/>
        <w:rPr>
          <w:rFonts w:ascii="Times New Roman" w:hAnsi="Times New Roman" w:eastAsia="楷体_GB2312" w:cs="Times New Roman"/>
          <w:kern w:val="2"/>
          <w:sz w:val="32"/>
          <w:szCs w:val="32"/>
        </w:rPr>
      </w:pPr>
      <w:bookmarkStart w:id="7" w:name="_Toc13630"/>
      <w:r>
        <w:rPr>
          <w:rFonts w:ascii="Times New Roman" w:hAnsi="Times New Roman" w:eastAsia="楷体_GB2312" w:cs="Times New Roman"/>
          <w:kern w:val="2"/>
          <w:sz w:val="32"/>
          <w:szCs w:val="32"/>
        </w:rPr>
        <w:t>（三）建议和改进措施</w:t>
      </w:r>
      <w:bookmarkEnd w:id="7"/>
    </w:p>
    <w:p w14:paraId="3DA2EF96">
      <w:pPr>
        <w:widowControl/>
        <w:shd w:val="clear" w:color="auto" w:fill="FFFFFF"/>
        <w:spacing w:line="560" w:lineRule="exact"/>
        <w:ind w:firstLine="705"/>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1.根据不同的服务内容，制定更加科学、合理、细致的考核评价体系，强化对各类服务人员的日常监管，切实提高服务水平。</w:t>
      </w:r>
    </w:p>
    <w:p w14:paraId="016E32E0">
      <w:pPr>
        <w:widowControl/>
        <w:shd w:val="clear" w:color="auto" w:fill="FFFFFF"/>
        <w:spacing w:line="560" w:lineRule="exact"/>
        <w:ind w:firstLine="705"/>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2.根据不同工作岗位的重要性、工作量、专业技术水平等，制定更加合理的薪资标准，不断激励并倡导所有人员新城必学赶超的良好工作氛围。</w:t>
      </w:r>
    </w:p>
    <w:p w14:paraId="71051E7E">
      <w:pPr>
        <w:widowControl/>
        <w:shd w:val="clear" w:color="auto" w:fill="FFFFFF"/>
        <w:spacing w:line="560" w:lineRule="exact"/>
        <w:ind w:firstLine="705"/>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3.继续推行“减员增资”的工作方法，科学设置工作岗位的具体工作职责，压缩劳务派遣人员数量，不断提高劳务派遣人员的薪资收入，确保留得住人、干的成事。</w:t>
      </w:r>
    </w:p>
    <w:p w14:paraId="1B84C26B">
      <w:pPr>
        <w:widowControl/>
        <w:shd w:val="clear" w:color="auto" w:fill="FFFFFF"/>
        <w:spacing w:line="560" w:lineRule="exact"/>
        <w:ind w:firstLine="705"/>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4.积极探索向社会购买服务的模式，继续扩大机关后勤服务社会化程度，由服务提供者向监管者转变。</w:t>
      </w:r>
    </w:p>
    <w:p w14:paraId="7A56D01B">
      <w:pPr>
        <w:widowControl/>
        <w:shd w:val="clear" w:color="auto" w:fill="FFFFFF"/>
        <w:spacing w:line="560" w:lineRule="exact"/>
        <w:ind w:firstLine="705"/>
        <w:jc w:val="left"/>
        <w:rPr>
          <w:rFonts w:ascii="Times New Roman" w:hAnsi="Times New Roman" w:eastAsia="仿宋_GB2312" w:cs="Times New Roman"/>
          <w:color w:val="333333"/>
          <w:kern w:val="0"/>
          <w:sz w:val="32"/>
          <w:szCs w:val="32"/>
        </w:rPr>
      </w:pPr>
    </w:p>
    <w:p w14:paraId="7A6487D9">
      <w:pPr>
        <w:spacing w:line="560" w:lineRule="exact"/>
        <w:jc w:val="center"/>
        <w:rPr>
          <w:rFonts w:ascii="Times New Roman" w:hAnsi="Times New Roman" w:eastAsia="方正小标宋_GBK" w:cs="Times New Roman"/>
          <w:sz w:val="44"/>
          <w:szCs w:val="44"/>
        </w:rPr>
      </w:pPr>
    </w:p>
    <w:p w14:paraId="3E23FFE0">
      <w:pPr>
        <w:spacing w:line="560" w:lineRule="exact"/>
        <w:jc w:val="center"/>
        <w:rPr>
          <w:rFonts w:ascii="Times New Roman" w:hAnsi="Times New Roman" w:eastAsia="方正小标宋_GBK" w:cs="Times New Roman"/>
          <w:sz w:val="44"/>
          <w:szCs w:val="44"/>
        </w:rPr>
      </w:pPr>
    </w:p>
    <w:p w14:paraId="3CD13F55">
      <w:pPr>
        <w:spacing w:line="560" w:lineRule="exact"/>
        <w:jc w:val="center"/>
        <w:rPr>
          <w:rFonts w:ascii="Times New Roman" w:hAnsi="Times New Roman" w:eastAsia="方正小标宋_GBK" w:cs="Times New Roman"/>
          <w:sz w:val="44"/>
          <w:szCs w:val="44"/>
        </w:rPr>
      </w:pPr>
    </w:p>
    <w:p w14:paraId="65771155">
      <w:pPr>
        <w:spacing w:line="560" w:lineRule="exact"/>
        <w:jc w:val="center"/>
        <w:rPr>
          <w:rFonts w:ascii="Times New Roman" w:hAnsi="Times New Roman" w:eastAsia="方正小标宋_GBK" w:cs="Times New Roman"/>
          <w:b/>
          <w:bCs/>
          <w:sz w:val="44"/>
          <w:szCs w:val="44"/>
        </w:rPr>
      </w:pPr>
    </w:p>
    <w:p w14:paraId="1E486A9D">
      <w:pPr>
        <w:spacing w:line="560" w:lineRule="exact"/>
        <w:jc w:val="center"/>
        <w:rPr>
          <w:rFonts w:ascii="Times New Roman" w:hAnsi="Times New Roman" w:eastAsia="方正小标宋_GBK" w:cs="Times New Roman"/>
          <w:b/>
          <w:bCs/>
          <w:sz w:val="44"/>
          <w:szCs w:val="44"/>
        </w:rPr>
      </w:pPr>
      <w:r>
        <w:rPr>
          <w:rFonts w:ascii="Times New Roman" w:hAnsi="Times New Roman" w:eastAsia="方正小标宋_GBK" w:cs="Times New Roman"/>
          <w:b/>
          <w:bCs/>
          <w:sz w:val="44"/>
          <w:szCs w:val="44"/>
        </w:rPr>
        <w:t>正文：昆明市盘龙区机关事务管理服务中心业务补助经费项目支出绩效自评报告</w:t>
      </w:r>
    </w:p>
    <w:p w14:paraId="143574B5">
      <w:pPr>
        <w:widowControl/>
        <w:shd w:val="clear" w:color="auto" w:fill="FFFFFF"/>
        <w:spacing w:line="560" w:lineRule="exact"/>
        <w:ind w:firstLine="360"/>
        <w:jc w:val="left"/>
        <w:outlineLvl w:val="0"/>
        <w:rPr>
          <w:rFonts w:ascii="Times New Roman" w:hAnsi="Times New Roman" w:eastAsia="仿宋" w:cs="Times New Roman"/>
          <w:color w:val="333333"/>
          <w:kern w:val="0"/>
          <w:sz w:val="29"/>
          <w:szCs w:val="29"/>
        </w:rPr>
      </w:pPr>
    </w:p>
    <w:p w14:paraId="26A4E95C">
      <w:pPr>
        <w:pStyle w:val="2"/>
        <w:keepNext/>
        <w:keepLines/>
        <w:widowControl w:val="0"/>
        <w:spacing w:before="340" w:after="330" w:line="560" w:lineRule="exact"/>
        <w:ind w:firstLine="643" w:firstLineChars="200"/>
        <w:jc w:val="both"/>
        <w:rPr>
          <w:rFonts w:ascii="Times New Roman" w:hAnsi="Times New Roman" w:eastAsia="黑体" w:cs="Times New Roman"/>
          <w:kern w:val="44"/>
          <w:sz w:val="32"/>
          <w:szCs w:val="32"/>
        </w:rPr>
      </w:pPr>
      <w:bookmarkStart w:id="8" w:name="_Toc5587"/>
      <w:r>
        <w:rPr>
          <w:rFonts w:ascii="Times New Roman" w:hAnsi="黑体" w:eastAsia="黑体" w:cs="Times New Roman"/>
          <w:kern w:val="44"/>
          <w:sz w:val="32"/>
          <w:szCs w:val="32"/>
        </w:rPr>
        <w:t>一、项目基本情况</w:t>
      </w:r>
      <w:bookmarkEnd w:id="8"/>
    </w:p>
    <w:p w14:paraId="07CE9007">
      <w:pPr>
        <w:pStyle w:val="3"/>
        <w:keepNext/>
        <w:keepLines/>
        <w:widowControl w:val="0"/>
        <w:spacing w:before="260" w:after="260" w:line="560" w:lineRule="exact"/>
        <w:ind w:firstLine="643" w:firstLineChars="200"/>
        <w:jc w:val="both"/>
        <w:rPr>
          <w:rFonts w:ascii="Times New Roman" w:hAnsi="Times New Roman" w:eastAsia="楷体_GB2312" w:cs="Times New Roman"/>
          <w:kern w:val="2"/>
          <w:sz w:val="32"/>
          <w:szCs w:val="32"/>
        </w:rPr>
      </w:pPr>
      <w:bookmarkStart w:id="9" w:name="_Toc531033281"/>
      <w:bookmarkStart w:id="10" w:name="_Toc31829"/>
      <w:r>
        <w:rPr>
          <w:rFonts w:ascii="Times New Roman" w:hAnsi="Times New Roman" w:eastAsia="楷体_GB2312" w:cs="Times New Roman"/>
          <w:kern w:val="2"/>
          <w:sz w:val="32"/>
          <w:szCs w:val="32"/>
        </w:rPr>
        <w:t>（一）项目概况</w:t>
      </w:r>
      <w:bookmarkEnd w:id="9"/>
      <w:bookmarkEnd w:id="10"/>
    </w:p>
    <w:p w14:paraId="7C812406">
      <w:pPr>
        <w:widowControl/>
        <w:shd w:val="clear" w:color="auto" w:fill="FFFFFF"/>
        <w:spacing w:line="560" w:lineRule="exact"/>
        <w:ind w:firstLine="705"/>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1.项目立项背景及目的</w:t>
      </w:r>
    </w:p>
    <w:p w14:paraId="2F292899">
      <w:pPr>
        <w:widowControl/>
        <w:shd w:val="clear" w:color="auto" w:fill="FFFFFF"/>
        <w:spacing w:line="560" w:lineRule="exact"/>
        <w:ind w:firstLine="705"/>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机关事务管理服务中心的主要工作职责是为区委、区政府及区级国家机关各部委办局提供机关后勤综合服务。为贯彻党的十九大</w:t>
      </w:r>
      <w:bookmarkStart w:id="31" w:name="_GoBack"/>
      <w:bookmarkEnd w:id="31"/>
      <w:r>
        <w:rPr>
          <w:rFonts w:ascii="Times New Roman" w:hAnsi="Times New Roman" w:eastAsia="仿宋_GB2312" w:cs="Times New Roman"/>
          <w:color w:val="333333"/>
          <w:kern w:val="0"/>
          <w:sz w:val="32"/>
          <w:szCs w:val="32"/>
        </w:rPr>
        <w:t>精神以及习近平总书记系列重要讲话精神，我单位紧紧围绕区委、区政府中心工作，切实履行各项职责，高效服务，力促发展，保障了区委、区政府各项工作高效有序运转。通过机关食堂用餐服务，狠抓日常工作落实及服务监管，为区委、区政府提供了坚强有力的后勤保障服务。</w:t>
      </w:r>
    </w:p>
    <w:p w14:paraId="2BFE0919">
      <w:pPr>
        <w:widowControl/>
        <w:shd w:val="clear" w:color="auto" w:fill="FFFFFF"/>
        <w:spacing w:line="560" w:lineRule="exact"/>
        <w:ind w:firstLine="705"/>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为确保后勤服务正常开展，上级机关交办事项办理到位，需申请业务经费4577700元，用于机关食堂食材费、劳务派遣人员加班费、电费、煤气费、劳保用品费、材料维修费等支出。</w:t>
      </w:r>
    </w:p>
    <w:p w14:paraId="7E7EB7F9">
      <w:pPr>
        <w:widowControl/>
        <w:shd w:val="clear" w:color="auto" w:fill="FFFFFF"/>
        <w:spacing w:line="560" w:lineRule="exact"/>
        <w:ind w:firstLine="705"/>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2.项目实施情况</w:t>
      </w:r>
    </w:p>
    <w:p w14:paraId="055A512A">
      <w:pPr>
        <w:widowControl/>
        <w:shd w:val="clear" w:color="auto" w:fill="FFFFFF"/>
        <w:spacing w:line="560" w:lineRule="exact"/>
        <w:ind w:firstLine="705"/>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在区委、区政府的正确领导下，机关事务管理服务中心2020年充分调动工作人员的积极性，全年提供餐饮服务291105人次，</w:t>
      </w:r>
      <w:r>
        <w:rPr>
          <w:rFonts w:ascii="Times New Roman" w:hAnsi="Times New Roman" w:eastAsia="仿宋_GB2312" w:cs="Times New Roman"/>
          <w:sz w:val="32"/>
          <w:szCs w:val="32"/>
        </w:rPr>
        <w:t>接待用餐163桌次</w:t>
      </w:r>
      <w:r>
        <w:rPr>
          <w:rFonts w:ascii="Times New Roman" w:hAnsi="Times New Roman" w:eastAsia="仿宋_GB2312" w:cs="Times New Roman"/>
          <w:color w:val="333333"/>
          <w:kern w:val="0"/>
          <w:sz w:val="32"/>
          <w:szCs w:val="32"/>
        </w:rPr>
        <w:t>，其中：</w:t>
      </w:r>
      <w:r>
        <w:rPr>
          <w:rFonts w:ascii="Times New Roman" w:hAnsi="Times New Roman" w:eastAsia="仿宋_GB2312" w:cs="Times New Roman"/>
          <w:sz w:val="32"/>
          <w:szCs w:val="32"/>
        </w:rPr>
        <w:t>早餐115116人次、中餐162300人次、晚餐8629人次</w:t>
      </w:r>
      <w:r>
        <w:rPr>
          <w:rFonts w:ascii="Times New Roman" w:hAnsi="Times New Roman" w:eastAsia="仿宋_GB2312" w:cs="Times New Roman"/>
          <w:color w:val="333333"/>
          <w:kern w:val="0"/>
          <w:sz w:val="32"/>
          <w:szCs w:val="32"/>
        </w:rPr>
        <w:t>。</w:t>
      </w:r>
    </w:p>
    <w:p w14:paraId="6728FD69">
      <w:pPr>
        <w:widowControl/>
        <w:shd w:val="clear" w:color="auto" w:fill="FFFFFF"/>
        <w:spacing w:line="560" w:lineRule="exact"/>
        <w:ind w:firstLine="705"/>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 xml:space="preserve">3.项目资金来源及使用情况 </w:t>
      </w:r>
    </w:p>
    <w:p w14:paraId="2BD87B06">
      <w:pPr>
        <w:widowControl/>
        <w:shd w:val="clear" w:color="auto" w:fill="FFFFFF"/>
        <w:spacing w:line="560" w:lineRule="exact"/>
        <w:ind w:firstLine="705"/>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（1）项目经费来源</w:t>
      </w:r>
    </w:p>
    <w:p w14:paraId="4CBFE4B7">
      <w:pPr>
        <w:widowControl/>
        <w:shd w:val="clear" w:color="auto" w:fill="FFFFFF"/>
        <w:spacing w:line="560" w:lineRule="exact"/>
        <w:ind w:firstLine="705"/>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根据昆明市盘龙区财政局《关于下达盘龙区2020年部门预算的批复》（盘财〔202</w:t>
      </w:r>
      <w:r>
        <w:rPr>
          <w:rFonts w:hint="eastAsia" w:ascii="Times New Roman" w:hAnsi="Times New Roman" w:eastAsia="仿宋_GB2312" w:cs="Times New Roman"/>
          <w:color w:val="333333"/>
          <w:kern w:val="0"/>
          <w:sz w:val="32"/>
          <w:szCs w:val="32"/>
          <w:lang w:val="en-US" w:eastAsia="zh-CN"/>
        </w:rPr>
        <w:t>0</w:t>
      </w:r>
      <w:r>
        <w:rPr>
          <w:rFonts w:ascii="Times New Roman" w:hAnsi="Times New Roman" w:eastAsia="仿宋_GB2312" w:cs="Times New Roman"/>
          <w:color w:val="333333"/>
          <w:kern w:val="0"/>
          <w:sz w:val="32"/>
          <w:szCs w:val="32"/>
        </w:rPr>
        <w:t>〕1号）文件安排项目资金457.7万元，资金来源全部为区级财政拨款。</w:t>
      </w:r>
    </w:p>
    <w:p w14:paraId="114EB426">
      <w:pPr>
        <w:widowControl/>
        <w:shd w:val="clear" w:color="auto" w:fill="FFFFFF"/>
        <w:spacing w:line="560" w:lineRule="exact"/>
        <w:ind w:firstLine="705"/>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（2）项目经费使用情况</w:t>
      </w:r>
    </w:p>
    <w:p w14:paraId="651DFB9C">
      <w:pPr>
        <w:widowControl/>
        <w:shd w:val="clear" w:color="auto" w:fill="FFFFFF"/>
        <w:spacing w:line="560" w:lineRule="exact"/>
        <w:ind w:firstLine="705"/>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截至2020年12月31日，业务经费457.7元已全部支出，主要用于支付机关食堂食材费、劳务派遣人员加班费、电费、煤气费、劳保用品费、材料维修费等，具体详见下表：</w:t>
      </w:r>
    </w:p>
    <w:p w14:paraId="2B8C8486">
      <w:pPr>
        <w:widowControl/>
        <w:shd w:val="clear" w:color="auto" w:fill="FFFFFF"/>
        <w:spacing w:line="560" w:lineRule="exact"/>
        <w:ind w:firstLine="705"/>
        <w:jc w:val="right"/>
        <w:rPr>
          <w:rFonts w:ascii="Times New Roman" w:hAnsi="Times New Roman" w:eastAsia="仿宋_GB2312" w:cs="Times New Roman"/>
          <w:color w:val="333333"/>
          <w:kern w:val="0"/>
          <w:szCs w:val="24"/>
        </w:rPr>
      </w:pPr>
      <w:r>
        <w:rPr>
          <w:rFonts w:ascii="Times New Roman" w:hAnsi="Times New Roman" w:eastAsia="仿宋_GB2312" w:cs="Times New Roman"/>
          <w:color w:val="333333"/>
          <w:kern w:val="0"/>
          <w:sz w:val="24"/>
          <w:szCs w:val="29"/>
        </w:rPr>
        <w:t>单位：元</w:t>
      </w:r>
    </w:p>
    <w:tbl>
      <w:tblPr>
        <w:tblStyle w:val="10"/>
        <w:tblW w:w="8500" w:type="dxa"/>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15" w:type="dxa"/>
          <w:left w:w="15" w:type="dxa"/>
          <w:bottom w:w="15" w:type="dxa"/>
          <w:right w:w="15" w:type="dxa"/>
        </w:tblCellMar>
      </w:tblPr>
      <w:tblGrid>
        <w:gridCol w:w="2352"/>
        <w:gridCol w:w="2457"/>
        <w:gridCol w:w="2014"/>
        <w:gridCol w:w="1677"/>
      </w:tblGrid>
      <w:tr w14:paraId="57AFD71B">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619" w:hRule="atLeast"/>
          <w:jc w:val="center"/>
        </w:trPr>
        <w:tc>
          <w:tcPr>
            <w:tcW w:w="2352" w:type="dxa"/>
            <w:tcBorders>
              <w:top w:val="single" w:color="auto" w:sz="4" w:space="0"/>
              <w:left w:val="single" w:color="auto" w:sz="4" w:space="0"/>
              <w:bottom w:val="single" w:color="auto" w:sz="4" w:space="0"/>
              <w:right w:val="single" w:color="auto" w:sz="4" w:space="0"/>
            </w:tcBorders>
            <w:shd w:val="clear" w:color="auto" w:fill="FFFFFF"/>
            <w:vAlign w:val="center"/>
          </w:tcPr>
          <w:p w14:paraId="77AFD797">
            <w:pPr>
              <w:widowControl/>
              <w:spacing w:line="560" w:lineRule="exact"/>
              <w:jc w:val="center"/>
              <w:textAlignment w:val="bottom"/>
              <w:rPr>
                <w:rFonts w:ascii="Times New Roman" w:hAnsi="Times New Roman" w:eastAsia="仿宋_GB2312" w:cs="Times New Roman"/>
                <w:b/>
                <w:kern w:val="0"/>
                <w:sz w:val="24"/>
                <w:szCs w:val="24"/>
              </w:rPr>
            </w:pPr>
            <w:r>
              <w:rPr>
                <w:rFonts w:ascii="Times New Roman" w:hAnsi="Times New Roman" w:eastAsia="仿宋_GB2312" w:cs="Times New Roman"/>
                <w:b/>
                <w:kern w:val="0"/>
                <w:sz w:val="24"/>
                <w:szCs w:val="24"/>
              </w:rPr>
              <w:t>项目内容</w:t>
            </w:r>
          </w:p>
        </w:tc>
        <w:tc>
          <w:tcPr>
            <w:tcW w:w="2457" w:type="dxa"/>
            <w:tcBorders>
              <w:top w:val="single" w:color="auto" w:sz="4" w:space="0"/>
              <w:left w:val="single" w:color="auto" w:sz="4" w:space="0"/>
              <w:bottom w:val="single" w:color="auto" w:sz="4" w:space="0"/>
              <w:right w:val="single" w:color="auto" w:sz="4" w:space="0"/>
            </w:tcBorders>
            <w:shd w:val="clear" w:color="auto" w:fill="FFFFFF"/>
            <w:vAlign w:val="center"/>
          </w:tcPr>
          <w:p w14:paraId="630F9C75">
            <w:pPr>
              <w:widowControl/>
              <w:spacing w:line="560" w:lineRule="exact"/>
              <w:jc w:val="center"/>
              <w:textAlignment w:val="bottom"/>
              <w:rPr>
                <w:rFonts w:ascii="Times New Roman" w:hAnsi="Times New Roman" w:eastAsia="仿宋_GB2312" w:cs="Times New Roman"/>
                <w:b/>
                <w:kern w:val="0"/>
                <w:sz w:val="24"/>
                <w:szCs w:val="24"/>
              </w:rPr>
            </w:pPr>
            <w:r>
              <w:rPr>
                <w:rFonts w:ascii="Times New Roman" w:hAnsi="Times New Roman" w:eastAsia="仿宋_GB2312" w:cs="Times New Roman"/>
                <w:b/>
                <w:kern w:val="0"/>
                <w:sz w:val="24"/>
                <w:szCs w:val="24"/>
              </w:rPr>
              <w:t>年初预算资金安排</w:t>
            </w:r>
          </w:p>
        </w:tc>
        <w:tc>
          <w:tcPr>
            <w:tcW w:w="2014" w:type="dxa"/>
            <w:tcBorders>
              <w:top w:val="single" w:color="auto" w:sz="4" w:space="0"/>
              <w:left w:val="single" w:color="auto" w:sz="4" w:space="0"/>
              <w:bottom w:val="single" w:color="auto" w:sz="4" w:space="0"/>
              <w:right w:val="single" w:color="auto" w:sz="4" w:space="0"/>
            </w:tcBorders>
            <w:shd w:val="clear" w:color="auto" w:fill="FFFFFF"/>
            <w:vAlign w:val="center"/>
          </w:tcPr>
          <w:p w14:paraId="283F8A94">
            <w:pPr>
              <w:widowControl/>
              <w:spacing w:line="560" w:lineRule="exact"/>
              <w:jc w:val="center"/>
              <w:textAlignment w:val="bottom"/>
              <w:rPr>
                <w:rFonts w:ascii="Times New Roman" w:hAnsi="Times New Roman" w:eastAsia="仿宋_GB2312" w:cs="Times New Roman"/>
                <w:b/>
                <w:kern w:val="0"/>
                <w:sz w:val="24"/>
                <w:szCs w:val="24"/>
              </w:rPr>
            </w:pPr>
            <w:r>
              <w:rPr>
                <w:rFonts w:ascii="Times New Roman" w:hAnsi="Times New Roman" w:eastAsia="仿宋_GB2312" w:cs="Times New Roman"/>
                <w:b/>
                <w:kern w:val="0"/>
                <w:sz w:val="24"/>
                <w:szCs w:val="24"/>
              </w:rPr>
              <w:t>实际支出数</w:t>
            </w:r>
          </w:p>
        </w:tc>
        <w:tc>
          <w:tcPr>
            <w:tcW w:w="1677" w:type="dxa"/>
            <w:tcBorders>
              <w:top w:val="single" w:color="auto" w:sz="4" w:space="0"/>
              <w:left w:val="single" w:color="auto" w:sz="4" w:space="0"/>
              <w:bottom w:val="single" w:color="auto" w:sz="4" w:space="0"/>
              <w:right w:val="single" w:color="000000" w:sz="6" w:space="0"/>
            </w:tcBorders>
            <w:shd w:val="clear" w:color="auto" w:fill="FFFFFF"/>
            <w:vAlign w:val="center"/>
          </w:tcPr>
          <w:p w14:paraId="6B6A3473">
            <w:pPr>
              <w:widowControl/>
              <w:spacing w:line="560" w:lineRule="exact"/>
              <w:jc w:val="center"/>
              <w:textAlignment w:val="bottom"/>
              <w:rPr>
                <w:rFonts w:ascii="Times New Roman" w:hAnsi="Times New Roman" w:eastAsia="仿宋_GB2312" w:cs="Times New Roman"/>
                <w:b/>
                <w:kern w:val="0"/>
                <w:sz w:val="24"/>
                <w:szCs w:val="24"/>
              </w:rPr>
            </w:pPr>
            <w:r>
              <w:rPr>
                <w:rFonts w:ascii="Times New Roman" w:hAnsi="Times New Roman" w:eastAsia="仿宋_GB2312" w:cs="Times New Roman"/>
                <w:b/>
                <w:kern w:val="0"/>
                <w:sz w:val="24"/>
                <w:szCs w:val="24"/>
              </w:rPr>
              <w:t>预算执行率</w:t>
            </w:r>
          </w:p>
        </w:tc>
      </w:tr>
      <w:tr w14:paraId="6120629F">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581" w:hRule="atLeast"/>
          <w:jc w:val="center"/>
        </w:trPr>
        <w:tc>
          <w:tcPr>
            <w:tcW w:w="2352" w:type="dxa"/>
            <w:tcBorders>
              <w:top w:val="single" w:color="auto" w:sz="4" w:space="0"/>
              <w:left w:val="single" w:color="auto" w:sz="4" w:space="0"/>
              <w:bottom w:val="single" w:color="auto" w:sz="4" w:space="0"/>
              <w:right w:val="single" w:color="auto" w:sz="4" w:space="0"/>
            </w:tcBorders>
            <w:shd w:val="clear" w:color="auto" w:fill="FFFFFF"/>
            <w:vAlign w:val="center"/>
          </w:tcPr>
          <w:p w14:paraId="20002FC7">
            <w:pPr>
              <w:widowControl/>
              <w:spacing w:line="560" w:lineRule="exact"/>
              <w:jc w:val="center"/>
              <w:textAlignment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食材费</w:t>
            </w:r>
          </w:p>
        </w:tc>
        <w:tc>
          <w:tcPr>
            <w:tcW w:w="2457" w:type="dxa"/>
            <w:tcBorders>
              <w:top w:val="nil"/>
              <w:left w:val="nil"/>
              <w:bottom w:val="single" w:color="000000" w:sz="6" w:space="0"/>
              <w:right w:val="single" w:color="000000" w:sz="6" w:space="0"/>
            </w:tcBorders>
            <w:shd w:val="clear" w:color="auto" w:fill="FFFFFF"/>
            <w:vAlign w:val="center"/>
          </w:tcPr>
          <w:p w14:paraId="35E48355">
            <w:pPr>
              <w:widowControl/>
              <w:spacing w:line="560" w:lineRule="exact"/>
              <w:jc w:val="center"/>
              <w:textAlignment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3509236</w:t>
            </w:r>
          </w:p>
        </w:tc>
        <w:tc>
          <w:tcPr>
            <w:tcW w:w="2014" w:type="dxa"/>
            <w:tcBorders>
              <w:top w:val="nil"/>
              <w:left w:val="nil"/>
              <w:bottom w:val="single" w:color="000000" w:sz="6" w:space="0"/>
              <w:right w:val="single" w:color="000000" w:sz="6" w:space="0"/>
            </w:tcBorders>
            <w:shd w:val="clear" w:color="auto" w:fill="FFFFFF"/>
            <w:vAlign w:val="center"/>
          </w:tcPr>
          <w:p w14:paraId="218D64DC">
            <w:pPr>
              <w:widowControl/>
              <w:spacing w:line="560" w:lineRule="exact"/>
              <w:jc w:val="center"/>
              <w:textAlignment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3509236</w:t>
            </w:r>
          </w:p>
        </w:tc>
        <w:tc>
          <w:tcPr>
            <w:tcW w:w="1677" w:type="dxa"/>
            <w:vMerge w:val="restart"/>
            <w:tcBorders>
              <w:top w:val="nil"/>
              <w:left w:val="nil"/>
              <w:right w:val="single" w:color="000000" w:sz="6" w:space="0"/>
            </w:tcBorders>
            <w:shd w:val="clear" w:color="auto" w:fill="FFFFFF"/>
            <w:vAlign w:val="center"/>
          </w:tcPr>
          <w:p w14:paraId="52141F50">
            <w:pPr>
              <w:widowControl/>
              <w:spacing w:line="560" w:lineRule="exact"/>
              <w:jc w:val="center"/>
              <w:textAlignment w:val="bottom"/>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100%</w:t>
            </w:r>
          </w:p>
          <w:p w14:paraId="64551CFC">
            <w:pPr>
              <w:widowControl/>
              <w:spacing w:line="560" w:lineRule="exact"/>
              <w:jc w:val="center"/>
              <w:textAlignment w:val="bottom"/>
              <w:rPr>
                <w:rFonts w:ascii="Times New Roman" w:hAnsi="Times New Roman" w:eastAsia="仿宋_GB2312" w:cs="Times New Roman"/>
                <w:kern w:val="0"/>
                <w:sz w:val="24"/>
                <w:szCs w:val="24"/>
                <w:highlight w:val="yellow"/>
              </w:rPr>
            </w:pPr>
          </w:p>
        </w:tc>
      </w:tr>
      <w:tr w14:paraId="57F2AA95">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586" w:hRule="atLeast"/>
          <w:jc w:val="center"/>
        </w:trPr>
        <w:tc>
          <w:tcPr>
            <w:tcW w:w="2352" w:type="dxa"/>
            <w:tcBorders>
              <w:top w:val="single" w:color="auto" w:sz="4" w:space="0"/>
              <w:left w:val="single" w:color="auto" w:sz="4" w:space="0"/>
              <w:bottom w:val="single" w:color="auto" w:sz="4" w:space="0"/>
              <w:right w:val="single" w:color="auto" w:sz="4" w:space="0"/>
            </w:tcBorders>
            <w:shd w:val="clear" w:color="auto" w:fill="FFFFFF"/>
            <w:vAlign w:val="center"/>
          </w:tcPr>
          <w:p w14:paraId="23119E04">
            <w:pPr>
              <w:widowControl/>
              <w:spacing w:line="560" w:lineRule="exact"/>
              <w:jc w:val="center"/>
              <w:textAlignment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加班费</w:t>
            </w:r>
          </w:p>
        </w:tc>
        <w:tc>
          <w:tcPr>
            <w:tcW w:w="2457" w:type="dxa"/>
            <w:tcBorders>
              <w:top w:val="nil"/>
              <w:left w:val="nil"/>
              <w:bottom w:val="single" w:color="000000" w:sz="6" w:space="0"/>
              <w:right w:val="single" w:color="000000" w:sz="6" w:space="0"/>
            </w:tcBorders>
            <w:shd w:val="clear" w:color="auto" w:fill="FFFFFF"/>
            <w:vAlign w:val="center"/>
          </w:tcPr>
          <w:p w14:paraId="316F4267">
            <w:pPr>
              <w:widowControl/>
              <w:spacing w:line="560" w:lineRule="exact"/>
              <w:jc w:val="center"/>
              <w:textAlignment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283860</w:t>
            </w:r>
          </w:p>
        </w:tc>
        <w:tc>
          <w:tcPr>
            <w:tcW w:w="2014" w:type="dxa"/>
            <w:tcBorders>
              <w:top w:val="nil"/>
              <w:left w:val="nil"/>
              <w:bottom w:val="single" w:color="000000" w:sz="6" w:space="0"/>
              <w:right w:val="single" w:color="000000" w:sz="6" w:space="0"/>
            </w:tcBorders>
            <w:shd w:val="clear" w:color="auto" w:fill="FFFFFF"/>
            <w:vAlign w:val="center"/>
          </w:tcPr>
          <w:p w14:paraId="72928C0D">
            <w:pPr>
              <w:widowControl/>
              <w:spacing w:line="560" w:lineRule="exact"/>
              <w:jc w:val="center"/>
              <w:textAlignment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283860</w:t>
            </w:r>
          </w:p>
        </w:tc>
        <w:tc>
          <w:tcPr>
            <w:tcW w:w="1677" w:type="dxa"/>
            <w:vMerge w:val="continue"/>
            <w:tcBorders>
              <w:left w:val="nil"/>
              <w:right w:val="single" w:color="000000" w:sz="6" w:space="0"/>
            </w:tcBorders>
            <w:shd w:val="clear" w:color="auto" w:fill="FFFFFF"/>
            <w:vAlign w:val="center"/>
          </w:tcPr>
          <w:p w14:paraId="3C29E9E8">
            <w:pPr>
              <w:widowControl/>
              <w:spacing w:line="560" w:lineRule="exact"/>
              <w:jc w:val="center"/>
              <w:textAlignment w:val="bottom"/>
              <w:rPr>
                <w:rFonts w:ascii="Times New Roman" w:hAnsi="Times New Roman" w:eastAsia="仿宋_GB2312" w:cs="Times New Roman"/>
                <w:kern w:val="0"/>
                <w:sz w:val="24"/>
                <w:szCs w:val="24"/>
                <w:highlight w:val="yellow"/>
              </w:rPr>
            </w:pPr>
          </w:p>
        </w:tc>
      </w:tr>
      <w:tr w14:paraId="4ABF585A">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586" w:hRule="atLeast"/>
          <w:jc w:val="center"/>
        </w:trPr>
        <w:tc>
          <w:tcPr>
            <w:tcW w:w="2352" w:type="dxa"/>
            <w:tcBorders>
              <w:top w:val="single" w:color="auto" w:sz="4" w:space="0"/>
              <w:left w:val="single" w:color="auto" w:sz="4" w:space="0"/>
              <w:bottom w:val="single" w:color="auto" w:sz="4" w:space="0"/>
              <w:right w:val="single" w:color="auto" w:sz="4" w:space="0"/>
            </w:tcBorders>
            <w:shd w:val="clear" w:color="auto" w:fill="FFFFFF"/>
            <w:vAlign w:val="center"/>
          </w:tcPr>
          <w:p w14:paraId="4D38915F">
            <w:pPr>
              <w:widowControl/>
              <w:spacing w:line="560" w:lineRule="exact"/>
              <w:jc w:val="center"/>
              <w:textAlignment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燃料费</w:t>
            </w:r>
          </w:p>
        </w:tc>
        <w:tc>
          <w:tcPr>
            <w:tcW w:w="2457" w:type="dxa"/>
            <w:tcBorders>
              <w:top w:val="nil"/>
              <w:left w:val="nil"/>
              <w:bottom w:val="single" w:color="000000" w:sz="6" w:space="0"/>
              <w:right w:val="single" w:color="000000" w:sz="6" w:space="0"/>
            </w:tcBorders>
            <w:shd w:val="clear" w:color="auto" w:fill="FFFFFF"/>
            <w:vAlign w:val="center"/>
          </w:tcPr>
          <w:p w14:paraId="27009EB7">
            <w:pPr>
              <w:widowControl/>
              <w:spacing w:line="560" w:lineRule="exact"/>
              <w:jc w:val="center"/>
              <w:textAlignment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171202.43</w:t>
            </w:r>
          </w:p>
        </w:tc>
        <w:tc>
          <w:tcPr>
            <w:tcW w:w="2014" w:type="dxa"/>
            <w:tcBorders>
              <w:top w:val="nil"/>
              <w:left w:val="nil"/>
              <w:bottom w:val="single" w:color="000000" w:sz="6" w:space="0"/>
              <w:right w:val="single" w:color="000000" w:sz="6" w:space="0"/>
            </w:tcBorders>
            <w:shd w:val="clear" w:color="auto" w:fill="FFFFFF"/>
            <w:vAlign w:val="center"/>
          </w:tcPr>
          <w:p w14:paraId="68DDC3AC">
            <w:pPr>
              <w:widowControl/>
              <w:spacing w:line="560" w:lineRule="exact"/>
              <w:jc w:val="center"/>
              <w:textAlignment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171202.43</w:t>
            </w:r>
          </w:p>
        </w:tc>
        <w:tc>
          <w:tcPr>
            <w:tcW w:w="1677" w:type="dxa"/>
            <w:vMerge w:val="continue"/>
            <w:tcBorders>
              <w:left w:val="nil"/>
              <w:right w:val="single" w:color="000000" w:sz="6" w:space="0"/>
            </w:tcBorders>
            <w:shd w:val="clear" w:color="auto" w:fill="FFFFFF"/>
            <w:vAlign w:val="center"/>
          </w:tcPr>
          <w:p w14:paraId="734AE9E0">
            <w:pPr>
              <w:widowControl/>
              <w:spacing w:line="560" w:lineRule="exact"/>
              <w:jc w:val="center"/>
              <w:textAlignment w:val="bottom"/>
              <w:rPr>
                <w:rFonts w:ascii="Times New Roman" w:hAnsi="Times New Roman" w:eastAsia="仿宋_GB2312" w:cs="Times New Roman"/>
                <w:kern w:val="0"/>
                <w:sz w:val="24"/>
                <w:szCs w:val="24"/>
                <w:highlight w:val="yellow"/>
              </w:rPr>
            </w:pPr>
          </w:p>
        </w:tc>
      </w:tr>
      <w:tr w14:paraId="67E4E9F7">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586" w:hRule="atLeast"/>
          <w:jc w:val="center"/>
        </w:trPr>
        <w:tc>
          <w:tcPr>
            <w:tcW w:w="2352" w:type="dxa"/>
            <w:tcBorders>
              <w:top w:val="single" w:color="auto" w:sz="4" w:space="0"/>
              <w:left w:val="single" w:color="auto" w:sz="4" w:space="0"/>
              <w:bottom w:val="single" w:color="auto" w:sz="4" w:space="0"/>
              <w:right w:val="single" w:color="auto" w:sz="4" w:space="0"/>
            </w:tcBorders>
            <w:shd w:val="clear" w:color="auto" w:fill="FFFFFF"/>
            <w:vAlign w:val="center"/>
          </w:tcPr>
          <w:p w14:paraId="716935E6">
            <w:pPr>
              <w:widowControl/>
              <w:spacing w:line="560" w:lineRule="exact"/>
              <w:jc w:val="center"/>
              <w:textAlignment w:val="bottom"/>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材料维修费</w:t>
            </w:r>
          </w:p>
        </w:tc>
        <w:tc>
          <w:tcPr>
            <w:tcW w:w="2457" w:type="dxa"/>
            <w:tcBorders>
              <w:top w:val="nil"/>
              <w:left w:val="nil"/>
              <w:bottom w:val="single" w:color="auto" w:sz="4" w:space="0"/>
              <w:right w:val="single" w:color="000000" w:sz="6" w:space="0"/>
            </w:tcBorders>
            <w:shd w:val="clear" w:color="auto" w:fill="FFFFFF"/>
            <w:vAlign w:val="center"/>
          </w:tcPr>
          <w:p w14:paraId="0D4BDAE4">
            <w:pPr>
              <w:widowControl/>
              <w:spacing w:line="560" w:lineRule="exact"/>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462981.71</w:t>
            </w:r>
          </w:p>
        </w:tc>
        <w:tc>
          <w:tcPr>
            <w:tcW w:w="2014" w:type="dxa"/>
            <w:tcBorders>
              <w:top w:val="nil"/>
              <w:left w:val="nil"/>
              <w:bottom w:val="single" w:color="auto" w:sz="4" w:space="0"/>
              <w:right w:val="single" w:color="000000" w:sz="6" w:space="0"/>
            </w:tcBorders>
            <w:shd w:val="clear" w:color="auto" w:fill="FFFFFF"/>
            <w:vAlign w:val="center"/>
          </w:tcPr>
          <w:p w14:paraId="40DEBD38">
            <w:pPr>
              <w:widowControl/>
              <w:spacing w:line="560" w:lineRule="exact"/>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462981.71</w:t>
            </w:r>
          </w:p>
        </w:tc>
        <w:tc>
          <w:tcPr>
            <w:tcW w:w="1677" w:type="dxa"/>
            <w:vMerge w:val="continue"/>
            <w:tcBorders>
              <w:left w:val="nil"/>
              <w:right w:val="single" w:color="000000" w:sz="6" w:space="0"/>
            </w:tcBorders>
            <w:shd w:val="clear" w:color="auto" w:fill="FFFFFF"/>
            <w:vAlign w:val="center"/>
          </w:tcPr>
          <w:p w14:paraId="0C47639D">
            <w:pPr>
              <w:widowControl/>
              <w:spacing w:line="560" w:lineRule="exact"/>
              <w:jc w:val="center"/>
              <w:textAlignment w:val="bottom"/>
              <w:rPr>
                <w:rFonts w:ascii="Times New Roman" w:hAnsi="Times New Roman" w:eastAsia="仿宋_GB2312" w:cs="Times New Roman"/>
                <w:kern w:val="0"/>
                <w:sz w:val="24"/>
                <w:szCs w:val="24"/>
                <w:highlight w:val="yellow"/>
              </w:rPr>
            </w:pPr>
          </w:p>
        </w:tc>
      </w:tr>
      <w:tr w14:paraId="06868F0B">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581" w:hRule="atLeast"/>
          <w:jc w:val="center"/>
        </w:trPr>
        <w:tc>
          <w:tcPr>
            <w:tcW w:w="2352" w:type="dxa"/>
            <w:tcBorders>
              <w:top w:val="single" w:color="auto" w:sz="4" w:space="0"/>
              <w:left w:val="single" w:color="auto" w:sz="4" w:space="0"/>
              <w:bottom w:val="single" w:color="auto" w:sz="4" w:space="0"/>
              <w:right w:val="single" w:color="auto" w:sz="4" w:space="0"/>
            </w:tcBorders>
            <w:shd w:val="clear" w:color="auto" w:fill="FFFFFF"/>
            <w:vAlign w:val="center"/>
          </w:tcPr>
          <w:p w14:paraId="1B919DD6">
            <w:pPr>
              <w:widowControl/>
              <w:spacing w:line="560" w:lineRule="exact"/>
              <w:jc w:val="center"/>
              <w:textAlignment w:val="bottom"/>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清洁用品费</w:t>
            </w:r>
          </w:p>
        </w:tc>
        <w:tc>
          <w:tcPr>
            <w:tcW w:w="2457" w:type="dxa"/>
            <w:tcBorders>
              <w:top w:val="single" w:color="auto" w:sz="4" w:space="0"/>
              <w:left w:val="nil"/>
              <w:bottom w:val="single" w:color="auto" w:sz="4" w:space="0"/>
              <w:right w:val="single" w:color="000000" w:sz="6" w:space="0"/>
            </w:tcBorders>
            <w:shd w:val="clear" w:color="auto" w:fill="FFFFFF"/>
            <w:vAlign w:val="center"/>
          </w:tcPr>
          <w:p w14:paraId="57214A7B">
            <w:pPr>
              <w:widowControl/>
              <w:spacing w:line="560" w:lineRule="exact"/>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90922.81</w:t>
            </w:r>
          </w:p>
        </w:tc>
        <w:tc>
          <w:tcPr>
            <w:tcW w:w="2014" w:type="dxa"/>
            <w:tcBorders>
              <w:top w:val="single" w:color="auto" w:sz="4" w:space="0"/>
              <w:left w:val="nil"/>
              <w:bottom w:val="single" w:color="auto" w:sz="4" w:space="0"/>
              <w:right w:val="single" w:color="000000" w:sz="6" w:space="0"/>
            </w:tcBorders>
            <w:shd w:val="clear" w:color="auto" w:fill="FFFFFF"/>
            <w:vAlign w:val="center"/>
          </w:tcPr>
          <w:p w14:paraId="0698E32A">
            <w:pPr>
              <w:widowControl/>
              <w:spacing w:line="560" w:lineRule="exact"/>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90922.81</w:t>
            </w:r>
          </w:p>
        </w:tc>
        <w:tc>
          <w:tcPr>
            <w:tcW w:w="1677" w:type="dxa"/>
            <w:vMerge w:val="continue"/>
            <w:tcBorders>
              <w:left w:val="nil"/>
              <w:right w:val="single" w:color="000000" w:sz="6" w:space="0"/>
            </w:tcBorders>
            <w:shd w:val="clear" w:color="auto" w:fill="FFFFFF"/>
            <w:vAlign w:val="center"/>
          </w:tcPr>
          <w:p w14:paraId="2BA43511">
            <w:pPr>
              <w:widowControl/>
              <w:spacing w:line="560" w:lineRule="exact"/>
              <w:jc w:val="center"/>
              <w:textAlignment w:val="bottom"/>
              <w:rPr>
                <w:rFonts w:ascii="Times New Roman" w:hAnsi="Times New Roman" w:eastAsia="仿宋_GB2312" w:cs="Times New Roman"/>
                <w:kern w:val="0"/>
                <w:sz w:val="24"/>
                <w:szCs w:val="24"/>
                <w:highlight w:val="yellow"/>
              </w:rPr>
            </w:pPr>
          </w:p>
        </w:tc>
      </w:tr>
      <w:tr w14:paraId="74E6BC1A">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581" w:hRule="atLeast"/>
          <w:jc w:val="center"/>
        </w:trPr>
        <w:tc>
          <w:tcPr>
            <w:tcW w:w="2352" w:type="dxa"/>
            <w:tcBorders>
              <w:top w:val="single" w:color="auto" w:sz="4" w:space="0"/>
              <w:left w:val="single" w:color="auto" w:sz="4" w:space="0"/>
              <w:bottom w:val="single" w:color="auto" w:sz="4" w:space="0"/>
              <w:right w:val="single" w:color="auto" w:sz="4" w:space="0"/>
            </w:tcBorders>
            <w:shd w:val="clear" w:color="auto" w:fill="FFFFFF"/>
            <w:vAlign w:val="center"/>
          </w:tcPr>
          <w:p w14:paraId="3CD5F04E">
            <w:pPr>
              <w:widowControl/>
              <w:spacing w:line="560" w:lineRule="exact"/>
              <w:jc w:val="center"/>
              <w:textAlignment w:val="bottom"/>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其他费用</w:t>
            </w:r>
          </w:p>
        </w:tc>
        <w:tc>
          <w:tcPr>
            <w:tcW w:w="2457" w:type="dxa"/>
            <w:tcBorders>
              <w:top w:val="nil"/>
              <w:left w:val="nil"/>
              <w:bottom w:val="single" w:color="auto" w:sz="4" w:space="0"/>
              <w:right w:val="single" w:color="000000" w:sz="6" w:space="0"/>
            </w:tcBorders>
            <w:shd w:val="clear" w:color="auto" w:fill="FFFFFF"/>
            <w:vAlign w:val="center"/>
          </w:tcPr>
          <w:p w14:paraId="444F1F0D">
            <w:pPr>
              <w:widowControl/>
              <w:spacing w:line="560" w:lineRule="exact"/>
              <w:jc w:val="center"/>
              <w:textAlignment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59497.05</w:t>
            </w:r>
          </w:p>
        </w:tc>
        <w:tc>
          <w:tcPr>
            <w:tcW w:w="2014" w:type="dxa"/>
            <w:tcBorders>
              <w:top w:val="nil"/>
              <w:left w:val="nil"/>
              <w:bottom w:val="single" w:color="auto" w:sz="4" w:space="0"/>
              <w:right w:val="single" w:color="000000" w:sz="6" w:space="0"/>
            </w:tcBorders>
            <w:shd w:val="clear" w:color="auto" w:fill="FFFFFF"/>
            <w:vAlign w:val="center"/>
          </w:tcPr>
          <w:p w14:paraId="2B518A98">
            <w:pPr>
              <w:widowControl/>
              <w:spacing w:line="560" w:lineRule="exact"/>
              <w:jc w:val="center"/>
              <w:textAlignment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59497.05</w:t>
            </w:r>
          </w:p>
        </w:tc>
        <w:tc>
          <w:tcPr>
            <w:tcW w:w="1677" w:type="dxa"/>
            <w:vMerge w:val="continue"/>
            <w:tcBorders>
              <w:left w:val="nil"/>
              <w:right w:val="single" w:color="000000" w:sz="6" w:space="0"/>
            </w:tcBorders>
            <w:shd w:val="clear" w:color="auto" w:fill="FFFFFF"/>
            <w:vAlign w:val="center"/>
          </w:tcPr>
          <w:p w14:paraId="45BA5C3A">
            <w:pPr>
              <w:widowControl/>
              <w:spacing w:line="560" w:lineRule="exact"/>
              <w:jc w:val="center"/>
              <w:textAlignment w:val="bottom"/>
              <w:rPr>
                <w:rFonts w:ascii="Times New Roman" w:hAnsi="Times New Roman" w:eastAsia="仿宋_GB2312" w:cs="Times New Roman"/>
                <w:kern w:val="0"/>
                <w:sz w:val="24"/>
                <w:szCs w:val="24"/>
                <w:highlight w:val="yellow"/>
              </w:rPr>
            </w:pPr>
          </w:p>
        </w:tc>
      </w:tr>
      <w:tr w14:paraId="1A5A4499">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590" w:hRule="atLeast"/>
          <w:jc w:val="center"/>
        </w:trPr>
        <w:tc>
          <w:tcPr>
            <w:tcW w:w="2352" w:type="dxa"/>
            <w:tcBorders>
              <w:top w:val="single" w:color="auto" w:sz="4" w:space="0"/>
              <w:left w:val="single" w:color="auto" w:sz="4" w:space="0"/>
              <w:bottom w:val="single" w:color="auto" w:sz="4" w:space="0"/>
              <w:right w:val="single" w:color="auto" w:sz="4" w:space="0"/>
            </w:tcBorders>
            <w:shd w:val="clear" w:color="auto" w:fill="FFFFFF"/>
            <w:vAlign w:val="center"/>
          </w:tcPr>
          <w:p w14:paraId="7F25F3EE">
            <w:pPr>
              <w:widowControl/>
              <w:spacing w:line="560" w:lineRule="exact"/>
              <w:jc w:val="center"/>
              <w:textAlignment w:val="bottom"/>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2457" w:type="dxa"/>
            <w:tcBorders>
              <w:top w:val="single" w:color="auto" w:sz="4" w:space="0"/>
              <w:left w:val="single" w:color="000000" w:sz="6" w:space="0"/>
              <w:bottom w:val="single" w:color="auto" w:sz="4" w:space="0"/>
              <w:right w:val="single" w:color="auto" w:sz="4" w:space="0"/>
            </w:tcBorders>
            <w:shd w:val="clear" w:color="auto" w:fill="FFFFFF"/>
            <w:vAlign w:val="center"/>
          </w:tcPr>
          <w:p w14:paraId="544E2D7B">
            <w:pPr>
              <w:widowControl/>
              <w:spacing w:line="560" w:lineRule="exact"/>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4577700</w:t>
            </w:r>
          </w:p>
        </w:tc>
        <w:tc>
          <w:tcPr>
            <w:tcW w:w="2014" w:type="dxa"/>
            <w:tcBorders>
              <w:top w:val="single" w:color="auto" w:sz="4" w:space="0"/>
              <w:left w:val="single" w:color="000000" w:sz="6" w:space="0"/>
              <w:bottom w:val="single" w:color="auto" w:sz="4" w:space="0"/>
              <w:right w:val="single" w:color="auto" w:sz="4" w:space="0"/>
            </w:tcBorders>
            <w:shd w:val="clear" w:color="auto" w:fill="FFFFFF"/>
            <w:vAlign w:val="center"/>
          </w:tcPr>
          <w:p w14:paraId="45BF1A81">
            <w:pPr>
              <w:widowControl/>
              <w:spacing w:line="560" w:lineRule="exact"/>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4577700</w:t>
            </w:r>
          </w:p>
        </w:tc>
        <w:tc>
          <w:tcPr>
            <w:tcW w:w="1677" w:type="dxa"/>
            <w:vMerge w:val="continue"/>
            <w:tcBorders>
              <w:left w:val="nil"/>
              <w:bottom w:val="single" w:color="auto" w:sz="4" w:space="0"/>
              <w:right w:val="single" w:color="000000" w:sz="6" w:space="0"/>
            </w:tcBorders>
            <w:shd w:val="clear" w:color="auto" w:fill="FFFFFF"/>
            <w:vAlign w:val="center"/>
          </w:tcPr>
          <w:p w14:paraId="36B22D24">
            <w:pPr>
              <w:widowControl/>
              <w:spacing w:line="560" w:lineRule="exact"/>
              <w:jc w:val="center"/>
              <w:textAlignment w:val="bottom"/>
              <w:rPr>
                <w:rFonts w:ascii="Times New Roman" w:hAnsi="Times New Roman" w:eastAsia="仿宋_GB2312" w:cs="Times New Roman"/>
                <w:kern w:val="0"/>
                <w:sz w:val="24"/>
                <w:szCs w:val="24"/>
                <w:highlight w:val="yellow"/>
              </w:rPr>
            </w:pPr>
          </w:p>
        </w:tc>
      </w:tr>
    </w:tbl>
    <w:p w14:paraId="17456B14">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 xml:space="preserve"> 4.项目组织及管理情况 </w:t>
      </w:r>
    </w:p>
    <w:p w14:paraId="6C00EE2F">
      <w:pPr>
        <w:widowControl/>
        <w:shd w:val="clear" w:color="auto" w:fill="FFFFFF"/>
        <w:spacing w:line="560" w:lineRule="exact"/>
        <w:ind w:firstLine="705"/>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（1）食材费情况</w:t>
      </w:r>
    </w:p>
    <w:p w14:paraId="256167C3">
      <w:pPr>
        <w:widowControl/>
        <w:shd w:val="clear" w:color="auto" w:fill="FFFFFF"/>
        <w:spacing w:line="560" w:lineRule="exact"/>
        <w:ind w:firstLine="705"/>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我单位负责五个食堂的运行工作，所有食材的供应均签订了供货协议，食材费在当月供货完成后按月支付。通过对资金支付申请、付款单据等相关原始资料的检查，本项目资金拨付审批手续完整，支出依据合规，未发现虚列套取、截留、挤占、挪用情况和超标准开支的情况。</w:t>
      </w:r>
    </w:p>
    <w:p w14:paraId="096FA969">
      <w:pPr>
        <w:widowControl/>
        <w:shd w:val="clear" w:color="auto" w:fill="FFFFFF"/>
        <w:spacing w:line="560" w:lineRule="exact"/>
        <w:ind w:firstLine="705"/>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（2）加班费情况</w:t>
      </w:r>
    </w:p>
    <w:p w14:paraId="6EBF2175">
      <w:pPr>
        <w:widowControl/>
        <w:shd w:val="clear" w:color="auto" w:fill="FFFFFF"/>
        <w:spacing w:line="560" w:lineRule="exact"/>
        <w:ind w:firstLine="705"/>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我单位负责五个食堂的运行工作，该服务事项由劳务派遣人员提供，我单位通过综合比选的方式确定了劳务派遣公司。按照服务合同约定，劳务派遣人员的加班费在当月考勤核对完成后按月支付。通过对资金支付申请、付款单据等相关原始资料的检查，本项目资金拨付审批手续完整，支出依据合规，未发现虚列套取、截留、挤占、挪用情况和超标准开支的情况。</w:t>
      </w:r>
    </w:p>
    <w:p w14:paraId="4114C0FB">
      <w:pPr>
        <w:pStyle w:val="3"/>
        <w:keepNext/>
        <w:keepLines/>
        <w:widowControl w:val="0"/>
        <w:spacing w:before="260" w:after="260" w:line="560" w:lineRule="exact"/>
        <w:ind w:firstLine="643" w:firstLineChars="200"/>
        <w:jc w:val="both"/>
        <w:rPr>
          <w:rFonts w:ascii="Times New Roman" w:hAnsi="Times New Roman" w:eastAsia="楷体_GB2312" w:cs="Times New Roman"/>
          <w:kern w:val="2"/>
          <w:sz w:val="32"/>
          <w:szCs w:val="32"/>
        </w:rPr>
      </w:pPr>
      <w:bookmarkStart w:id="11" w:name="_Toc23679"/>
      <w:r>
        <w:rPr>
          <w:rFonts w:ascii="Times New Roman" w:hAnsi="Times New Roman" w:eastAsia="楷体_GB2312" w:cs="Times New Roman"/>
          <w:kern w:val="2"/>
          <w:sz w:val="32"/>
          <w:szCs w:val="32"/>
        </w:rPr>
        <w:t>（二）项目绩效目标</w:t>
      </w:r>
      <w:bookmarkEnd w:id="11"/>
    </w:p>
    <w:p w14:paraId="15365C8C">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1.总目标</w:t>
      </w:r>
    </w:p>
    <w:p w14:paraId="00A30B94">
      <w:pPr>
        <w:widowControl/>
        <w:shd w:val="clear" w:color="auto" w:fill="FFFFFF"/>
        <w:spacing w:line="560" w:lineRule="exact"/>
        <w:ind w:firstLine="705"/>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为确保区委、区政府后勤服务正常开展，上级机关交办事项办理到位，为各集中办公区工作人员提供餐饮服务。</w:t>
      </w:r>
    </w:p>
    <w:p w14:paraId="6F2CBACE">
      <w:pPr>
        <w:widowControl/>
        <w:shd w:val="clear" w:color="auto" w:fill="FFFFFF"/>
        <w:spacing w:line="560" w:lineRule="exact"/>
        <w:ind w:firstLine="64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2.年度目标</w:t>
      </w:r>
    </w:p>
    <w:p w14:paraId="0062B564">
      <w:pPr>
        <w:widowControl/>
        <w:shd w:val="clear" w:color="auto" w:fill="FFFFFF"/>
        <w:spacing w:line="560" w:lineRule="exact"/>
        <w:ind w:firstLine="555"/>
        <w:jc w:val="left"/>
        <w:outlineLvl w:val="0"/>
        <w:rPr>
          <w:rFonts w:ascii="Times New Roman" w:hAnsi="Times New Roman" w:eastAsia="仿宋_GB2312" w:cs="Times New Roman"/>
          <w:color w:val="333333"/>
          <w:kern w:val="0"/>
          <w:sz w:val="32"/>
          <w:szCs w:val="32"/>
        </w:rPr>
      </w:pPr>
      <w:bookmarkStart w:id="12" w:name="_Toc15266"/>
      <w:r>
        <w:rPr>
          <w:rFonts w:ascii="Times New Roman" w:hAnsi="Times New Roman" w:eastAsia="仿宋_GB2312" w:cs="Times New Roman"/>
          <w:color w:val="333333"/>
          <w:kern w:val="0"/>
          <w:sz w:val="32"/>
          <w:szCs w:val="32"/>
        </w:rPr>
        <w:t>完成集中办公区工作人员餐饮服务，做好食品留样工作，确保食品安全，全年组织员工健康体检不少于1次。</w:t>
      </w:r>
      <w:bookmarkEnd w:id="12"/>
    </w:p>
    <w:p w14:paraId="20DDD5E3">
      <w:pPr>
        <w:pStyle w:val="2"/>
        <w:keepNext/>
        <w:keepLines/>
        <w:widowControl w:val="0"/>
        <w:spacing w:before="340" w:after="330" w:line="560" w:lineRule="exact"/>
        <w:ind w:firstLine="643" w:firstLineChars="200"/>
        <w:jc w:val="both"/>
        <w:rPr>
          <w:rFonts w:ascii="Times New Roman" w:hAnsi="Times New Roman" w:eastAsia="微软雅黑" w:cs="Times New Roman"/>
          <w:b w:val="0"/>
          <w:bCs w:val="0"/>
          <w:color w:val="333333"/>
        </w:rPr>
      </w:pPr>
      <w:bookmarkStart w:id="13" w:name="_Toc12095"/>
      <w:r>
        <w:rPr>
          <w:rFonts w:ascii="Times New Roman" w:hAnsi="黑体" w:eastAsia="黑体" w:cs="Times New Roman"/>
          <w:kern w:val="44"/>
          <w:sz w:val="32"/>
          <w:szCs w:val="32"/>
        </w:rPr>
        <w:t>二、绩效评价工作情况</w:t>
      </w:r>
      <w:bookmarkEnd w:id="13"/>
    </w:p>
    <w:p w14:paraId="0FA5B084">
      <w:pPr>
        <w:pStyle w:val="3"/>
        <w:keepNext/>
        <w:keepLines/>
        <w:widowControl w:val="0"/>
        <w:spacing w:before="260" w:after="260" w:line="560" w:lineRule="exact"/>
        <w:ind w:firstLine="643" w:firstLineChars="200"/>
        <w:jc w:val="both"/>
        <w:rPr>
          <w:rFonts w:ascii="Times New Roman" w:hAnsi="Times New Roman" w:eastAsia="楷体_GB2312" w:cs="Times New Roman"/>
          <w:kern w:val="2"/>
          <w:sz w:val="32"/>
          <w:szCs w:val="32"/>
        </w:rPr>
      </w:pPr>
      <w:bookmarkStart w:id="14" w:name="_Toc12677"/>
      <w:r>
        <w:rPr>
          <w:rFonts w:ascii="Times New Roman" w:hAnsi="Times New Roman" w:eastAsia="楷体_GB2312" w:cs="Times New Roman"/>
          <w:kern w:val="2"/>
          <w:sz w:val="32"/>
          <w:szCs w:val="32"/>
        </w:rPr>
        <w:t>(一)评价的目的和依据</w:t>
      </w:r>
      <w:bookmarkEnd w:id="14"/>
    </w:p>
    <w:p w14:paraId="0DA279D6">
      <w:pPr>
        <w:widowControl/>
        <w:shd w:val="clear" w:color="auto" w:fill="FFFFFF"/>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1.评价目的</w:t>
      </w:r>
    </w:p>
    <w:p w14:paraId="780119CD">
      <w:pPr>
        <w:widowControl/>
        <w:shd w:val="clear" w:color="auto" w:fill="FFFFFF"/>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通过对项目实施以及财政专项资金使用情况的调研和评价，客观反映项目的实施状态、财政资金使用效益，总结项目成功经验，科学研判项目实施以及资金使用过程中存在的难题和局限，为进一步提升预算管理水平、提高公共服务质量、优化公共资源配置提供决策参考。</w:t>
      </w:r>
    </w:p>
    <w:p w14:paraId="57B896BB">
      <w:pPr>
        <w:widowControl/>
        <w:shd w:val="clear" w:color="auto" w:fill="FFFFFF"/>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2.评价主要依据</w:t>
      </w:r>
    </w:p>
    <w:p w14:paraId="29F4BDE0">
      <w:pPr>
        <w:widowControl/>
        <w:shd w:val="clear" w:color="auto" w:fill="FFFFFF"/>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（1）政府部门文件</w:t>
      </w:r>
    </w:p>
    <w:p w14:paraId="5BDCD5E4">
      <w:pPr>
        <w:widowControl/>
        <w:shd w:val="clear" w:color="auto" w:fill="FFFFFF"/>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《昆明市盘龙区财政局关于开展2020年度区级预算支出绩效自评工作的通知》</w:t>
      </w:r>
      <w:r>
        <w:rPr>
          <w:rFonts w:hint="eastAsia" w:ascii="仿宋_GB2312" w:hAnsi="仿宋_GB2312" w:eastAsia="仿宋_GB2312" w:cs="仿宋_GB2312"/>
          <w:sz w:val="32"/>
          <w:szCs w:val="32"/>
        </w:rPr>
        <w:t>（盘财绩</w:t>
      </w:r>
      <w:r>
        <w:rPr>
          <w:rFonts w:hint="eastAsia" w:ascii="仿宋_GB2312" w:eastAsia="仿宋_GB2312"/>
          <w:sz w:val="32"/>
          <w:szCs w:val="32"/>
        </w:rPr>
        <w:t>〔</w:t>
      </w:r>
      <w:r>
        <w:rPr>
          <w:rFonts w:hint="eastAsia" w:ascii="Times New Roman" w:hAnsi="Times New Roman" w:eastAsia="仿宋_GB2312"/>
          <w:sz w:val="32"/>
          <w:szCs w:val="32"/>
        </w:rPr>
        <w:t>20</w:t>
      </w:r>
      <w:r>
        <w:rPr>
          <w:rFonts w:hint="eastAsia" w:eastAsia="仿宋_GB2312"/>
          <w:sz w:val="32"/>
          <w:szCs w:val="32"/>
        </w:rPr>
        <w:t>21</w:t>
      </w:r>
      <w:r>
        <w:rPr>
          <w:rFonts w:hint="eastAsia" w:ascii="仿宋_GB2312" w:eastAsia="仿宋_GB2312"/>
          <w:sz w:val="32"/>
          <w:szCs w:val="32"/>
        </w:rPr>
        <w:t>〕</w:t>
      </w:r>
      <w:r>
        <w:rPr>
          <w:rFonts w:ascii="Times New Roman" w:hAnsi="Times New Roman" w:eastAsia="仿宋_GB2312" w:cs="Times New Roman"/>
          <w:sz w:val="32"/>
          <w:szCs w:val="32"/>
        </w:rPr>
        <w:t>2号</w:t>
      </w:r>
      <w:r>
        <w:rPr>
          <w:rFonts w:hint="eastAsia" w:ascii="仿宋_GB2312" w:hAnsi="仿宋_GB2312" w:eastAsia="仿宋_GB2312" w:cs="仿宋_GB2312"/>
          <w:sz w:val="32"/>
          <w:szCs w:val="32"/>
        </w:rPr>
        <w:t>）</w:t>
      </w:r>
      <w:r>
        <w:rPr>
          <w:rFonts w:ascii="Times New Roman" w:hAnsi="Times New Roman" w:eastAsia="仿宋_GB2312" w:cs="Times New Roman"/>
          <w:color w:val="333333"/>
          <w:kern w:val="0"/>
          <w:sz w:val="32"/>
          <w:szCs w:val="32"/>
        </w:rPr>
        <w:t>等文件。</w:t>
      </w:r>
    </w:p>
    <w:p w14:paraId="55A73FCA">
      <w:pPr>
        <w:widowControl/>
        <w:shd w:val="clear" w:color="auto" w:fill="FFFFFF"/>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（2）项目资料</w:t>
      </w:r>
    </w:p>
    <w:p w14:paraId="32168206">
      <w:pPr>
        <w:widowControl/>
        <w:shd w:val="clear" w:color="auto" w:fill="FFFFFF"/>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项目预算批复等相关文件，项目相关支出合同等。</w:t>
      </w:r>
    </w:p>
    <w:p w14:paraId="42154437">
      <w:pPr>
        <w:widowControl/>
        <w:shd w:val="clear" w:color="auto" w:fill="FFFFFF"/>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（3）财务资料及相关制度和标准</w:t>
      </w:r>
    </w:p>
    <w:p w14:paraId="36951ACA">
      <w:pPr>
        <w:widowControl/>
        <w:shd w:val="clear" w:color="auto" w:fill="FFFFFF"/>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财务资料：会计账簿、会计凭证、会计报表、决算报表等财务资料。</w:t>
      </w:r>
    </w:p>
    <w:p w14:paraId="2B301567">
      <w:pPr>
        <w:widowControl/>
        <w:shd w:val="clear" w:color="auto" w:fill="FFFFFF"/>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《中华人民共和国会计法》《事业单位会计制度》等。</w:t>
      </w:r>
    </w:p>
    <w:p w14:paraId="253C7EE9">
      <w:pPr>
        <w:pStyle w:val="3"/>
        <w:keepNext/>
        <w:keepLines/>
        <w:widowControl w:val="0"/>
        <w:spacing w:before="260" w:after="260" w:line="560" w:lineRule="exact"/>
        <w:ind w:firstLine="643" w:firstLineChars="200"/>
        <w:jc w:val="both"/>
        <w:rPr>
          <w:rFonts w:ascii="Times New Roman" w:hAnsi="Times New Roman" w:eastAsia="楷体_GB2312" w:cs="Times New Roman"/>
          <w:kern w:val="2"/>
          <w:sz w:val="32"/>
          <w:szCs w:val="32"/>
        </w:rPr>
      </w:pPr>
      <w:bookmarkStart w:id="15" w:name="_Toc8908"/>
      <w:r>
        <w:rPr>
          <w:rFonts w:ascii="Times New Roman" w:hAnsi="Times New Roman" w:eastAsia="楷体_GB2312" w:cs="Times New Roman"/>
          <w:kern w:val="2"/>
          <w:sz w:val="32"/>
          <w:szCs w:val="32"/>
        </w:rPr>
        <w:t>（二）绩效评价工作方案制定过程</w:t>
      </w:r>
      <w:bookmarkEnd w:id="15"/>
    </w:p>
    <w:p w14:paraId="2C5A7942">
      <w:pPr>
        <w:widowControl/>
        <w:shd w:val="clear" w:color="auto" w:fill="FFFFFF"/>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1.前期调研</w:t>
      </w:r>
    </w:p>
    <w:p w14:paraId="473968BB">
      <w:pPr>
        <w:widowControl/>
        <w:shd w:val="clear" w:color="auto" w:fill="FFFFFF"/>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本次绩效评价开始前，评价组对项目开展情况、资金使用管理情况、财务账务处理等进行了前期调研，掌握了项目运行的第一手资料，为该项目绩效评价工作的开展打下了坚实的基础。</w:t>
      </w:r>
    </w:p>
    <w:p w14:paraId="38E867D1">
      <w:pPr>
        <w:widowControl/>
        <w:shd w:val="clear" w:color="auto" w:fill="FFFFFF"/>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2.研究文件</w:t>
      </w:r>
    </w:p>
    <w:p w14:paraId="1FB2D529">
      <w:pPr>
        <w:widowControl/>
        <w:shd w:val="clear" w:color="auto" w:fill="FFFFFF"/>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评价组对《盘龙区区级部门预算绩效自评管理暂行办法》《昆明市盘龙区财政局关于开展2020年度区级预算支出绩效自评工作的通知》</w:t>
      </w:r>
      <w:r>
        <w:rPr>
          <w:rFonts w:hint="eastAsia" w:ascii="仿宋_GB2312" w:hAnsi="仿宋_GB2312" w:eastAsia="仿宋_GB2312" w:cs="仿宋_GB2312"/>
          <w:sz w:val="32"/>
          <w:szCs w:val="32"/>
        </w:rPr>
        <w:t>（盘财绩</w:t>
      </w:r>
      <w:r>
        <w:rPr>
          <w:rFonts w:hint="eastAsia" w:ascii="仿宋_GB2312" w:eastAsia="仿宋_GB2312"/>
          <w:sz w:val="32"/>
          <w:szCs w:val="32"/>
        </w:rPr>
        <w:t>〔</w:t>
      </w:r>
      <w:r>
        <w:rPr>
          <w:rFonts w:hint="eastAsia" w:ascii="Times New Roman" w:hAnsi="Times New Roman" w:eastAsia="仿宋_GB2312"/>
          <w:sz w:val="32"/>
          <w:szCs w:val="32"/>
        </w:rPr>
        <w:t>20</w:t>
      </w:r>
      <w:r>
        <w:rPr>
          <w:rFonts w:hint="eastAsia" w:eastAsia="仿宋_GB2312"/>
          <w:sz w:val="32"/>
          <w:szCs w:val="32"/>
        </w:rPr>
        <w:t>21</w:t>
      </w:r>
      <w:r>
        <w:rPr>
          <w:rFonts w:hint="eastAsia" w:ascii="仿宋_GB2312" w:eastAsia="仿宋_GB2312"/>
          <w:sz w:val="32"/>
          <w:szCs w:val="32"/>
        </w:rPr>
        <w:t>〕</w:t>
      </w:r>
      <w:r>
        <w:rPr>
          <w:rFonts w:ascii="Times New Roman" w:hAnsi="Times New Roman" w:eastAsia="仿宋_GB2312" w:cs="Times New Roman"/>
          <w:sz w:val="32"/>
          <w:szCs w:val="32"/>
        </w:rPr>
        <w:t>2号</w:t>
      </w:r>
      <w:r>
        <w:rPr>
          <w:rFonts w:hint="eastAsia" w:ascii="仿宋_GB2312" w:hAnsi="仿宋_GB2312" w:eastAsia="仿宋_GB2312" w:cs="仿宋_GB2312"/>
          <w:sz w:val="32"/>
          <w:szCs w:val="32"/>
        </w:rPr>
        <w:t>）</w:t>
      </w:r>
      <w:r>
        <w:rPr>
          <w:rFonts w:ascii="Times New Roman" w:hAnsi="Times New Roman" w:eastAsia="仿宋_GB2312" w:cs="Times New Roman"/>
          <w:color w:val="333333"/>
          <w:kern w:val="0"/>
          <w:sz w:val="32"/>
          <w:szCs w:val="32"/>
        </w:rPr>
        <w:t>进行了认真研究，吃透文件精神，以确保绩效评价工作符合区财政局的相关要求。</w:t>
      </w:r>
    </w:p>
    <w:p w14:paraId="21070343">
      <w:pPr>
        <w:widowControl/>
        <w:shd w:val="clear" w:color="auto" w:fill="FFFFFF"/>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3.绩效评价指标体系及工作方案的设计</w:t>
      </w:r>
    </w:p>
    <w:p w14:paraId="74476067">
      <w:pPr>
        <w:widowControl/>
        <w:shd w:val="clear" w:color="auto" w:fill="FFFFFF"/>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评价组参照《盘龙区区级部门预算绩效自评管理暂行办法》的项目支出共性指标，结合项目资金使用部门的职能职责和项目资金的具体用途，设计该项目支出的绩效评价指标体系和评价工作方案，以确保方案可行，绩效评价指标符合项目实际，具有准确性和可操作性。</w:t>
      </w:r>
    </w:p>
    <w:p w14:paraId="44C7B9D0">
      <w:pPr>
        <w:pStyle w:val="3"/>
        <w:keepNext/>
        <w:keepLines/>
        <w:widowControl w:val="0"/>
        <w:spacing w:before="260" w:after="260" w:line="560" w:lineRule="exact"/>
        <w:ind w:firstLine="643" w:firstLineChars="200"/>
        <w:jc w:val="both"/>
        <w:rPr>
          <w:rFonts w:ascii="Times New Roman" w:hAnsi="Times New Roman" w:eastAsia="楷体_GB2312" w:cs="Times New Roman"/>
          <w:kern w:val="2"/>
          <w:sz w:val="32"/>
          <w:szCs w:val="32"/>
        </w:rPr>
      </w:pPr>
      <w:bookmarkStart w:id="16" w:name="_Toc30814"/>
      <w:r>
        <w:rPr>
          <w:rFonts w:ascii="Times New Roman" w:hAnsi="Times New Roman" w:eastAsia="楷体_GB2312" w:cs="Times New Roman"/>
          <w:kern w:val="2"/>
          <w:sz w:val="32"/>
          <w:szCs w:val="32"/>
        </w:rPr>
        <w:t>（三）绩效评价原则及评价方法</w:t>
      </w:r>
      <w:bookmarkEnd w:id="16"/>
    </w:p>
    <w:p w14:paraId="6BB49723">
      <w:pPr>
        <w:widowControl/>
        <w:shd w:val="clear" w:color="auto" w:fill="FFFFFF"/>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1.绩效评价原则</w:t>
      </w:r>
    </w:p>
    <w:p w14:paraId="2ED1824A">
      <w:pPr>
        <w:widowControl/>
        <w:shd w:val="clear" w:color="auto" w:fill="FFFFFF"/>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评价工作组秉承科学规范、客观公正、定性定量的原则，采取计划标准、历史标准相结合的方式开展绩效评价。</w:t>
      </w:r>
    </w:p>
    <w:p w14:paraId="59F45ECE">
      <w:pPr>
        <w:widowControl/>
        <w:shd w:val="clear" w:color="auto" w:fill="FFFFFF"/>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2.绩效评价方法</w:t>
      </w:r>
    </w:p>
    <w:p w14:paraId="44F2A186">
      <w:pPr>
        <w:widowControl/>
        <w:shd w:val="clear" w:color="auto" w:fill="FFFFFF"/>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此次评价采用现场抽查、随机调查、文献查阅等方式进行，采取了以下几种评价方法。</w:t>
      </w:r>
    </w:p>
    <w:p w14:paraId="588BEA12">
      <w:pPr>
        <w:widowControl/>
        <w:shd w:val="clear" w:color="auto" w:fill="FFFFFF"/>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 xml:space="preserve">比较分析法：把两个相互联系的指标数据加以比较分析，借以做出程度性判断，分绝对数比较和相对数比较，如将实际成本与预算成本相比较。 </w:t>
      </w:r>
    </w:p>
    <w:p w14:paraId="5190D338">
      <w:pPr>
        <w:widowControl/>
        <w:shd w:val="clear" w:color="auto" w:fill="FFFFFF"/>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 xml:space="preserve">访谈法：随机访谈了相关工作人员，根据被询问者的答复搜集客观的、不带偏见的事实材料和评语。 </w:t>
      </w:r>
    </w:p>
    <w:p w14:paraId="5E9A0051">
      <w:pPr>
        <w:widowControl/>
        <w:shd w:val="clear" w:color="auto" w:fill="FFFFFF"/>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抽查法：抽查全部资金到位情况等。</w:t>
      </w:r>
    </w:p>
    <w:p w14:paraId="58C39F61">
      <w:pPr>
        <w:widowControl/>
        <w:shd w:val="clear" w:color="auto" w:fill="FFFFFF"/>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问卷调查法：围绕财务制度执行情况，相关管理办法是否执行等情况向相关人员开展广泛调查，获取第一手资料。</w:t>
      </w:r>
    </w:p>
    <w:p w14:paraId="1638B9E3">
      <w:pPr>
        <w:pStyle w:val="3"/>
        <w:keepNext/>
        <w:keepLines/>
        <w:widowControl w:val="0"/>
        <w:spacing w:before="260" w:after="260" w:line="560" w:lineRule="exact"/>
        <w:ind w:firstLine="643" w:firstLineChars="200"/>
        <w:jc w:val="both"/>
        <w:rPr>
          <w:rFonts w:ascii="Times New Roman" w:hAnsi="Times New Roman" w:eastAsia="楷体_GB2312" w:cs="Times New Roman"/>
          <w:kern w:val="2"/>
          <w:sz w:val="32"/>
          <w:szCs w:val="32"/>
        </w:rPr>
      </w:pPr>
      <w:bookmarkStart w:id="17" w:name="_Toc1639"/>
      <w:r>
        <w:rPr>
          <w:rFonts w:ascii="Times New Roman" w:hAnsi="Times New Roman" w:eastAsia="楷体_GB2312" w:cs="Times New Roman"/>
          <w:kern w:val="2"/>
          <w:sz w:val="32"/>
          <w:szCs w:val="32"/>
        </w:rPr>
        <w:t>(四) 绩效评价实施过程</w:t>
      </w:r>
      <w:bookmarkEnd w:id="17"/>
    </w:p>
    <w:p w14:paraId="1296A8B7">
      <w:pPr>
        <w:widowControl/>
        <w:shd w:val="clear" w:color="auto" w:fill="FFFFFF"/>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1.数据填报和采集</w:t>
      </w:r>
    </w:p>
    <w:p w14:paraId="528E8751">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评价组严格按照昆明市盘龙区财政局关于印发《盘龙区区级部门预算绩效自评管理暂行办法》的要求，结合本单位项目支出财务资料和2020年决算资料进行相关数据采集和填报。</w:t>
      </w:r>
    </w:p>
    <w:p w14:paraId="13AF285F">
      <w:pPr>
        <w:widowControl/>
        <w:shd w:val="clear" w:color="auto" w:fill="FFFFFF"/>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2.社会调查</w:t>
      </w:r>
    </w:p>
    <w:p w14:paraId="5023BEF0">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根据本项目的具体情况，本单位项目组成员针对本项目设计调查问卷，对本项目受益对象随机发放并收回了50份有效调查问卷，平均得分8分。</w:t>
      </w:r>
      <w:r>
        <w:rPr>
          <w:rFonts w:ascii="Times New Roman" w:hAnsi="Times New Roman" w:eastAsia="仿宋_GB2312" w:cs="Times New Roman"/>
          <w:color w:val="333333"/>
          <w:kern w:val="0"/>
          <w:sz w:val="32"/>
          <w:szCs w:val="32"/>
        </w:rPr>
        <w:br w:type="textWrapping"/>
      </w:r>
      <w:r>
        <w:rPr>
          <w:rFonts w:ascii="Times New Roman" w:hAnsi="Times New Roman" w:eastAsia="仿宋_GB2312" w:cs="Times New Roman"/>
          <w:color w:val="333333"/>
          <w:kern w:val="0"/>
          <w:sz w:val="32"/>
          <w:szCs w:val="32"/>
        </w:rPr>
        <w:t>  3.数据分析和撰写报告</w:t>
      </w:r>
    </w:p>
    <w:p w14:paraId="52D8E949">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评价组在前期数据采集和填报的基础上，对项目的成本控制、各项绩效指标进行了详细分析，严格按照《盘龙区区级部门预算绩效自评管理暂行办法》的要求撰写项目支出绩效评价报告。</w:t>
      </w:r>
    </w:p>
    <w:p w14:paraId="77D7A9AC">
      <w:pPr>
        <w:pStyle w:val="3"/>
        <w:keepNext/>
        <w:keepLines/>
        <w:widowControl w:val="0"/>
        <w:spacing w:before="260" w:after="260" w:line="560" w:lineRule="exact"/>
        <w:ind w:firstLine="643" w:firstLineChars="200"/>
        <w:jc w:val="both"/>
        <w:rPr>
          <w:rFonts w:ascii="Times New Roman" w:hAnsi="Times New Roman" w:eastAsia="楷体_GB2312" w:cs="Times New Roman"/>
          <w:kern w:val="2"/>
          <w:sz w:val="32"/>
          <w:szCs w:val="32"/>
        </w:rPr>
      </w:pPr>
      <w:bookmarkStart w:id="18" w:name="_Toc20289"/>
      <w:r>
        <w:rPr>
          <w:rFonts w:ascii="Times New Roman" w:hAnsi="Times New Roman" w:eastAsia="楷体_GB2312" w:cs="Times New Roman"/>
          <w:kern w:val="2"/>
          <w:sz w:val="32"/>
          <w:szCs w:val="32"/>
        </w:rPr>
        <w:t>（五）绩效评价的局限性</w:t>
      </w:r>
      <w:bookmarkEnd w:id="18"/>
    </w:p>
    <w:p w14:paraId="00477192">
      <w:pPr>
        <w:widowControl/>
        <w:shd w:val="clear" w:color="auto" w:fill="FFFFFF"/>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由于该项目为经费类项目，故以本单位实际开展日常工作情况为绩效效果进行考评，且资金管理由本单位进行统一管理。</w:t>
      </w:r>
    </w:p>
    <w:p w14:paraId="7B4088FF">
      <w:pPr>
        <w:pStyle w:val="2"/>
        <w:keepNext/>
        <w:keepLines/>
        <w:widowControl w:val="0"/>
        <w:spacing w:before="340" w:after="330" w:line="560" w:lineRule="exact"/>
        <w:ind w:firstLine="643" w:firstLineChars="200"/>
        <w:jc w:val="both"/>
        <w:rPr>
          <w:rFonts w:ascii="Times New Roman" w:hAnsi="Times New Roman" w:eastAsia="黑体" w:cs="Times New Roman"/>
          <w:kern w:val="44"/>
          <w:sz w:val="32"/>
          <w:szCs w:val="32"/>
        </w:rPr>
      </w:pPr>
      <w:bookmarkStart w:id="19" w:name="_Toc32321"/>
      <w:r>
        <w:rPr>
          <w:rFonts w:ascii="Times New Roman" w:hAnsi="黑体" w:eastAsia="黑体" w:cs="Times New Roman"/>
          <w:kern w:val="44"/>
          <w:sz w:val="32"/>
          <w:szCs w:val="32"/>
        </w:rPr>
        <w:t>三、评价结论和绩效分析</w:t>
      </w:r>
      <w:bookmarkEnd w:id="19"/>
    </w:p>
    <w:p w14:paraId="0E7520A9">
      <w:pPr>
        <w:pStyle w:val="3"/>
        <w:keepNext/>
        <w:keepLines/>
        <w:widowControl w:val="0"/>
        <w:spacing w:before="260" w:after="260" w:line="560" w:lineRule="exact"/>
        <w:ind w:firstLine="643" w:firstLineChars="200"/>
        <w:jc w:val="both"/>
        <w:rPr>
          <w:rFonts w:ascii="Times New Roman" w:hAnsi="Times New Roman" w:eastAsia="楷体_GB2312" w:cs="Times New Roman"/>
          <w:kern w:val="2"/>
          <w:sz w:val="32"/>
          <w:szCs w:val="32"/>
        </w:rPr>
      </w:pPr>
      <w:bookmarkStart w:id="20" w:name="_Toc27975"/>
      <w:r>
        <w:rPr>
          <w:rFonts w:ascii="Times New Roman" w:hAnsi="Times New Roman" w:eastAsia="楷体_GB2312" w:cs="Times New Roman"/>
          <w:kern w:val="2"/>
          <w:sz w:val="32"/>
          <w:szCs w:val="32"/>
        </w:rPr>
        <w:t>(一)评价结论</w:t>
      </w:r>
      <w:bookmarkEnd w:id="20"/>
    </w:p>
    <w:p w14:paraId="428A6319">
      <w:pPr>
        <w:widowControl/>
        <w:shd w:val="clear" w:color="auto" w:fill="FFFFFF"/>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 xml:space="preserve">1.评价结果 </w:t>
      </w:r>
    </w:p>
    <w:p w14:paraId="63341558">
      <w:pPr>
        <w:widowControl/>
        <w:shd w:val="clear" w:color="auto" w:fill="FFFFFF"/>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根据对投入类指标、过程类指标和产出效益类指标的分析，本项目立项规范，绩效目标质量较好，项目管理制度执行情况良好。项目严格执行财务管理相关制度的规定，财务制度健全，管理规范，做到了专款专用，无贪污、截留、挪用现象。</w:t>
      </w:r>
    </w:p>
    <w:p w14:paraId="1E9AAB0F">
      <w:pPr>
        <w:widowControl/>
        <w:shd w:val="clear" w:color="auto" w:fill="FFFFFF"/>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综上，根据《盘龙区区级部门预算绩效自评管理暂行办法》，项目绩效评价得分为94分，自评结果为优。</w:t>
      </w:r>
    </w:p>
    <w:p w14:paraId="1AAE6E56">
      <w:pPr>
        <w:widowControl/>
        <w:shd w:val="clear" w:color="auto" w:fill="FFFFFF"/>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2.主要绩效</w:t>
      </w:r>
    </w:p>
    <w:p w14:paraId="7BF4C401">
      <w:pPr>
        <w:widowControl/>
        <w:shd w:val="clear" w:color="auto" w:fill="FFFFFF"/>
        <w:spacing w:line="560" w:lineRule="exact"/>
        <w:ind w:firstLine="705"/>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本项目不属于投资建设类项目，主要内容为我单位管理的机关食堂食材费、劳务派遣人员加班费、电费、煤气费、劳保用品费、材料维修费等支出。机关事务管理服务中心2020年度该项工作完成效益较好，保证了区委、区政府各项工作的顺利开展。</w:t>
      </w:r>
    </w:p>
    <w:p w14:paraId="619A4CFC">
      <w:pPr>
        <w:pStyle w:val="3"/>
        <w:keepNext/>
        <w:keepLines/>
        <w:widowControl w:val="0"/>
        <w:spacing w:before="260" w:after="260" w:line="560" w:lineRule="exact"/>
        <w:ind w:firstLine="643" w:firstLineChars="200"/>
        <w:jc w:val="both"/>
        <w:rPr>
          <w:rFonts w:ascii="Times New Roman" w:hAnsi="Times New Roman" w:eastAsia="楷体_GB2312" w:cs="Times New Roman"/>
          <w:kern w:val="2"/>
          <w:sz w:val="32"/>
          <w:szCs w:val="32"/>
        </w:rPr>
      </w:pPr>
      <w:bookmarkStart w:id="21" w:name="_Toc8725"/>
      <w:r>
        <w:rPr>
          <w:rFonts w:ascii="Times New Roman" w:hAnsi="Times New Roman" w:eastAsia="楷体_GB2312" w:cs="Times New Roman"/>
          <w:kern w:val="2"/>
          <w:sz w:val="32"/>
          <w:szCs w:val="32"/>
        </w:rPr>
        <w:t>（二）具体绩效分析</w:t>
      </w:r>
      <w:bookmarkEnd w:id="21"/>
    </w:p>
    <w:p w14:paraId="6EC93E9F">
      <w:pPr>
        <w:widowControl/>
        <w:shd w:val="clear" w:color="auto" w:fill="FFFFFF"/>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具体详见附件1（业务经费项目支出绩效评价共性指标体系）</w:t>
      </w:r>
      <w:bookmarkStart w:id="22" w:name="_Toc522800820"/>
      <w:bookmarkEnd w:id="22"/>
    </w:p>
    <w:p w14:paraId="48CAC690">
      <w:pPr>
        <w:pStyle w:val="2"/>
        <w:keepNext/>
        <w:keepLines/>
        <w:widowControl w:val="0"/>
        <w:spacing w:before="340" w:after="330" w:line="560" w:lineRule="exact"/>
        <w:ind w:firstLine="643" w:firstLineChars="200"/>
        <w:jc w:val="both"/>
        <w:rPr>
          <w:rFonts w:ascii="Times New Roman" w:hAnsi="Times New Roman" w:eastAsia="黑体" w:cs="Times New Roman"/>
          <w:kern w:val="44"/>
          <w:sz w:val="32"/>
          <w:szCs w:val="32"/>
        </w:rPr>
      </w:pPr>
      <w:bookmarkStart w:id="23" w:name="_Toc23606"/>
      <w:r>
        <w:rPr>
          <w:rFonts w:ascii="Times New Roman" w:hAnsi="黑体" w:eastAsia="黑体" w:cs="Times New Roman"/>
          <w:kern w:val="44"/>
          <w:sz w:val="32"/>
          <w:szCs w:val="32"/>
        </w:rPr>
        <w:t>四、成本效益分析</w:t>
      </w:r>
      <w:bookmarkEnd w:id="23"/>
    </w:p>
    <w:p w14:paraId="30948BE4">
      <w:pPr>
        <w:pStyle w:val="3"/>
        <w:keepNext/>
        <w:keepLines/>
        <w:widowControl w:val="0"/>
        <w:spacing w:before="260" w:after="260" w:line="560" w:lineRule="exact"/>
        <w:ind w:firstLine="643" w:firstLineChars="200"/>
        <w:jc w:val="both"/>
        <w:rPr>
          <w:rFonts w:ascii="Times New Roman" w:hAnsi="Times New Roman" w:eastAsia="楷体_GB2312" w:cs="Times New Roman"/>
          <w:kern w:val="2"/>
          <w:sz w:val="32"/>
          <w:szCs w:val="32"/>
        </w:rPr>
      </w:pPr>
      <w:bookmarkStart w:id="24" w:name="_Toc18853"/>
      <w:r>
        <w:rPr>
          <w:rFonts w:ascii="Times New Roman" w:hAnsi="Times New Roman" w:eastAsia="楷体_GB2312" w:cs="Times New Roman"/>
          <w:kern w:val="2"/>
          <w:sz w:val="32"/>
          <w:szCs w:val="32"/>
        </w:rPr>
        <w:t>（一）项目经济性分析</w:t>
      </w:r>
      <w:bookmarkEnd w:id="24"/>
    </w:p>
    <w:p w14:paraId="28107075">
      <w:pPr>
        <w:widowControl/>
        <w:shd w:val="clear" w:color="auto" w:fill="FFFFFF"/>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1.项目成本控制情况</w:t>
      </w:r>
    </w:p>
    <w:p w14:paraId="24430C52">
      <w:pPr>
        <w:widowControl/>
        <w:shd w:val="clear" w:color="auto" w:fill="FFFFFF"/>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根据昆明市盘龙区财政局昆明市盘龙区财政局《关于下达盘龙区20</w:t>
      </w:r>
      <w:r>
        <w:rPr>
          <w:rFonts w:hint="eastAsia" w:ascii="Times New Roman" w:hAnsi="Times New Roman" w:eastAsia="仿宋_GB2312" w:cs="Times New Roman"/>
          <w:color w:val="333333"/>
          <w:kern w:val="0"/>
          <w:sz w:val="32"/>
          <w:szCs w:val="32"/>
          <w:lang w:val="en-US" w:eastAsia="zh-CN"/>
        </w:rPr>
        <w:t>20</w:t>
      </w:r>
      <w:r>
        <w:rPr>
          <w:rFonts w:ascii="Times New Roman" w:hAnsi="Times New Roman" w:eastAsia="仿宋_GB2312" w:cs="Times New Roman"/>
          <w:color w:val="333333"/>
          <w:kern w:val="0"/>
          <w:sz w:val="32"/>
          <w:szCs w:val="32"/>
        </w:rPr>
        <w:t>年部门预算的批复》（盘财〔2020〕1号）下达“业务补助经费”4577700元，本次绩效评价实际到位资金4577700元，用于机关食堂食材费、劳务派遣人员加班费、电费、煤气费、劳保用品费、材料维修费等支出。机关事务管理服务中心相关财务资料显示资金支出4577700元，项目资金使用控制在预算范围内。</w:t>
      </w:r>
    </w:p>
    <w:p w14:paraId="227CE3A6">
      <w:pPr>
        <w:widowControl/>
        <w:shd w:val="clear" w:color="auto" w:fill="FFFFFF"/>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2.项目的效率性分析</w:t>
      </w:r>
    </w:p>
    <w:p w14:paraId="13DECD6F">
      <w:pPr>
        <w:widowControl/>
        <w:shd w:val="clear" w:color="auto" w:fill="FFFFFF"/>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根据相关的项目资料显示，截止2020年12月31日，本单位各项工作均有序进行。</w:t>
      </w:r>
    </w:p>
    <w:p w14:paraId="27BBAF11">
      <w:pPr>
        <w:pStyle w:val="3"/>
        <w:keepNext/>
        <w:keepLines/>
        <w:widowControl w:val="0"/>
        <w:spacing w:before="260" w:after="260" w:line="560" w:lineRule="exact"/>
        <w:ind w:firstLine="643" w:firstLineChars="200"/>
        <w:jc w:val="both"/>
        <w:rPr>
          <w:rFonts w:ascii="Times New Roman" w:hAnsi="Times New Roman" w:eastAsia="楷体_GB2312" w:cs="Times New Roman"/>
          <w:kern w:val="2"/>
          <w:sz w:val="32"/>
          <w:szCs w:val="32"/>
        </w:rPr>
      </w:pPr>
      <w:bookmarkStart w:id="25" w:name="_Toc32152"/>
      <w:r>
        <w:rPr>
          <w:rFonts w:ascii="Times New Roman" w:hAnsi="Times New Roman" w:eastAsia="楷体_GB2312" w:cs="Times New Roman"/>
          <w:kern w:val="2"/>
          <w:sz w:val="32"/>
          <w:szCs w:val="32"/>
        </w:rPr>
        <w:t>（二）项目的效益性分析</w:t>
      </w:r>
      <w:bookmarkEnd w:id="25"/>
    </w:p>
    <w:p w14:paraId="290D0B57">
      <w:pPr>
        <w:widowControl/>
        <w:shd w:val="clear" w:color="auto" w:fill="FFFFFF"/>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1.经济效益</w:t>
      </w:r>
    </w:p>
    <w:p w14:paraId="3B683152">
      <w:pPr>
        <w:spacing w:line="560" w:lineRule="exact"/>
        <w:ind w:firstLine="640" w:firstLineChars="200"/>
        <w:rPr>
          <w:rFonts w:ascii="Times New Roman" w:hAnsi="Times New Roman" w:eastAsia="仿宋_GB2312" w:cs="Times New Roman"/>
          <w:sz w:val="32"/>
          <w:szCs w:val="32"/>
        </w:rPr>
      </w:pPr>
      <w:r>
        <w:rPr>
          <w:rFonts w:ascii="Times New Roman" w:hAnsi="仿宋_GB2312" w:eastAsia="仿宋_GB2312" w:cs="Times New Roman"/>
          <w:sz w:val="32"/>
          <w:szCs w:val="32"/>
        </w:rPr>
        <w:t>机关食堂工作是一项后勤保障工作，其直接和间接的经济效益难以计算。在本项目的实施过程中，其直接和间接的经济效益主要体现在以下几个方面：</w:t>
      </w:r>
    </w:p>
    <w:p w14:paraId="5ED2C097">
      <w:pPr>
        <w:spacing w:line="560" w:lineRule="exact"/>
        <w:ind w:firstLine="640" w:firstLineChars="200"/>
        <w:rPr>
          <w:rFonts w:ascii="Times New Roman" w:hAnsi="Times New Roman" w:eastAsia="仿宋_GB2312" w:cs="Times New Roman"/>
          <w:sz w:val="32"/>
          <w:szCs w:val="32"/>
        </w:rPr>
      </w:pPr>
      <w:r>
        <w:rPr>
          <w:rFonts w:ascii="Times New Roman" w:hAnsi="仿宋_GB2312" w:eastAsia="仿宋_GB2312" w:cs="Times New Roman"/>
          <w:sz w:val="32"/>
          <w:szCs w:val="32"/>
        </w:rPr>
        <w:t>（</w:t>
      </w:r>
      <w:r>
        <w:rPr>
          <w:rFonts w:ascii="Times New Roman" w:hAnsi="Times New Roman" w:eastAsia="仿宋_GB2312" w:cs="Times New Roman"/>
          <w:sz w:val="32"/>
          <w:szCs w:val="32"/>
        </w:rPr>
        <w:t>1</w:t>
      </w:r>
      <w:r>
        <w:rPr>
          <w:rFonts w:ascii="Times New Roman" w:hAnsi="仿宋_GB2312" w:eastAsia="仿宋_GB2312" w:cs="Times New Roman"/>
          <w:sz w:val="32"/>
          <w:szCs w:val="32"/>
        </w:rPr>
        <w:t>）盘龙区机关食堂人员进行劳务派遣，通过公司完善的用人管理模式，最大限度地降低机关事务局人力资源利用成本和风险。如：工资薪酬的发放、社会保险的代收代缴、合同的签订、续订和解除，相关问题和争议的处理、日常一系列的人事管理等全部由聘请的专业公司负责。这样机关事务局不但提高了管理水平和服务水平，还有效地降低人员运行成本。</w:t>
      </w:r>
    </w:p>
    <w:p w14:paraId="31BBF72B">
      <w:pPr>
        <w:spacing w:line="560" w:lineRule="exact"/>
        <w:ind w:firstLine="640" w:firstLineChars="200"/>
        <w:rPr>
          <w:rFonts w:ascii="Times New Roman" w:hAnsi="Times New Roman" w:eastAsia="仿宋_GB2312" w:cs="Times New Roman"/>
          <w:sz w:val="32"/>
          <w:szCs w:val="32"/>
        </w:rPr>
      </w:pPr>
      <w:r>
        <w:rPr>
          <w:rFonts w:ascii="Times New Roman" w:hAnsi="仿宋_GB2312" w:eastAsia="仿宋_GB2312" w:cs="Times New Roman"/>
          <w:sz w:val="32"/>
          <w:szCs w:val="32"/>
        </w:rPr>
        <w:t>（</w:t>
      </w:r>
      <w:r>
        <w:rPr>
          <w:rFonts w:ascii="Times New Roman" w:hAnsi="Times New Roman" w:eastAsia="仿宋_GB2312" w:cs="Times New Roman"/>
          <w:sz w:val="32"/>
          <w:szCs w:val="32"/>
        </w:rPr>
        <w:t>2</w:t>
      </w:r>
      <w:r>
        <w:rPr>
          <w:rFonts w:ascii="Times New Roman" w:hAnsi="仿宋_GB2312" w:eastAsia="仿宋_GB2312" w:cs="Times New Roman"/>
          <w:sz w:val="32"/>
          <w:szCs w:val="32"/>
        </w:rPr>
        <w:t>）机关食堂的食品、菜品采购由采购办、财务室、食堂三方监管执行，加强了成本控制，节约了成本。</w:t>
      </w:r>
    </w:p>
    <w:p w14:paraId="7F9F61CE">
      <w:pPr>
        <w:widowControl/>
        <w:shd w:val="clear" w:color="auto" w:fill="FFFFFF"/>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2.社会效益</w:t>
      </w:r>
    </w:p>
    <w:p w14:paraId="04C020DA">
      <w:pPr>
        <w:spacing w:line="560" w:lineRule="exact"/>
        <w:ind w:firstLine="640" w:firstLineChars="200"/>
        <w:rPr>
          <w:rFonts w:ascii="Times New Roman" w:hAnsi="Times New Roman" w:eastAsia="仿宋_GB2312" w:cs="Times New Roman"/>
          <w:sz w:val="32"/>
          <w:szCs w:val="32"/>
        </w:rPr>
      </w:pPr>
      <w:r>
        <w:rPr>
          <w:rFonts w:ascii="Times New Roman" w:hAnsi="仿宋_GB2312" w:eastAsia="仿宋_GB2312" w:cs="Times New Roman"/>
          <w:sz w:val="32"/>
          <w:szCs w:val="32"/>
        </w:rPr>
        <w:t>（</w:t>
      </w:r>
      <w:r>
        <w:rPr>
          <w:rFonts w:ascii="Times New Roman" w:hAnsi="Times New Roman" w:eastAsia="仿宋_GB2312" w:cs="Times New Roman"/>
          <w:sz w:val="32"/>
          <w:szCs w:val="32"/>
        </w:rPr>
        <w:t>1</w:t>
      </w:r>
      <w:r>
        <w:rPr>
          <w:rFonts w:ascii="Times New Roman" w:hAnsi="仿宋_GB2312" w:eastAsia="仿宋_GB2312" w:cs="Times New Roman"/>
          <w:sz w:val="32"/>
          <w:szCs w:val="32"/>
        </w:rPr>
        <w:t>）为区机关干部职工提供工作用餐，为工作、会议等活动的有序开展提供了有力的保障。</w:t>
      </w:r>
    </w:p>
    <w:p w14:paraId="7E4D45C3">
      <w:pPr>
        <w:spacing w:line="560" w:lineRule="exact"/>
        <w:ind w:firstLine="640" w:firstLineChars="200"/>
        <w:rPr>
          <w:rFonts w:ascii="Times New Roman" w:hAnsi="Times New Roman" w:eastAsia="仿宋_GB2312" w:cs="Times New Roman"/>
          <w:sz w:val="32"/>
          <w:szCs w:val="32"/>
        </w:rPr>
      </w:pPr>
      <w:r>
        <w:rPr>
          <w:rFonts w:ascii="Times New Roman" w:hAnsi="仿宋_GB2312" w:eastAsia="仿宋_GB2312" w:cs="Times New Roman"/>
          <w:sz w:val="32"/>
          <w:szCs w:val="32"/>
        </w:rPr>
        <w:t>（</w:t>
      </w:r>
      <w:r>
        <w:rPr>
          <w:rFonts w:ascii="Times New Roman" w:hAnsi="Times New Roman" w:eastAsia="仿宋_GB2312" w:cs="Times New Roman"/>
          <w:sz w:val="32"/>
          <w:szCs w:val="32"/>
        </w:rPr>
        <w:t>2</w:t>
      </w:r>
      <w:r>
        <w:rPr>
          <w:rFonts w:ascii="Times New Roman" w:hAnsi="仿宋_GB2312" w:eastAsia="仿宋_GB2312" w:cs="Times New Roman"/>
          <w:sz w:val="32"/>
          <w:szCs w:val="32"/>
        </w:rPr>
        <w:t>）会议用食堂工作餐，是认真贯彻落实中央、省、市关于提倡勤俭节约，杜绝铺张浪费，反对</w:t>
      </w:r>
      <w:r>
        <w:rPr>
          <w:rFonts w:ascii="Times New Roman" w:hAnsi="Times New Roman" w:eastAsia="仿宋_GB2312" w:cs="Times New Roman"/>
          <w:sz w:val="32"/>
          <w:szCs w:val="32"/>
        </w:rPr>
        <w:t>“</w:t>
      </w:r>
      <w:r>
        <w:rPr>
          <w:rFonts w:ascii="Times New Roman" w:hAnsi="仿宋_GB2312" w:eastAsia="仿宋_GB2312" w:cs="Times New Roman"/>
          <w:sz w:val="32"/>
          <w:szCs w:val="32"/>
        </w:rPr>
        <w:t>四风</w:t>
      </w:r>
      <w:r>
        <w:rPr>
          <w:rFonts w:ascii="Times New Roman" w:hAnsi="Times New Roman" w:eastAsia="仿宋_GB2312" w:cs="Times New Roman"/>
          <w:sz w:val="32"/>
          <w:szCs w:val="32"/>
        </w:rPr>
        <w:t>”</w:t>
      </w:r>
      <w:r>
        <w:rPr>
          <w:rFonts w:ascii="Times New Roman" w:hAnsi="仿宋_GB2312" w:eastAsia="仿宋_GB2312" w:cs="Times New Roman"/>
          <w:sz w:val="32"/>
          <w:szCs w:val="32"/>
        </w:rPr>
        <w:t>的具体体现。</w:t>
      </w:r>
    </w:p>
    <w:p w14:paraId="05C6E058">
      <w:pPr>
        <w:spacing w:line="560" w:lineRule="exact"/>
        <w:ind w:firstLine="640" w:firstLineChars="200"/>
        <w:rPr>
          <w:rFonts w:ascii="Times New Roman" w:hAnsi="Times New Roman" w:eastAsia="仿宋_GB2312" w:cs="Times New Roman"/>
          <w:sz w:val="32"/>
          <w:szCs w:val="32"/>
        </w:rPr>
      </w:pPr>
      <w:r>
        <w:rPr>
          <w:rFonts w:ascii="Times New Roman" w:hAnsi="仿宋_GB2312" w:eastAsia="仿宋_GB2312" w:cs="Times New Roman"/>
          <w:sz w:val="32"/>
          <w:szCs w:val="32"/>
        </w:rPr>
        <w:t>（</w:t>
      </w:r>
      <w:r>
        <w:rPr>
          <w:rFonts w:ascii="Times New Roman" w:hAnsi="Times New Roman" w:eastAsia="仿宋_GB2312" w:cs="Times New Roman"/>
          <w:sz w:val="32"/>
          <w:szCs w:val="32"/>
        </w:rPr>
        <w:t>3</w:t>
      </w:r>
      <w:r>
        <w:rPr>
          <w:rFonts w:ascii="Times New Roman" w:hAnsi="仿宋_GB2312" w:eastAsia="仿宋_GB2312" w:cs="Times New Roman"/>
          <w:sz w:val="32"/>
          <w:szCs w:val="32"/>
        </w:rPr>
        <w:t>）机关后勤保障工作有利于增加就业。</w:t>
      </w:r>
    </w:p>
    <w:p w14:paraId="59F7F684">
      <w:pPr>
        <w:spacing w:line="560" w:lineRule="exact"/>
        <w:ind w:firstLine="640" w:firstLineChars="200"/>
        <w:rPr>
          <w:rFonts w:ascii="Times New Roman" w:hAnsi="Times New Roman" w:eastAsia="仿宋_GB2312" w:cs="Times New Roman"/>
          <w:sz w:val="32"/>
          <w:szCs w:val="32"/>
        </w:rPr>
      </w:pPr>
      <w:r>
        <w:rPr>
          <w:rFonts w:ascii="Times New Roman" w:hAnsi="仿宋_GB2312" w:eastAsia="仿宋_GB2312" w:cs="Times New Roman"/>
          <w:sz w:val="32"/>
          <w:szCs w:val="32"/>
        </w:rPr>
        <w:t>食堂就业容量大</w:t>
      </w:r>
      <w:r>
        <w:rPr>
          <w:rFonts w:ascii="Times New Roman" w:hAnsi="Times New Roman" w:eastAsia="仿宋_GB2312" w:cs="Times New Roman"/>
          <w:sz w:val="32"/>
          <w:szCs w:val="32"/>
        </w:rPr>
        <w:t>,</w:t>
      </w:r>
      <w:r>
        <w:rPr>
          <w:rFonts w:ascii="Times New Roman" w:hAnsi="仿宋_GB2312" w:eastAsia="仿宋_GB2312" w:cs="Times New Roman"/>
          <w:sz w:val="32"/>
          <w:szCs w:val="32"/>
        </w:rPr>
        <w:t>对扩大就业具有重要作用。目前</w:t>
      </w:r>
      <w:r>
        <w:rPr>
          <w:rFonts w:ascii="Times New Roman" w:hAnsi="Times New Roman" w:eastAsia="仿宋_GB2312" w:cs="Times New Roman"/>
          <w:sz w:val="32"/>
          <w:szCs w:val="32"/>
        </w:rPr>
        <w:t>,</w:t>
      </w:r>
      <w:r>
        <w:rPr>
          <w:rFonts w:ascii="Times New Roman" w:hAnsi="仿宋_GB2312" w:eastAsia="仿宋_GB2312" w:cs="Times New Roman"/>
          <w:sz w:val="32"/>
          <w:szCs w:val="32"/>
        </w:rPr>
        <w:t>食堂吸纳的劳动力中大部分来自企事业单位下岗分流人员、农村剩余劳动力及部队复转军人等</w:t>
      </w:r>
      <w:r>
        <w:rPr>
          <w:rFonts w:ascii="Times New Roman" w:hAnsi="Times New Roman" w:eastAsia="仿宋_GB2312" w:cs="Times New Roman"/>
          <w:sz w:val="32"/>
          <w:szCs w:val="32"/>
        </w:rPr>
        <w:t>,</w:t>
      </w:r>
      <w:r>
        <w:rPr>
          <w:rFonts w:ascii="Times New Roman" w:hAnsi="仿宋_GB2312" w:eastAsia="仿宋_GB2312" w:cs="Times New Roman"/>
          <w:sz w:val="32"/>
          <w:szCs w:val="32"/>
        </w:rPr>
        <w:t>对于缓解就业矛盾作出了重要贡献，对增加就业将起到积极的推动作用。</w:t>
      </w:r>
    </w:p>
    <w:p w14:paraId="0590CB5B">
      <w:pPr>
        <w:pStyle w:val="2"/>
        <w:keepNext/>
        <w:keepLines/>
        <w:widowControl w:val="0"/>
        <w:spacing w:before="340" w:after="330" w:line="560" w:lineRule="exact"/>
        <w:ind w:firstLine="643" w:firstLineChars="200"/>
        <w:jc w:val="both"/>
        <w:rPr>
          <w:rFonts w:ascii="Times New Roman" w:hAnsi="Times New Roman" w:eastAsia="黑体" w:cs="Times New Roman"/>
          <w:kern w:val="44"/>
          <w:sz w:val="32"/>
          <w:szCs w:val="32"/>
        </w:rPr>
      </w:pPr>
      <w:bookmarkStart w:id="26" w:name="_Toc15855"/>
      <w:r>
        <w:rPr>
          <w:rFonts w:ascii="Times New Roman" w:hAnsi="黑体" w:eastAsia="黑体" w:cs="Times New Roman"/>
          <w:kern w:val="44"/>
          <w:sz w:val="32"/>
          <w:szCs w:val="32"/>
        </w:rPr>
        <w:t>五、项目主要经验及做法、存在的问题和建议</w:t>
      </w:r>
      <w:bookmarkEnd w:id="26"/>
    </w:p>
    <w:p w14:paraId="6D33C302">
      <w:pPr>
        <w:pStyle w:val="3"/>
        <w:keepNext/>
        <w:keepLines/>
        <w:widowControl w:val="0"/>
        <w:spacing w:before="260" w:after="260" w:line="560" w:lineRule="exact"/>
        <w:ind w:firstLine="643" w:firstLineChars="200"/>
        <w:jc w:val="both"/>
        <w:rPr>
          <w:rFonts w:ascii="Times New Roman" w:hAnsi="Times New Roman" w:eastAsia="楷体_GB2312" w:cs="Times New Roman"/>
          <w:kern w:val="2"/>
          <w:sz w:val="32"/>
          <w:szCs w:val="32"/>
        </w:rPr>
      </w:pPr>
      <w:bookmarkStart w:id="27" w:name="_Toc13701"/>
      <w:r>
        <w:rPr>
          <w:rFonts w:ascii="Times New Roman" w:hAnsi="Times New Roman" w:eastAsia="楷体_GB2312" w:cs="Times New Roman"/>
          <w:kern w:val="2"/>
          <w:sz w:val="32"/>
          <w:szCs w:val="32"/>
        </w:rPr>
        <w:t>（一）主要经验及做法</w:t>
      </w:r>
      <w:bookmarkEnd w:id="27"/>
    </w:p>
    <w:p w14:paraId="55BE63DC">
      <w:pPr>
        <w:widowControl/>
        <w:shd w:val="clear" w:color="auto" w:fill="FFFFFF"/>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1.强化组织领导</w:t>
      </w:r>
    </w:p>
    <w:p w14:paraId="622B44B6">
      <w:pPr>
        <w:widowControl/>
        <w:shd w:val="clear" w:color="auto" w:fill="FFFFFF"/>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成立由部门负责人任组长的绩效评价领导小组，保证了财政支出绩效评价各项工作的顺利开展。</w:t>
      </w:r>
    </w:p>
    <w:p w14:paraId="6346FE49">
      <w:pPr>
        <w:widowControl/>
        <w:shd w:val="clear" w:color="auto" w:fill="FFFFFF"/>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2.加强学习，强化绩效管理的理念。</w:t>
      </w:r>
    </w:p>
    <w:p w14:paraId="2CB8BBC0">
      <w:pPr>
        <w:widowControl/>
        <w:shd w:val="clear" w:color="auto" w:fill="FFFFFF"/>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认真学习财政部《关于推进预算绩效管理的指导意见》（财预〔2014〕416号）、云南省财政厅《云南省省级部门财政支出绩效办法》（云财预〔2016〕98号）、《盘龙区区级部门预算绩效自评管理暂行办法》、《昆明市盘龙区财政局关于开展2020年度区级预算支出绩效自评工作的通知》</w:t>
      </w:r>
      <w:r>
        <w:rPr>
          <w:rFonts w:hint="eastAsia" w:ascii="仿宋_GB2312" w:hAnsi="仿宋_GB2312" w:eastAsia="仿宋_GB2312" w:cs="仿宋_GB2312"/>
          <w:sz w:val="32"/>
          <w:szCs w:val="32"/>
        </w:rPr>
        <w:t>（盘财绩</w:t>
      </w:r>
      <w:r>
        <w:rPr>
          <w:rFonts w:hint="eastAsia" w:ascii="仿宋_GB2312" w:eastAsia="仿宋_GB2312"/>
          <w:sz w:val="32"/>
          <w:szCs w:val="32"/>
        </w:rPr>
        <w:t>〔</w:t>
      </w:r>
      <w:r>
        <w:rPr>
          <w:rFonts w:hint="eastAsia" w:ascii="Times New Roman" w:hAnsi="Times New Roman" w:eastAsia="仿宋_GB2312"/>
          <w:sz w:val="32"/>
          <w:szCs w:val="32"/>
        </w:rPr>
        <w:t>20</w:t>
      </w:r>
      <w:r>
        <w:rPr>
          <w:rFonts w:hint="eastAsia" w:eastAsia="仿宋_GB2312"/>
          <w:sz w:val="32"/>
          <w:szCs w:val="32"/>
        </w:rPr>
        <w:t>21</w:t>
      </w:r>
      <w:r>
        <w:rPr>
          <w:rFonts w:hint="eastAsia" w:ascii="仿宋_GB2312" w:eastAsia="仿宋_GB2312"/>
          <w:sz w:val="32"/>
          <w:szCs w:val="32"/>
        </w:rPr>
        <w:t>〕</w:t>
      </w:r>
      <w:r>
        <w:rPr>
          <w:rFonts w:ascii="Times New Roman" w:hAnsi="Times New Roman" w:eastAsia="仿宋_GB2312" w:cs="Times New Roman"/>
          <w:sz w:val="32"/>
          <w:szCs w:val="32"/>
        </w:rPr>
        <w:t>2号</w:t>
      </w:r>
      <w:r>
        <w:rPr>
          <w:rFonts w:hint="eastAsia" w:ascii="仿宋_GB2312" w:hAnsi="仿宋_GB2312" w:eastAsia="仿宋_GB2312" w:cs="仿宋_GB2312"/>
          <w:sz w:val="32"/>
          <w:szCs w:val="32"/>
        </w:rPr>
        <w:t>）</w:t>
      </w:r>
      <w:r>
        <w:rPr>
          <w:rFonts w:ascii="Times New Roman" w:hAnsi="Times New Roman" w:eastAsia="仿宋_GB2312" w:cs="Times New Roman"/>
          <w:color w:val="333333"/>
          <w:kern w:val="0"/>
          <w:sz w:val="32"/>
          <w:szCs w:val="32"/>
        </w:rPr>
        <w:t>相关绩效管理文件，吃透文件精神，强化绩效管理的理念。</w:t>
      </w:r>
    </w:p>
    <w:p w14:paraId="451EF48E">
      <w:pPr>
        <w:widowControl/>
        <w:shd w:val="clear" w:color="auto" w:fill="FFFFFF"/>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3.创新方式，落实责任</w:t>
      </w:r>
    </w:p>
    <w:p w14:paraId="6DF52A2B">
      <w:pPr>
        <w:widowControl/>
        <w:shd w:val="clear" w:color="auto" w:fill="FFFFFF"/>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创新管理方式，落实岗位责任制，夯实基础工作，突出工作重点，强化制度建设，推动本单位预算绩效管理各项工作齐头并进。</w:t>
      </w:r>
    </w:p>
    <w:p w14:paraId="4AA44AA4">
      <w:pPr>
        <w:pStyle w:val="3"/>
        <w:keepNext/>
        <w:keepLines/>
        <w:widowControl w:val="0"/>
        <w:spacing w:before="260" w:after="260" w:line="560" w:lineRule="exact"/>
        <w:ind w:firstLine="643" w:firstLineChars="200"/>
        <w:jc w:val="both"/>
        <w:rPr>
          <w:rFonts w:ascii="Times New Roman" w:hAnsi="Times New Roman" w:eastAsia="楷体_GB2312" w:cs="Times New Roman"/>
          <w:kern w:val="2"/>
          <w:sz w:val="32"/>
          <w:szCs w:val="32"/>
        </w:rPr>
      </w:pPr>
      <w:bookmarkStart w:id="28" w:name="_Toc32098"/>
      <w:bookmarkStart w:id="29" w:name="_（二）存在的问题_1"/>
      <w:r>
        <w:rPr>
          <w:rFonts w:ascii="Times New Roman" w:hAnsi="Times New Roman" w:eastAsia="楷体_GB2312" w:cs="Times New Roman"/>
          <w:kern w:val="2"/>
          <w:sz w:val="32"/>
          <w:szCs w:val="32"/>
        </w:rPr>
        <w:fldChar w:fldCharType="begin"/>
      </w:r>
      <w:r>
        <w:rPr>
          <w:rFonts w:ascii="Times New Roman" w:hAnsi="Times New Roman" w:eastAsia="楷体_GB2312" w:cs="Times New Roman"/>
          <w:kern w:val="2"/>
          <w:sz w:val="32"/>
          <w:szCs w:val="32"/>
        </w:rPr>
        <w:instrText xml:space="preserve"> HYPERLINK \l "_（二）存在的问题_1"</w:instrText>
      </w:r>
      <w:r>
        <w:rPr>
          <w:rFonts w:ascii="Times New Roman" w:hAnsi="Times New Roman" w:eastAsia="楷体_GB2312" w:cs="Times New Roman"/>
          <w:kern w:val="2"/>
          <w:sz w:val="32"/>
          <w:szCs w:val="32"/>
        </w:rPr>
        <w:fldChar w:fldCharType="separate"/>
      </w:r>
      <w:r>
        <w:rPr>
          <w:rStyle w:val="13"/>
          <w:rFonts w:ascii="Times New Roman" w:hAnsi="Times New Roman" w:eastAsia="楷体_GB2312" w:cs="Times New Roman"/>
          <w:color w:val="auto"/>
          <w:kern w:val="2"/>
          <w:sz w:val="32"/>
          <w:szCs w:val="32"/>
          <w:u w:val="none"/>
        </w:rPr>
        <w:t>（二）存在的问题</w:t>
      </w:r>
      <w:r>
        <w:rPr>
          <w:rFonts w:ascii="Times New Roman" w:hAnsi="Times New Roman" w:eastAsia="楷体_GB2312" w:cs="Times New Roman"/>
          <w:kern w:val="2"/>
          <w:sz w:val="32"/>
          <w:szCs w:val="32"/>
        </w:rPr>
        <w:fldChar w:fldCharType="end"/>
      </w:r>
      <w:bookmarkEnd w:id="28"/>
    </w:p>
    <w:bookmarkEnd w:id="29"/>
    <w:p w14:paraId="53D35868">
      <w:pPr>
        <w:widowControl/>
        <w:shd w:val="clear" w:color="auto" w:fill="FFFFFF"/>
        <w:spacing w:line="560" w:lineRule="exact"/>
        <w:ind w:firstLine="705"/>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1.业务补助经费主要用于机关食堂运行维护费用支出，因地点分散及服务对象众多，我单位对工作人员和服务的监管相对薄弱，考核评价体系及相应制度欠缺。</w:t>
      </w:r>
    </w:p>
    <w:p w14:paraId="3BDE7ACD">
      <w:pPr>
        <w:widowControl/>
        <w:shd w:val="clear" w:color="auto" w:fill="FFFFFF"/>
        <w:spacing w:line="560" w:lineRule="exact"/>
        <w:ind w:firstLine="705"/>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2.为避免工作中出现矛盾，大部分人员的工资水平差距不大，致使部分人员的薪资水平与社会平均工资差异较大，使得这部分人工作积极性难以提高。</w:t>
      </w:r>
    </w:p>
    <w:p w14:paraId="322A3B65">
      <w:pPr>
        <w:widowControl/>
        <w:shd w:val="clear" w:color="auto" w:fill="FFFFFF"/>
        <w:spacing w:line="560" w:lineRule="exact"/>
        <w:ind w:firstLine="705"/>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3.因工资水平整体偏低，致使日常工作中人员流动性较大，部分人员的综合素质不高，在服务质量上和干部职工的要求还有差距。</w:t>
      </w:r>
    </w:p>
    <w:p w14:paraId="0D77B6AD">
      <w:pPr>
        <w:widowControl/>
        <w:shd w:val="clear" w:color="auto" w:fill="FFFFFF"/>
        <w:spacing w:line="560" w:lineRule="exact"/>
        <w:ind w:firstLine="705"/>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4.因种种特殊原因，向社会购买服务的范围有待进一步扩大。</w:t>
      </w:r>
    </w:p>
    <w:p w14:paraId="3219EA30">
      <w:pPr>
        <w:pStyle w:val="3"/>
        <w:keepNext/>
        <w:keepLines/>
        <w:widowControl w:val="0"/>
        <w:spacing w:before="260" w:after="260" w:line="560" w:lineRule="exact"/>
        <w:ind w:firstLine="643" w:firstLineChars="200"/>
        <w:jc w:val="both"/>
        <w:rPr>
          <w:rFonts w:ascii="Times New Roman" w:hAnsi="Times New Roman" w:eastAsia="楷体_GB2312" w:cs="Times New Roman"/>
          <w:kern w:val="2"/>
          <w:sz w:val="32"/>
          <w:szCs w:val="32"/>
        </w:rPr>
      </w:pPr>
      <w:bookmarkStart w:id="30" w:name="_Toc20639"/>
      <w:r>
        <w:rPr>
          <w:rFonts w:ascii="Times New Roman" w:hAnsi="Times New Roman" w:eastAsia="楷体_GB2312" w:cs="Times New Roman"/>
          <w:kern w:val="2"/>
          <w:sz w:val="32"/>
          <w:szCs w:val="32"/>
        </w:rPr>
        <w:t>（三）建议和改进措施</w:t>
      </w:r>
      <w:bookmarkEnd w:id="30"/>
    </w:p>
    <w:p w14:paraId="4807026B">
      <w:pPr>
        <w:widowControl/>
        <w:shd w:val="clear" w:color="auto" w:fill="FFFFFF"/>
        <w:spacing w:line="560" w:lineRule="exact"/>
        <w:ind w:firstLine="705"/>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1.根据不同的服务内容，制定更加科学、合理、细致的考核评价体系，强化对各类服务人员的日常监管，切实提高服务水平。</w:t>
      </w:r>
    </w:p>
    <w:p w14:paraId="345F2D0D">
      <w:pPr>
        <w:widowControl/>
        <w:shd w:val="clear" w:color="auto" w:fill="FFFFFF"/>
        <w:spacing w:line="560" w:lineRule="exact"/>
        <w:ind w:firstLine="705"/>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2.根据不同工作岗位的重要性、工作量、专业技术水平等，制定更加合理的薪资标准，不断激励并倡导所有人员新城必学赶超的良好工作氛围。</w:t>
      </w:r>
    </w:p>
    <w:p w14:paraId="2A842A0A">
      <w:pPr>
        <w:widowControl/>
        <w:shd w:val="clear" w:color="auto" w:fill="FFFFFF"/>
        <w:spacing w:line="560" w:lineRule="exact"/>
        <w:ind w:firstLine="705"/>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3.继续推行“减员增资”的工作方法，科学设置工作岗位的具体工作职责，压缩劳务派遣人员数量，不断提高劳务派遣人员的薪资收入，确保留得住人、干的成事。</w:t>
      </w:r>
    </w:p>
    <w:p w14:paraId="4765A603">
      <w:pPr>
        <w:widowControl/>
        <w:shd w:val="clear" w:color="auto" w:fill="FFFFFF"/>
        <w:spacing w:line="560" w:lineRule="exact"/>
        <w:ind w:firstLine="705"/>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4.积极探索向社会购买服务的模式，继续扩大机关后勤服务社会化程度，由服务提供者向监管者转变。</w:t>
      </w:r>
    </w:p>
    <w:p w14:paraId="7CE02BD7">
      <w:pPr>
        <w:widowControl/>
        <w:shd w:val="clear" w:color="auto" w:fill="FFFFFF"/>
        <w:spacing w:line="560" w:lineRule="exact"/>
        <w:ind w:firstLine="555"/>
        <w:jc w:val="left"/>
        <w:outlineLvl w:val="2"/>
        <w:rPr>
          <w:rFonts w:ascii="Times New Roman" w:hAnsi="Times New Roman" w:eastAsia="仿宋_GB2312" w:cs="Times New Roman"/>
          <w:color w:val="333333"/>
          <w:kern w:val="0"/>
          <w:sz w:val="32"/>
          <w:szCs w:val="32"/>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23E167">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7633081">
                          <w:pPr>
                            <w:pStyle w:val="5"/>
                          </w:pPr>
                          <w:r>
                            <w:rPr>
                              <w:rFonts w:hint="eastAsia"/>
                            </w:rPr>
                            <w:fldChar w:fldCharType="begin"/>
                          </w:r>
                          <w:r>
                            <w:rPr>
                              <w:rFonts w:hint="eastAsia"/>
                            </w:rPr>
                            <w:instrText xml:space="preserve"> PAGE  \* MERGEFORMAT </w:instrText>
                          </w:r>
                          <w:r>
                            <w:rPr>
                              <w:rFonts w:hint="eastAsia"/>
                            </w:rPr>
                            <w:fldChar w:fldCharType="separate"/>
                          </w:r>
                          <w:r>
                            <w:t>17</w:t>
                          </w:r>
                          <w:r>
                            <w:rPr>
                              <w:rFonts w:hint="eastAsia"/>
                            </w:rPr>
                            <w:fldChar w:fldCharType="end"/>
                          </w:r>
                        </w:p>
                      </w:txbxContent>
                    </wps:txbx>
                    <wps:bodyPr wrap="none" lIns="0" tIns="0" rIns="0" bIns="0" upright="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2dPQ/IAQAAmQMAAA4AAAAAAAAAAQAgAAAAHgEAAGRycy9lMm9Eb2Mu&#10;eG1sUEsFBgAAAAAGAAYAWQEAAFgFAAAAAA==&#10;">
              <v:fill on="f" focussize="0,0"/>
              <v:stroke on="f"/>
              <v:imagedata o:title=""/>
              <o:lock v:ext="edit" aspectratio="f"/>
              <v:textbox inset="0mm,0mm,0mm,0mm" style="mso-fit-shape-to-text:t;">
                <w:txbxContent>
                  <w:p w14:paraId="77633081">
                    <w:pPr>
                      <w:pStyle w:val="5"/>
                    </w:pPr>
                    <w:r>
                      <w:rPr>
                        <w:rFonts w:hint="eastAsia"/>
                      </w:rPr>
                      <w:fldChar w:fldCharType="begin"/>
                    </w:r>
                    <w:r>
                      <w:rPr>
                        <w:rFonts w:hint="eastAsia"/>
                      </w:rPr>
                      <w:instrText xml:space="preserve"> PAGE  \* MERGEFORMAT </w:instrText>
                    </w:r>
                    <w:r>
                      <w:rPr>
                        <w:rFonts w:hint="eastAsia"/>
                      </w:rPr>
                      <w:fldChar w:fldCharType="separate"/>
                    </w:r>
                    <w:r>
                      <w:t>17</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C156FC">
    <w:pPr>
      <w:pStyle w:val="6"/>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41D6"/>
    <w:rsid w:val="000067C5"/>
    <w:rsid w:val="00016188"/>
    <w:rsid w:val="0003079A"/>
    <w:rsid w:val="00052DD1"/>
    <w:rsid w:val="00064085"/>
    <w:rsid w:val="00065FAB"/>
    <w:rsid w:val="000A189D"/>
    <w:rsid w:val="000C23F4"/>
    <w:rsid w:val="000D4284"/>
    <w:rsid w:val="000E03E5"/>
    <w:rsid w:val="00125208"/>
    <w:rsid w:val="00125431"/>
    <w:rsid w:val="00126F57"/>
    <w:rsid w:val="0013320E"/>
    <w:rsid w:val="00161615"/>
    <w:rsid w:val="00176E0C"/>
    <w:rsid w:val="0017797D"/>
    <w:rsid w:val="001A07AF"/>
    <w:rsid w:val="001B7840"/>
    <w:rsid w:val="001D7066"/>
    <w:rsid w:val="001E6CD3"/>
    <w:rsid w:val="002A7442"/>
    <w:rsid w:val="003033E8"/>
    <w:rsid w:val="00370834"/>
    <w:rsid w:val="003759C8"/>
    <w:rsid w:val="00382F35"/>
    <w:rsid w:val="003A6B1A"/>
    <w:rsid w:val="00404B4C"/>
    <w:rsid w:val="004424D2"/>
    <w:rsid w:val="004641D6"/>
    <w:rsid w:val="0046763C"/>
    <w:rsid w:val="004B2FAD"/>
    <w:rsid w:val="004F1C6A"/>
    <w:rsid w:val="00517F76"/>
    <w:rsid w:val="00540427"/>
    <w:rsid w:val="005457FD"/>
    <w:rsid w:val="00560CAF"/>
    <w:rsid w:val="00566D4A"/>
    <w:rsid w:val="00581C86"/>
    <w:rsid w:val="005A5C58"/>
    <w:rsid w:val="005C46F2"/>
    <w:rsid w:val="00625C2D"/>
    <w:rsid w:val="006272BF"/>
    <w:rsid w:val="00633A67"/>
    <w:rsid w:val="00636E7D"/>
    <w:rsid w:val="006455AF"/>
    <w:rsid w:val="00647808"/>
    <w:rsid w:val="00684C7D"/>
    <w:rsid w:val="006C6157"/>
    <w:rsid w:val="00702B18"/>
    <w:rsid w:val="00750121"/>
    <w:rsid w:val="0075317D"/>
    <w:rsid w:val="00753A9C"/>
    <w:rsid w:val="00797B22"/>
    <w:rsid w:val="007A2583"/>
    <w:rsid w:val="007A54AC"/>
    <w:rsid w:val="007C61D5"/>
    <w:rsid w:val="007F12BD"/>
    <w:rsid w:val="007F16C0"/>
    <w:rsid w:val="007F2B86"/>
    <w:rsid w:val="007F4380"/>
    <w:rsid w:val="0084602A"/>
    <w:rsid w:val="00862191"/>
    <w:rsid w:val="00874737"/>
    <w:rsid w:val="008A1F73"/>
    <w:rsid w:val="008E639C"/>
    <w:rsid w:val="008F235D"/>
    <w:rsid w:val="00912263"/>
    <w:rsid w:val="009647CC"/>
    <w:rsid w:val="009845E8"/>
    <w:rsid w:val="00A079AD"/>
    <w:rsid w:val="00A169DA"/>
    <w:rsid w:val="00A246C6"/>
    <w:rsid w:val="00A340FE"/>
    <w:rsid w:val="00A53BF3"/>
    <w:rsid w:val="00A55682"/>
    <w:rsid w:val="00A766EB"/>
    <w:rsid w:val="00AA0784"/>
    <w:rsid w:val="00B119F6"/>
    <w:rsid w:val="00B756D2"/>
    <w:rsid w:val="00B90055"/>
    <w:rsid w:val="00BB42A4"/>
    <w:rsid w:val="00BC16C8"/>
    <w:rsid w:val="00BD3A6A"/>
    <w:rsid w:val="00BE5D8B"/>
    <w:rsid w:val="00C331EC"/>
    <w:rsid w:val="00C52C64"/>
    <w:rsid w:val="00C94D6F"/>
    <w:rsid w:val="00CA1539"/>
    <w:rsid w:val="00CB5F00"/>
    <w:rsid w:val="00CC3DEA"/>
    <w:rsid w:val="00CD4325"/>
    <w:rsid w:val="00D23DD1"/>
    <w:rsid w:val="00D31FE5"/>
    <w:rsid w:val="00D334D3"/>
    <w:rsid w:val="00D8264F"/>
    <w:rsid w:val="00DB3B05"/>
    <w:rsid w:val="00DC164C"/>
    <w:rsid w:val="00DD1F9F"/>
    <w:rsid w:val="00E131B3"/>
    <w:rsid w:val="00E23CD1"/>
    <w:rsid w:val="00E24D83"/>
    <w:rsid w:val="00E44D2C"/>
    <w:rsid w:val="00E54629"/>
    <w:rsid w:val="00E76CAF"/>
    <w:rsid w:val="00E82695"/>
    <w:rsid w:val="00E854E6"/>
    <w:rsid w:val="00E9458B"/>
    <w:rsid w:val="00E94B83"/>
    <w:rsid w:val="00EB6335"/>
    <w:rsid w:val="00EF2A7D"/>
    <w:rsid w:val="00F46785"/>
    <w:rsid w:val="00F65B66"/>
    <w:rsid w:val="00F722B8"/>
    <w:rsid w:val="00FC6E77"/>
    <w:rsid w:val="00FF14B8"/>
    <w:rsid w:val="0CA674F8"/>
    <w:rsid w:val="0CB133F8"/>
    <w:rsid w:val="0CEC0DCB"/>
    <w:rsid w:val="0D9B5F72"/>
    <w:rsid w:val="0FAC3627"/>
    <w:rsid w:val="17D07B0F"/>
    <w:rsid w:val="18957DC1"/>
    <w:rsid w:val="1A6208A0"/>
    <w:rsid w:val="1C14219E"/>
    <w:rsid w:val="1D2A3097"/>
    <w:rsid w:val="1D8E01DF"/>
    <w:rsid w:val="22101167"/>
    <w:rsid w:val="23DA27E5"/>
    <w:rsid w:val="26F6482F"/>
    <w:rsid w:val="27DB65C5"/>
    <w:rsid w:val="2A77636F"/>
    <w:rsid w:val="2D4F671D"/>
    <w:rsid w:val="340F5E43"/>
    <w:rsid w:val="3998162A"/>
    <w:rsid w:val="4443640D"/>
    <w:rsid w:val="47C72C0F"/>
    <w:rsid w:val="49774410"/>
    <w:rsid w:val="4D391862"/>
    <w:rsid w:val="4DB13B20"/>
    <w:rsid w:val="4E645C2C"/>
    <w:rsid w:val="4F912761"/>
    <w:rsid w:val="55633DC9"/>
    <w:rsid w:val="5A711500"/>
    <w:rsid w:val="63C30F86"/>
    <w:rsid w:val="676C6B9F"/>
    <w:rsid w:val="68EA668B"/>
    <w:rsid w:val="6AE22D92"/>
    <w:rsid w:val="6DB91709"/>
    <w:rsid w:val="73CB53E3"/>
    <w:rsid w:val="774342DA"/>
    <w:rsid w:val="79EA2473"/>
    <w:rsid w:val="7D836E66"/>
    <w:rsid w:val="7E947B8D"/>
    <w:rsid w:val="7F022BD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4"/>
    <w:qFormat/>
    <w:uiPriority w:val="9"/>
    <w:pPr>
      <w:widowControl/>
      <w:jc w:val="left"/>
      <w:outlineLvl w:val="0"/>
    </w:pPr>
    <w:rPr>
      <w:rFonts w:ascii="宋体" w:hAnsi="宋体" w:eastAsia="宋体" w:cs="宋体"/>
      <w:b/>
      <w:bCs/>
      <w:kern w:val="36"/>
      <w:sz w:val="48"/>
      <w:szCs w:val="48"/>
    </w:rPr>
  </w:style>
  <w:style w:type="paragraph" w:styleId="3">
    <w:name w:val="heading 2"/>
    <w:basedOn w:val="1"/>
    <w:next w:val="1"/>
    <w:link w:val="15"/>
    <w:qFormat/>
    <w:uiPriority w:val="9"/>
    <w:pPr>
      <w:widowControl/>
      <w:jc w:val="left"/>
      <w:outlineLvl w:val="1"/>
    </w:pPr>
    <w:rPr>
      <w:rFonts w:ascii="宋体" w:hAnsi="宋体" w:eastAsia="宋体" w:cs="宋体"/>
      <w:b/>
      <w:bCs/>
      <w:kern w:val="0"/>
      <w:sz w:val="36"/>
      <w:szCs w:val="36"/>
    </w:rPr>
  </w:style>
  <w:style w:type="paragraph" w:styleId="4">
    <w:name w:val="heading 3"/>
    <w:basedOn w:val="1"/>
    <w:next w:val="1"/>
    <w:link w:val="16"/>
    <w:qFormat/>
    <w:uiPriority w:val="9"/>
    <w:pPr>
      <w:widowControl/>
      <w:jc w:val="left"/>
      <w:outlineLvl w:val="2"/>
    </w:pPr>
    <w:rPr>
      <w:rFonts w:ascii="宋体" w:hAnsi="宋体" w:eastAsia="宋体" w:cs="宋体"/>
      <w:b/>
      <w:bCs/>
      <w:kern w:val="0"/>
      <w:sz w:val="27"/>
      <w:szCs w:val="27"/>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footer"/>
    <w:basedOn w:val="1"/>
    <w:link w:val="18"/>
    <w:unhideWhenUsed/>
    <w:qFormat/>
    <w:uiPriority w:val="99"/>
    <w:pPr>
      <w:tabs>
        <w:tab w:val="center" w:pos="4153"/>
        <w:tab w:val="right" w:pos="8306"/>
      </w:tabs>
      <w:snapToGrid w:val="0"/>
      <w:jc w:val="left"/>
    </w:pPr>
    <w:rPr>
      <w:sz w:val="18"/>
      <w:szCs w:val="18"/>
    </w:rPr>
  </w:style>
  <w:style w:type="paragraph" w:styleId="6">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toc 1"/>
    <w:basedOn w:val="1"/>
    <w:next w:val="1"/>
    <w:unhideWhenUsed/>
    <w:qFormat/>
    <w:uiPriority w:val="39"/>
    <w:pPr>
      <w:tabs>
        <w:tab w:val="right" w:leader="dot" w:pos="8296"/>
      </w:tabs>
      <w:jc w:val="center"/>
    </w:pPr>
    <w:rPr>
      <w:rFonts w:ascii="Times New Roman" w:hAnsi="Times New Roman" w:eastAsia="黑体" w:cs="Times New Roman"/>
      <w:sz w:val="36"/>
    </w:rPr>
  </w:style>
  <w:style w:type="paragraph" w:styleId="8">
    <w:name w:val="toc 2"/>
    <w:basedOn w:val="1"/>
    <w:next w:val="1"/>
    <w:unhideWhenUsed/>
    <w:qFormat/>
    <w:uiPriority w:val="39"/>
    <w:pPr>
      <w:ind w:left="420" w:leftChars="200"/>
    </w:pPr>
  </w:style>
  <w:style w:type="paragraph" w:styleId="9">
    <w:name w:val="Normal (Web)"/>
    <w:basedOn w:val="1"/>
    <w:unhideWhenUsed/>
    <w:qFormat/>
    <w:uiPriority w:val="99"/>
    <w:pPr>
      <w:widowControl/>
      <w:jc w:val="left"/>
    </w:pPr>
    <w:rPr>
      <w:rFonts w:ascii="宋体" w:hAnsi="宋体" w:eastAsia="宋体" w:cs="宋体"/>
      <w:kern w:val="0"/>
      <w:sz w:val="24"/>
      <w:szCs w:val="24"/>
    </w:rPr>
  </w:style>
  <w:style w:type="character" w:styleId="12">
    <w:name w:val="Strong"/>
    <w:basedOn w:val="11"/>
    <w:qFormat/>
    <w:uiPriority w:val="22"/>
    <w:rPr>
      <w:b/>
      <w:bCs/>
    </w:rPr>
  </w:style>
  <w:style w:type="character" w:styleId="13">
    <w:name w:val="Hyperlink"/>
    <w:basedOn w:val="11"/>
    <w:unhideWhenUsed/>
    <w:qFormat/>
    <w:uiPriority w:val="99"/>
    <w:rPr>
      <w:color w:val="0000FF" w:themeColor="hyperlink"/>
      <w:u w:val="single"/>
    </w:rPr>
  </w:style>
  <w:style w:type="character" w:customStyle="1" w:styleId="14">
    <w:name w:val="标题 1 Char"/>
    <w:basedOn w:val="11"/>
    <w:link w:val="2"/>
    <w:qFormat/>
    <w:uiPriority w:val="9"/>
    <w:rPr>
      <w:rFonts w:ascii="宋体" w:hAnsi="宋体" w:eastAsia="宋体" w:cs="宋体"/>
      <w:b/>
      <w:bCs/>
      <w:kern w:val="36"/>
      <w:sz w:val="48"/>
      <w:szCs w:val="48"/>
    </w:rPr>
  </w:style>
  <w:style w:type="character" w:customStyle="1" w:styleId="15">
    <w:name w:val="标题 2 Char"/>
    <w:basedOn w:val="11"/>
    <w:link w:val="3"/>
    <w:qFormat/>
    <w:uiPriority w:val="9"/>
    <w:rPr>
      <w:rFonts w:ascii="宋体" w:hAnsi="宋体" w:eastAsia="宋体" w:cs="宋体"/>
      <w:b/>
      <w:bCs/>
      <w:kern w:val="0"/>
      <w:sz w:val="36"/>
      <w:szCs w:val="36"/>
    </w:rPr>
  </w:style>
  <w:style w:type="character" w:customStyle="1" w:styleId="16">
    <w:name w:val="标题 3 Char"/>
    <w:basedOn w:val="11"/>
    <w:link w:val="4"/>
    <w:qFormat/>
    <w:uiPriority w:val="9"/>
    <w:rPr>
      <w:rFonts w:ascii="宋体" w:hAnsi="宋体" w:eastAsia="宋体" w:cs="宋体"/>
      <w:b/>
      <w:bCs/>
      <w:kern w:val="0"/>
      <w:sz w:val="27"/>
      <w:szCs w:val="27"/>
    </w:rPr>
  </w:style>
  <w:style w:type="character" w:customStyle="1" w:styleId="17">
    <w:name w:val="页眉 Char"/>
    <w:basedOn w:val="11"/>
    <w:link w:val="6"/>
    <w:qFormat/>
    <w:uiPriority w:val="99"/>
    <w:rPr>
      <w:sz w:val="18"/>
      <w:szCs w:val="18"/>
    </w:rPr>
  </w:style>
  <w:style w:type="character" w:customStyle="1" w:styleId="18">
    <w:name w:val="页脚 Char"/>
    <w:basedOn w:val="11"/>
    <w:link w:val="5"/>
    <w:qFormat/>
    <w:uiPriority w:val="99"/>
    <w:rPr>
      <w:sz w:val="18"/>
      <w:szCs w:val="18"/>
    </w:rPr>
  </w:style>
  <w:style w:type="paragraph" w:customStyle="1" w:styleId="19">
    <w:name w:val="正文 A"/>
    <w:qFormat/>
    <w:uiPriority w:val="99"/>
    <w:pPr>
      <w:spacing w:after="200" w:line="276" w:lineRule="auto"/>
    </w:pPr>
    <w:rPr>
      <w:rFonts w:ascii="Calibri" w:hAnsi="Calibri" w:eastAsia="宋体" w:cs="Calibri"/>
      <w:color w:val="000000"/>
      <w:sz w:val="22"/>
      <w:szCs w:val="22"/>
      <w:u w:color="000000"/>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35CAA9E-ED59-4A4A-AE73-F9F20DA30797}">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17</Pages>
  <Words>5809</Words>
  <Characters>6126</Characters>
  <Lines>55</Lines>
  <Paragraphs>15</Paragraphs>
  <TotalTime>0</TotalTime>
  <ScaleCrop>false</ScaleCrop>
  <LinksUpToDate>false</LinksUpToDate>
  <CharactersWithSpaces>6175</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2019-04-19T05:07:00Z</dcterms:created>
  <dc:creator>蒋仁玲</dc:creator>
  <cp:lastModifiedBy>景鸿成</cp:lastModifiedBy>
  <cp:lastPrinted>2021-05-28T03:02:00Z</cp:lastPrinted>
  <dcterms:modified xsi:type="dcterms:W3CDTF">2025-06-26T10:39:03Z</dcterms:modified>
  <cp:revision>96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67A3C62A7C94496AA5EE94EA47FE14E8_13</vt:lpwstr>
  </property>
  <property fmtid="{D5CDD505-2E9C-101B-9397-08002B2CF9AE}" pid="4" name="KSOTemplateDocerSaveRecord">
    <vt:lpwstr>eyJoZGlkIjoiY2JlNzQyMzg5YmZjMjE5ZTE1MTdiMzJkYzQxNmE5NDciLCJ1c2VySWQiOiIyNTkzNDUzOTYifQ==</vt:lpwstr>
  </property>
</Properties>
</file>