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1723E">
      <w:pPr>
        <w:spacing w:line="520" w:lineRule="exact"/>
        <w:ind w:left="840" w:hanging="840" w:hangingChars="300"/>
        <w:jc w:val="left"/>
        <w:rPr>
          <w:rFonts w:ascii="方正小标宋_GBK" w:hAnsi="Calibri" w:eastAsia="方正小标宋_GBK" w:cs="Times New Roman"/>
          <w:sz w:val="28"/>
          <w:szCs w:val="28"/>
        </w:rPr>
      </w:pPr>
    </w:p>
    <w:p w14:paraId="13B5CB57">
      <w:pPr>
        <w:spacing w:before="120" w:after="120" w:line="480" w:lineRule="auto"/>
        <w:jc w:val="center"/>
        <w:rPr>
          <w:rFonts w:ascii="Times New Roman" w:hAnsi="Times New Roman" w:eastAsia="黑体" w:cs="Times New Roman"/>
          <w:b/>
          <w:bCs/>
          <w:sz w:val="52"/>
          <w:szCs w:val="52"/>
        </w:rPr>
      </w:pPr>
    </w:p>
    <w:p w14:paraId="4F044880">
      <w:pPr>
        <w:tabs>
          <w:tab w:val="left" w:pos="1215"/>
        </w:tabs>
        <w:spacing w:line="360" w:lineRule="auto"/>
        <w:jc w:val="center"/>
        <w:rPr>
          <w:rFonts w:hint="eastAsia" w:ascii="方正小标宋_GBK" w:hAnsi="Calibri" w:eastAsia="方正小标宋_GBK" w:cs="Calibri"/>
          <w:b/>
          <w:bCs/>
          <w:sz w:val="44"/>
          <w:szCs w:val="44"/>
        </w:rPr>
      </w:pPr>
      <w:r>
        <w:rPr>
          <w:rFonts w:hint="eastAsia" w:ascii="方正小标宋_GBK" w:hAnsi="Calibri" w:eastAsia="方正小标宋_GBK" w:cs="Calibri"/>
          <w:b/>
          <w:bCs/>
          <w:sz w:val="44"/>
          <w:szCs w:val="44"/>
        </w:rPr>
        <w:t>机关后勤服务综合管理费</w:t>
      </w:r>
    </w:p>
    <w:p w14:paraId="724D590A">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项目支出绩效自评报告</w:t>
      </w:r>
    </w:p>
    <w:p w14:paraId="56020480">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w:t>
      </w:r>
      <w:r>
        <w:rPr>
          <w:rFonts w:hint="eastAsia" w:ascii="方正小标宋_GBK" w:hAnsi="Calibri" w:eastAsia="方正小标宋_GBK" w:cs="Calibri"/>
          <w:b/>
          <w:bCs/>
          <w:sz w:val="44"/>
          <w:szCs w:val="44"/>
          <w:lang w:eastAsia="zh-CN"/>
        </w:rPr>
        <w:t>2019年</w:t>
      </w:r>
      <w:r>
        <w:rPr>
          <w:rFonts w:hint="eastAsia" w:ascii="方正小标宋_GBK" w:hAnsi="Calibri" w:eastAsia="方正小标宋_GBK" w:cs="Calibri"/>
          <w:b/>
          <w:bCs/>
          <w:sz w:val="44"/>
          <w:szCs w:val="44"/>
        </w:rPr>
        <w:t>度）</w:t>
      </w:r>
    </w:p>
    <w:p w14:paraId="563DCE82">
      <w:pPr>
        <w:spacing w:before="120" w:after="120" w:line="480" w:lineRule="auto"/>
        <w:jc w:val="center"/>
        <w:rPr>
          <w:rFonts w:ascii="Times New Roman" w:hAnsi="Times New Roman" w:eastAsia="黑体" w:cs="Times New Roman"/>
          <w:b/>
          <w:bCs/>
          <w:sz w:val="52"/>
          <w:szCs w:val="52"/>
        </w:rPr>
      </w:pPr>
    </w:p>
    <w:p w14:paraId="560EB2A8">
      <w:pPr>
        <w:spacing w:before="120" w:after="120" w:line="480" w:lineRule="auto"/>
        <w:jc w:val="center"/>
        <w:rPr>
          <w:rFonts w:ascii="Times New Roman" w:hAnsi="Times New Roman" w:eastAsia="宋体" w:cs="Times New Roman"/>
          <w:b/>
          <w:bCs/>
          <w:sz w:val="44"/>
          <w:szCs w:val="44"/>
        </w:rPr>
      </w:pPr>
    </w:p>
    <w:p w14:paraId="1E8AB107">
      <w:pPr>
        <w:spacing w:before="120" w:after="120" w:line="480" w:lineRule="auto"/>
        <w:jc w:val="center"/>
        <w:rPr>
          <w:rFonts w:ascii="Times New Roman" w:hAnsi="Times New Roman" w:eastAsia="宋体" w:cs="Times New Roman"/>
          <w:b/>
          <w:bCs/>
          <w:sz w:val="44"/>
          <w:szCs w:val="44"/>
        </w:rPr>
      </w:pPr>
    </w:p>
    <w:p w14:paraId="55A1891D">
      <w:pPr>
        <w:spacing w:before="120" w:after="120" w:line="480" w:lineRule="auto"/>
        <w:jc w:val="center"/>
        <w:rPr>
          <w:rFonts w:ascii="Times New Roman" w:hAnsi="Times New Roman" w:eastAsia="黑体" w:cs="Times New Roman"/>
          <w:b/>
          <w:bCs/>
          <w:sz w:val="44"/>
          <w:szCs w:val="44"/>
        </w:rPr>
      </w:pPr>
    </w:p>
    <w:p w14:paraId="409A05EB">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6.75pt;margin-top:15.45pt;height:0pt;width:196.5pt;z-index:25166028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6lyg1wAAAAkBAAAPAAAAAAAAAAEAIAAAACIAAABkcnMvZG93bnJldi54bWxQ&#10;SwECFAAUAAAACACHTuJAYjGlSf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w:t>
      </w:r>
      <w:r>
        <w:rPr>
          <w:rFonts w:hint="eastAsia" w:ascii="Times New Roman" w:hAnsi="Times New Roman" w:eastAsia="黑体" w:cs="黑体"/>
          <w:b/>
          <w:bCs/>
          <w:sz w:val="28"/>
          <w:szCs w:val="28"/>
          <w:lang w:eastAsia="zh-CN"/>
        </w:rPr>
        <w:t>盘龙区机关事务管理服务中心</w:t>
      </w:r>
    </w:p>
    <w:p w14:paraId="70BFFBDB">
      <w:pPr>
        <w:adjustRightInd w:val="0"/>
        <w:snapToGrid w:val="0"/>
        <w:spacing w:line="360" w:lineRule="auto"/>
        <w:ind w:left="1260" w:leftChars="600"/>
        <w:rPr>
          <w:rFonts w:hint="eastAsia" w:ascii="Times New Roman" w:hAnsi="Times New Roman" w:eastAsia="黑体" w:cs="黑体"/>
          <w:b/>
          <w:bCs/>
          <w:sz w:val="28"/>
          <w:szCs w:val="28"/>
          <w:u w:val="single"/>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7.45pt;height:0pt;width:196.5pt;z-index:251661312;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GEXYNcAAAAJAQAADwAAAAAAAAABACAAAAAiAAAAZHJzL2Rvd25yZXYueG1s&#10;UEsBAhQAFAAAAAgAh07iQIsnMEP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w:t>
      </w:r>
      <w:r>
        <w:rPr>
          <w:rFonts w:hint="eastAsia" w:ascii="Times New Roman" w:hAnsi="Times New Roman" w:eastAsia="黑体" w:cs="黑体"/>
          <w:b/>
          <w:bCs/>
          <w:sz w:val="28"/>
          <w:szCs w:val="28"/>
          <w:lang w:eastAsia="zh-CN"/>
        </w:rPr>
        <w:t>盘龙区机关事务管理服务</w:t>
      </w:r>
      <w:r>
        <w:rPr>
          <w:rFonts w:hint="eastAsia" w:ascii="Times New Roman" w:hAnsi="Times New Roman" w:eastAsia="黑体" w:cs="黑体"/>
          <w:b/>
          <w:bCs/>
          <w:sz w:val="28"/>
          <w:szCs w:val="28"/>
          <w:u w:val="single"/>
          <w:lang w:eastAsia="zh-CN"/>
        </w:rPr>
        <w:t>中心</w:t>
      </w:r>
      <w:r>
        <w:rPr>
          <w:rFonts w:hint="eastAsia" w:ascii="Times New Roman" w:hAnsi="Times New Roman" w:eastAsia="黑体" w:cs="黑体"/>
          <w:b/>
          <w:bCs/>
          <w:sz w:val="28"/>
          <w:szCs w:val="28"/>
          <w:lang w:val="en-US" w:eastAsia="zh-CN"/>
        </w:rPr>
        <w:t xml:space="preserve">   </w:t>
      </w:r>
    </w:p>
    <w:p w14:paraId="79D41C13">
      <w:pPr>
        <w:adjustRightInd w:val="0"/>
        <w:snapToGrid w:val="0"/>
        <w:spacing w:line="360" w:lineRule="auto"/>
        <w:ind w:left="1260" w:leftChars="600"/>
        <w:rPr>
          <w:rFonts w:hint="eastAsia" w:ascii="Times New Roman" w:hAnsi="Times New Roman" w:eastAsia="黑体" w:cs="Times New Roman"/>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BRH23b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主管部门：昆明市</w:t>
      </w:r>
      <w:r>
        <w:rPr>
          <w:rFonts w:hint="eastAsia" w:ascii="Times New Roman" w:hAnsi="Times New Roman" w:eastAsia="黑体" w:cs="黑体"/>
          <w:b/>
          <w:bCs/>
          <w:sz w:val="28"/>
          <w:szCs w:val="28"/>
          <w:lang w:eastAsia="zh-CN"/>
        </w:rPr>
        <w:t>盘龙区机关事务管理服务中心</w:t>
      </w:r>
    </w:p>
    <w:p w14:paraId="05633B20">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P1RTnz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Times New Roman"/>
          <w:b/>
          <w:bCs/>
          <w:sz w:val="28"/>
          <w:szCs w:val="28"/>
        </w:rPr>
        <w:t>机关后勤服务综合管理费</w:t>
      </w:r>
    </w:p>
    <w:p w14:paraId="15170E94">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0IL+71wAAAAkBAAAPAAAAAAAAAAEAIAAAACIAAABkcnMvZG93bnJldi54bWxQ&#10;SwECFAAUAAAACACHTuJAxmrxY/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Times New Roman"/>
          <w:b/>
          <w:bCs/>
          <w:sz w:val="28"/>
          <w:szCs w:val="28"/>
        </w:rPr>
        <w:t>20</w:t>
      </w:r>
      <w:r>
        <w:rPr>
          <w:rFonts w:hint="eastAsia" w:ascii="Times New Roman" w:hAnsi="Times New Roman" w:eastAsia="黑体" w:cs="Times New Roman"/>
          <w:b/>
          <w:bCs/>
          <w:sz w:val="28"/>
          <w:szCs w:val="28"/>
          <w:lang w:val="en-US" w:eastAsia="zh-CN"/>
        </w:rPr>
        <w:t>20</w:t>
      </w:r>
      <w:r>
        <w:rPr>
          <w:rFonts w:hint="eastAsia" w:ascii="Times New Roman" w:hAnsi="Times New Roman" w:eastAsia="黑体" w:cs="Times New Roman"/>
          <w:b/>
          <w:bCs/>
          <w:sz w:val="28"/>
          <w:szCs w:val="28"/>
        </w:rPr>
        <w:t>年</w:t>
      </w:r>
      <w:r>
        <w:rPr>
          <w:rFonts w:hint="eastAsia" w:ascii="Times New Roman" w:hAnsi="Times New Roman" w:eastAsia="黑体" w:cs="Times New Roman"/>
          <w:b/>
          <w:bCs/>
          <w:sz w:val="28"/>
          <w:szCs w:val="28"/>
          <w:lang w:val="en-US" w:eastAsia="zh-CN"/>
        </w:rPr>
        <w:t>5</w:t>
      </w:r>
      <w:r>
        <w:rPr>
          <w:rFonts w:hint="eastAsia" w:ascii="Times New Roman" w:hAnsi="Times New Roman" w:eastAsia="黑体" w:cs="Times New Roman"/>
          <w:b/>
          <w:bCs/>
          <w:sz w:val="28"/>
          <w:szCs w:val="28"/>
        </w:rPr>
        <w:t>月</w:t>
      </w:r>
      <w:r>
        <w:rPr>
          <w:rFonts w:hint="eastAsia" w:ascii="Times New Roman" w:hAnsi="Times New Roman" w:eastAsia="黑体" w:cs="Times New Roman"/>
          <w:b/>
          <w:bCs/>
          <w:sz w:val="28"/>
          <w:szCs w:val="28"/>
          <w:lang w:val="en-US" w:eastAsia="zh-CN"/>
        </w:rPr>
        <w:t>6</w:t>
      </w:r>
      <w:r>
        <w:rPr>
          <w:rFonts w:hint="eastAsia" w:ascii="Times New Roman" w:hAnsi="Times New Roman" w:eastAsia="黑体" w:cs="Times New Roman"/>
          <w:b/>
          <w:bCs/>
          <w:sz w:val="28"/>
          <w:szCs w:val="28"/>
        </w:rPr>
        <w:t>日</w:t>
      </w:r>
    </w:p>
    <w:p w14:paraId="1D1CCCC3">
      <w:pPr>
        <w:spacing w:line="360" w:lineRule="auto"/>
        <w:ind w:left="1218" w:leftChars="580"/>
        <w:rPr>
          <w:rFonts w:ascii="Times New Roman" w:hAnsi="Times New Roman" w:eastAsia="黑体" w:cs="Times New Roman"/>
          <w:b/>
          <w:bCs/>
          <w:sz w:val="28"/>
          <w:szCs w:val="28"/>
        </w:rPr>
      </w:pPr>
    </w:p>
    <w:p w14:paraId="3578929B">
      <w:pPr>
        <w:jc w:val="center"/>
        <w:rPr>
          <w:rFonts w:ascii="Times New Roman" w:hAnsi="Times New Roman" w:eastAsia="黑体" w:cs="黑体"/>
          <w:b/>
          <w:bCs/>
          <w:sz w:val="28"/>
          <w:szCs w:val="28"/>
        </w:rPr>
      </w:pPr>
    </w:p>
    <w:p w14:paraId="64AD237D">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lang w:val="en-US" w:eastAsia="zh-CN"/>
        </w:rPr>
        <w:t>20</w:t>
      </w:r>
      <w:r>
        <w:rPr>
          <w:rFonts w:hint="eastAsia" w:ascii="仿宋" w:hAnsi="仿宋" w:eastAsia="仿宋" w:cs="黑体"/>
          <w:b/>
          <w:bCs/>
          <w:sz w:val="32"/>
          <w:szCs w:val="32"/>
        </w:rPr>
        <w:t>年</w:t>
      </w:r>
      <w:r>
        <w:rPr>
          <w:rFonts w:hint="eastAsia" w:ascii="仿宋" w:hAnsi="仿宋" w:eastAsia="仿宋"/>
          <w:b/>
          <w:bCs/>
          <w:sz w:val="32"/>
          <w:szCs w:val="32"/>
          <w:lang w:val="en-US" w:eastAsia="zh-CN"/>
        </w:rPr>
        <w:t>5</w:t>
      </w:r>
      <w:r>
        <w:rPr>
          <w:rFonts w:hint="eastAsia" w:ascii="仿宋" w:hAnsi="仿宋" w:eastAsia="仿宋" w:cs="黑体"/>
          <w:b/>
          <w:bCs/>
          <w:sz w:val="32"/>
          <w:szCs w:val="32"/>
        </w:rPr>
        <w:t>月</w:t>
      </w:r>
    </w:p>
    <w:p w14:paraId="7FCA8AD4">
      <w:pPr>
        <w:jc w:val="center"/>
        <w:rPr>
          <w:rFonts w:ascii="Times New Roman" w:hAnsi="Times New Roman" w:eastAsia="黑体" w:cs="黑体"/>
          <w:b/>
          <w:bCs/>
          <w:sz w:val="28"/>
          <w:szCs w:val="28"/>
        </w:rPr>
      </w:pPr>
    </w:p>
    <w:p w14:paraId="386ACEF1">
      <w:pPr>
        <w:jc w:val="center"/>
        <w:rPr>
          <w:rFonts w:ascii="Times New Roman" w:hAnsi="Times New Roman" w:eastAsia="黑体" w:cs="黑体"/>
          <w:b/>
          <w:bCs/>
          <w:sz w:val="28"/>
          <w:szCs w:val="28"/>
        </w:rPr>
      </w:pPr>
    </w:p>
    <w:p w14:paraId="6BE0E1FC">
      <w:pPr>
        <w:jc w:val="center"/>
        <w:rPr>
          <w:rFonts w:ascii="Times New Roman" w:hAnsi="Times New Roman" w:eastAsia="黑体" w:cs="黑体"/>
          <w:b/>
          <w:bCs/>
          <w:sz w:val="28"/>
          <w:szCs w:val="28"/>
        </w:rPr>
      </w:pPr>
    </w:p>
    <w:p w14:paraId="4E85CD10">
      <w:pPr>
        <w:jc w:val="center"/>
        <w:rPr>
          <w:rFonts w:ascii="Times New Roman" w:hAnsi="Times New Roman" w:eastAsia="黑体" w:cs="黑体"/>
          <w:b/>
          <w:bCs/>
          <w:sz w:val="28"/>
          <w:szCs w:val="28"/>
        </w:rPr>
      </w:pPr>
    </w:p>
    <w:p w14:paraId="3C4C393A">
      <w:pPr>
        <w:jc w:val="center"/>
        <w:rPr>
          <w:rFonts w:ascii="Times New Roman" w:hAnsi="Times New Roman" w:eastAsia="黑体" w:cs="黑体"/>
          <w:b/>
          <w:bCs/>
          <w:sz w:val="28"/>
          <w:szCs w:val="28"/>
        </w:rPr>
      </w:pPr>
    </w:p>
    <w:p w14:paraId="444E3F52">
      <w:pPr>
        <w:jc w:val="center"/>
        <w:rPr>
          <w:rFonts w:ascii="Times New Roman" w:hAnsi="Times New Roman" w:eastAsia="黑体" w:cs="黑体"/>
          <w:b/>
          <w:bCs/>
          <w:sz w:val="28"/>
          <w:szCs w:val="28"/>
        </w:rPr>
      </w:pPr>
    </w:p>
    <w:p w14:paraId="7DD77C0C">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53"/>
        <w:gridCol w:w="1488"/>
        <w:gridCol w:w="1621"/>
      </w:tblGrid>
      <w:tr w14:paraId="77AB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27BB9EA6">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14:paraId="1BC676EC">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14:paraId="77D2049F">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14:paraId="184FEF4F">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14:paraId="687F391D">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14:paraId="38EC989D">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14:paraId="05C9428D">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14:paraId="42BF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20" w:type="dxa"/>
            <w:vAlign w:val="center"/>
          </w:tcPr>
          <w:p w14:paraId="3962BBC5">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620" w:type="dxa"/>
            <w:vAlign w:val="center"/>
          </w:tcPr>
          <w:p w14:paraId="36491F27">
            <w:pPr>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肖伟</w:t>
            </w:r>
          </w:p>
        </w:tc>
        <w:tc>
          <w:tcPr>
            <w:tcW w:w="1753" w:type="dxa"/>
            <w:vAlign w:val="center"/>
          </w:tcPr>
          <w:p w14:paraId="32EADEB3">
            <w:pPr>
              <w:jc w:val="center"/>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副主任</w:t>
            </w:r>
          </w:p>
        </w:tc>
        <w:tc>
          <w:tcPr>
            <w:tcW w:w="1488" w:type="dxa"/>
            <w:vAlign w:val="center"/>
          </w:tcPr>
          <w:p w14:paraId="6B2ECCF4">
            <w:pPr>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en-US" w:eastAsia="zh-CN"/>
              </w:rPr>
              <w:t>政府办</w:t>
            </w:r>
          </w:p>
        </w:tc>
        <w:tc>
          <w:tcPr>
            <w:tcW w:w="1621" w:type="dxa"/>
          </w:tcPr>
          <w:p w14:paraId="4700AC51">
            <w:pPr>
              <w:rPr>
                <w:rFonts w:ascii="Times New Roman" w:hAnsi="Times New Roman" w:eastAsia="黑体" w:cs="黑体"/>
                <w:color w:val="000000"/>
                <w:sz w:val="24"/>
                <w:szCs w:val="24"/>
                <w:u w:color="000000"/>
                <w:lang w:val="zh-TW" w:eastAsia="zh-TW"/>
              </w:rPr>
            </w:pPr>
          </w:p>
        </w:tc>
      </w:tr>
      <w:tr w14:paraId="6D12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620" w:type="dxa"/>
            <w:vAlign w:val="center"/>
          </w:tcPr>
          <w:p w14:paraId="3583A4BA">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vAlign w:val="center"/>
          </w:tcPr>
          <w:p w14:paraId="79EC6E16">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闫鑫</w:t>
            </w:r>
          </w:p>
        </w:tc>
        <w:tc>
          <w:tcPr>
            <w:tcW w:w="1753" w:type="dxa"/>
            <w:vAlign w:val="center"/>
          </w:tcPr>
          <w:p w14:paraId="1D38CC38">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副主任</w:t>
            </w:r>
          </w:p>
        </w:tc>
        <w:tc>
          <w:tcPr>
            <w:tcW w:w="1488" w:type="dxa"/>
            <w:vAlign w:val="center"/>
          </w:tcPr>
          <w:p w14:paraId="7AAF9568">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机关事务管理服务中心</w:t>
            </w:r>
          </w:p>
        </w:tc>
        <w:tc>
          <w:tcPr>
            <w:tcW w:w="1621" w:type="dxa"/>
          </w:tcPr>
          <w:p w14:paraId="609EA72D">
            <w:pPr>
              <w:spacing w:line="360" w:lineRule="auto"/>
              <w:rPr>
                <w:rFonts w:ascii="Times New Roman" w:hAnsi="Times New Roman" w:eastAsia="黑体" w:cs="黑体"/>
                <w:color w:val="000000"/>
                <w:sz w:val="24"/>
                <w:szCs w:val="24"/>
                <w:u w:color="000000"/>
                <w:lang w:val="zh-TW" w:eastAsia="zh-TW"/>
              </w:rPr>
            </w:pPr>
          </w:p>
        </w:tc>
      </w:tr>
      <w:tr w14:paraId="6594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14:paraId="6EA32C6F">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vAlign w:val="center"/>
          </w:tcPr>
          <w:p w14:paraId="28707F64">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杨艳</w:t>
            </w:r>
          </w:p>
        </w:tc>
        <w:tc>
          <w:tcPr>
            <w:tcW w:w="1753" w:type="dxa"/>
            <w:vAlign w:val="center"/>
          </w:tcPr>
          <w:p w14:paraId="70778589">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副主任</w:t>
            </w:r>
          </w:p>
        </w:tc>
        <w:tc>
          <w:tcPr>
            <w:tcW w:w="1488" w:type="dxa"/>
            <w:vAlign w:val="center"/>
          </w:tcPr>
          <w:p w14:paraId="08A2E2EC">
            <w:pPr>
              <w:spacing w:line="360" w:lineRule="auto"/>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CN"/>
              </w:rPr>
              <w:t>机关事务管理服务中心</w:t>
            </w:r>
          </w:p>
        </w:tc>
        <w:tc>
          <w:tcPr>
            <w:tcW w:w="1621" w:type="dxa"/>
          </w:tcPr>
          <w:p w14:paraId="7AD2D208">
            <w:pPr>
              <w:spacing w:line="360" w:lineRule="auto"/>
              <w:rPr>
                <w:rFonts w:ascii="Times New Roman" w:hAnsi="Times New Roman" w:eastAsia="黑体" w:cs="黑体"/>
                <w:color w:val="000000"/>
                <w:sz w:val="24"/>
                <w:szCs w:val="24"/>
                <w:u w:color="000000"/>
                <w:lang w:val="zh-TW" w:eastAsia="zh-TW"/>
              </w:rPr>
            </w:pPr>
          </w:p>
        </w:tc>
      </w:tr>
      <w:tr w14:paraId="7E28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4FF20FB2">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组员</w:t>
            </w:r>
          </w:p>
        </w:tc>
        <w:tc>
          <w:tcPr>
            <w:tcW w:w="1620" w:type="dxa"/>
          </w:tcPr>
          <w:p w14:paraId="21BE77BB">
            <w:pPr>
              <w:spacing w:line="360" w:lineRule="auto"/>
              <w:rPr>
                <w:rFonts w:hint="default"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eastAsia="zh-CN"/>
              </w:rPr>
              <w:t>和娟</w:t>
            </w:r>
          </w:p>
        </w:tc>
        <w:tc>
          <w:tcPr>
            <w:tcW w:w="1753" w:type="dxa"/>
          </w:tcPr>
          <w:p w14:paraId="17CEDEA4">
            <w:pPr>
              <w:spacing w:line="360" w:lineRule="auto"/>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CN"/>
              </w:rPr>
              <w:t>主任</w:t>
            </w:r>
          </w:p>
        </w:tc>
        <w:tc>
          <w:tcPr>
            <w:tcW w:w="1488" w:type="dxa"/>
          </w:tcPr>
          <w:p w14:paraId="64F297E6">
            <w:pPr>
              <w:spacing w:line="360" w:lineRule="auto"/>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CN"/>
              </w:rPr>
              <w:t>办公室</w:t>
            </w:r>
          </w:p>
        </w:tc>
        <w:tc>
          <w:tcPr>
            <w:tcW w:w="1621" w:type="dxa"/>
          </w:tcPr>
          <w:p w14:paraId="2D4CDD28">
            <w:pPr>
              <w:spacing w:line="360" w:lineRule="auto"/>
              <w:rPr>
                <w:rFonts w:ascii="Times New Roman" w:hAnsi="Times New Roman" w:eastAsia="黑体" w:cs="黑体"/>
                <w:color w:val="000000"/>
                <w:sz w:val="24"/>
                <w:szCs w:val="24"/>
                <w:u w:color="000000"/>
                <w:lang w:val="zh-TW" w:eastAsia="zh-TW"/>
              </w:rPr>
            </w:pPr>
          </w:p>
        </w:tc>
      </w:tr>
      <w:tr w14:paraId="13CF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1EAEEEA4">
            <w:pPr>
              <w:spacing w:line="360" w:lineRule="auto"/>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组员</w:t>
            </w:r>
          </w:p>
        </w:tc>
        <w:tc>
          <w:tcPr>
            <w:tcW w:w="1620" w:type="dxa"/>
          </w:tcPr>
          <w:p w14:paraId="2922447F">
            <w:pPr>
              <w:spacing w:line="360" w:lineRule="auto"/>
              <w:jc w:val="center"/>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杜云新</w:t>
            </w:r>
          </w:p>
        </w:tc>
        <w:tc>
          <w:tcPr>
            <w:tcW w:w="1753" w:type="dxa"/>
          </w:tcPr>
          <w:p w14:paraId="3AC76660">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科长</w:t>
            </w:r>
          </w:p>
        </w:tc>
        <w:tc>
          <w:tcPr>
            <w:tcW w:w="1488" w:type="dxa"/>
          </w:tcPr>
          <w:p w14:paraId="6AB7203D">
            <w:pPr>
              <w:spacing w:line="360" w:lineRule="auto"/>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CN"/>
              </w:rPr>
              <w:t>保卫科</w:t>
            </w:r>
          </w:p>
        </w:tc>
        <w:tc>
          <w:tcPr>
            <w:tcW w:w="1621" w:type="dxa"/>
          </w:tcPr>
          <w:p w14:paraId="7133A740">
            <w:pPr>
              <w:spacing w:line="360" w:lineRule="auto"/>
              <w:rPr>
                <w:rFonts w:ascii="Times New Roman" w:hAnsi="Times New Roman" w:eastAsia="黑体" w:cs="黑体"/>
                <w:color w:val="000000"/>
                <w:sz w:val="24"/>
                <w:szCs w:val="24"/>
                <w:u w:color="000000"/>
                <w:lang w:val="zh-TW" w:eastAsia="zh-TW"/>
              </w:rPr>
            </w:pPr>
          </w:p>
        </w:tc>
      </w:tr>
      <w:tr w14:paraId="161F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7226852B">
            <w:pPr>
              <w:spacing w:line="360" w:lineRule="auto"/>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组员</w:t>
            </w:r>
          </w:p>
        </w:tc>
        <w:tc>
          <w:tcPr>
            <w:tcW w:w="1620" w:type="dxa"/>
          </w:tcPr>
          <w:p w14:paraId="70BB8251">
            <w:pPr>
              <w:spacing w:line="360" w:lineRule="auto"/>
              <w:jc w:val="center"/>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刘荣地</w:t>
            </w:r>
          </w:p>
        </w:tc>
        <w:tc>
          <w:tcPr>
            <w:tcW w:w="1753" w:type="dxa"/>
          </w:tcPr>
          <w:p w14:paraId="344F9AEA">
            <w:pPr>
              <w:spacing w:line="360" w:lineRule="auto"/>
              <w:jc w:val="center"/>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主任</w:t>
            </w:r>
          </w:p>
        </w:tc>
        <w:tc>
          <w:tcPr>
            <w:tcW w:w="1488" w:type="dxa"/>
          </w:tcPr>
          <w:p w14:paraId="1512085D">
            <w:pPr>
              <w:spacing w:line="360" w:lineRule="auto"/>
              <w:jc w:val="center"/>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CN"/>
              </w:rPr>
              <w:t>会务中心</w:t>
            </w:r>
          </w:p>
        </w:tc>
        <w:tc>
          <w:tcPr>
            <w:tcW w:w="1621" w:type="dxa"/>
          </w:tcPr>
          <w:p w14:paraId="4CAA26D5">
            <w:pPr>
              <w:spacing w:line="360" w:lineRule="auto"/>
              <w:rPr>
                <w:rFonts w:ascii="Times New Roman" w:hAnsi="Times New Roman" w:eastAsia="黑体" w:cs="黑体"/>
                <w:color w:val="000000"/>
                <w:sz w:val="24"/>
                <w:szCs w:val="24"/>
                <w:u w:color="000000"/>
                <w:lang w:val="zh-TW" w:eastAsia="zh-TW"/>
              </w:rPr>
            </w:pPr>
          </w:p>
        </w:tc>
      </w:tr>
      <w:tr w14:paraId="3ABA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4BDF0181">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14:paraId="19620900">
            <w:pPr>
              <w:spacing w:line="360" w:lineRule="auto"/>
              <w:rPr>
                <w:rFonts w:ascii="Times New Roman" w:hAnsi="Times New Roman" w:eastAsia="黑体" w:cs="黑体"/>
                <w:color w:val="000000"/>
                <w:sz w:val="24"/>
                <w:szCs w:val="24"/>
                <w:u w:color="000000"/>
                <w:lang w:val="zh-TW"/>
              </w:rPr>
            </w:pPr>
          </w:p>
          <w:p w14:paraId="20591DAF">
            <w:pPr>
              <w:spacing w:line="360" w:lineRule="auto"/>
              <w:rPr>
                <w:rFonts w:ascii="Times New Roman" w:hAnsi="Times New Roman" w:eastAsia="黑体" w:cs="黑体"/>
                <w:color w:val="000000"/>
                <w:sz w:val="24"/>
                <w:szCs w:val="24"/>
                <w:u w:color="000000"/>
                <w:lang w:val="zh-TW"/>
              </w:rPr>
            </w:pPr>
          </w:p>
          <w:p w14:paraId="4A813A9E">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年</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月</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日</w:t>
            </w:r>
          </w:p>
        </w:tc>
      </w:tr>
      <w:tr w14:paraId="5E66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5E0A446C">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14:paraId="1F57D403">
            <w:pPr>
              <w:spacing w:line="360" w:lineRule="auto"/>
              <w:rPr>
                <w:rFonts w:ascii="Times New Roman" w:hAnsi="Times New Roman" w:eastAsia="黑体" w:cs="黑体"/>
                <w:color w:val="000000"/>
                <w:sz w:val="24"/>
                <w:szCs w:val="24"/>
                <w:u w:color="000000"/>
                <w:lang w:val="zh-TW"/>
              </w:rPr>
            </w:pPr>
          </w:p>
          <w:p w14:paraId="7B2A3C6D">
            <w:pPr>
              <w:spacing w:line="360" w:lineRule="auto"/>
              <w:rPr>
                <w:rFonts w:ascii="Times New Roman" w:hAnsi="Times New Roman" w:eastAsia="黑体" w:cs="黑体"/>
                <w:color w:val="000000"/>
                <w:sz w:val="24"/>
                <w:szCs w:val="24"/>
                <w:u w:color="000000"/>
                <w:lang w:val="zh-TW"/>
              </w:rPr>
            </w:pPr>
          </w:p>
          <w:p w14:paraId="6D738830">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年</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月</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日</w:t>
            </w:r>
          </w:p>
        </w:tc>
      </w:tr>
    </w:tbl>
    <w:p w14:paraId="0A5FCB18">
      <w:pPr>
        <w:widowControl/>
        <w:shd w:val="clear" w:color="auto" w:fill="FFFFFF"/>
        <w:jc w:val="center"/>
        <w:rPr>
          <w:rFonts w:ascii="宋体" w:hAnsi="宋体" w:eastAsia="宋体" w:cs="宋体"/>
          <w:color w:val="333333"/>
          <w:kern w:val="0"/>
          <w:szCs w:val="21"/>
        </w:rPr>
      </w:pPr>
    </w:p>
    <w:p w14:paraId="1C7B322C">
      <w:pPr>
        <w:widowControl/>
        <w:shd w:val="clear" w:color="auto" w:fill="FFFFFF"/>
        <w:jc w:val="center"/>
        <w:rPr>
          <w:rFonts w:ascii="宋体" w:hAnsi="宋体" w:eastAsia="宋体" w:cs="宋体"/>
          <w:color w:val="333333"/>
          <w:kern w:val="0"/>
          <w:szCs w:val="21"/>
        </w:rPr>
      </w:pPr>
    </w:p>
    <w:p w14:paraId="6D897351">
      <w:pPr>
        <w:widowControl/>
        <w:shd w:val="clear" w:color="auto" w:fill="FFFFFF"/>
        <w:jc w:val="center"/>
        <w:rPr>
          <w:rFonts w:ascii="宋体" w:hAnsi="宋体" w:eastAsia="宋体" w:cs="宋体"/>
          <w:color w:val="333333"/>
          <w:kern w:val="0"/>
          <w:szCs w:val="21"/>
        </w:rPr>
      </w:pPr>
    </w:p>
    <w:p w14:paraId="37E40723">
      <w:pPr>
        <w:widowControl/>
        <w:shd w:val="clear" w:color="auto" w:fill="FFFFFF"/>
        <w:jc w:val="center"/>
        <w:rPr>
          <w:rFonts w:ascii="宋体" w:hAnsi="宋体" w:eastAsia="宋体" w:cs="宋体"/>
          <w:color w:val="333333"/>
          <w:kern w:val="0"/>
          <w:szCs w:val="21"/>
        </w:rPr>
      </w:pPr>
    </w:p>
    <w:p w14:paraId="0A75C14B">
      <w:pPr>
        <w:widowControl/>
        <w:shd w:val="clear" w:color="auto" w:fill="FFFFFF"/>
        <w:jc w:val="center"/>
        <w:rPr>
          <w:rFonts w:ascii="宋体" w:hAnsi="宋体" w:eastAsia="宋体" w:cs="宋体"/>
          <w:color w:val="333333"/>
          <w:kern w:val="0"/>
          <w:szCs w:val="21"/>
        </w:rPr>
      </w:pPr>
    </w:p>
    <w:p w14:paraId="6BBEC5B9">
      <w:pPr>
        <w:widowControl/>
        <w:shd w:val="clear" w:color="auto" w:fill="FFFFFF"/>
        <w:jc w:val="center"/>
        <w:rPr>
          <w:rFonts w:ascii="宋体" w:hAnsi="宋体" w:eastAsia="宋体" w:cs="宋体"/>
          <w:color w:val="333333"/>
          <w:kern w:val="0"/>
          <w:szCs w:val="21"/>
        </w:rPr>
      </w:pPr>
    </w:p>
    <w:p w14:paraId="3DA6125F">
      <w:pPr>
        <w:widowControl/>
        <w:shd w:val="clear" w:color="auto" w:fill="FFFFFF"/>
        <w:jc w:val="center"/>
        <w:rPr>
          <w:rFonts w:ascii="宋体" w:hAnsi="宋体" w:eastAsia="宋体" w:cs="宋体"/>
          <w:color w:val="333333"/>
          <w:kern w:val="0"/>
          <w:szCs w:val="21"/>
        </w:rPr>
      </w:pPr>
    </w:p>
    <w:p w14:paraId="747A38B9">
      <w:pPr>
        <w:widowControl/>
        <w:shd w:val="clear" w:color="auto" w:fill="FFFFFF"/>
        <w:jc w:val="center"/>
        <w:rPr>
          <w:rFonts w:ascii="宋体" w:hAnsi="宋体" w:eastAsia="宋体" w:cs="宋体"/>
          <w:color w:val="333333"/>
          <w:kern w:val="0"/>
          <w:szCs w:val="21"/>
        </w:rPr>
      </w:pPr>
    </w:p>
    <w:p w14:paraId="4CBE6778">
      <w:pPr>
        <w:widowControl/>
        <w:shd w:val="clear" w:color="auto" w:fill="FFFFFF"/>
        <w:jc w:val="center"/>
        <w:rPr>
          <w:rFonts w:ascii="宋体" w:hAnsi="宋体" w:eastAsia="宋体" w:cs="宋体"/>
          <w:color w:val="333333"/>
          <w:kern w:val="0"/>
          <w:szCs w:val="21"/>
        </w:rPr>
      </w:pPr>
    </w:p>
    <w:p w14:paraId="2FC141D4">
      <w:pPr>
        <w:widowControl/>
        <w:shd w:val="clear" w:color="auto" w:fill="FFFFFF"/>
        <w:jc w:val="center"/>
        <w:rPr>
          <w:rFonts w:ascii="宋体" w:hAnsi="宋体" w:eastAsia="宋体" w:cs="宋体"/>
          <w:color w:val="333333"/>
          <w:kern w:val="0"/>
          <w:szCs w:val="21"/>
        </w:rPr>
      </w:pPr>
    </w:p>
    <w:p w14:paraId="5DABE185">
      <w:pPr>
        <w:widowControl/>
        <w:shd w:val="clear" w:color="auto" w:fill="FFFFFF"/>
        <w:jc w:val="center"/>
        <w:rPr>
          <w:rFonts w:ascii="宋体" w:hAnsi="宋体" w:eastAsia="宋体" w:cs="宋体"/>
          <w:color w:val="333333"/>
          <w:kern w:val="0"/>
          <w:szCs w:val="21"/>
        </w:rPr>
      </w:pPr>
    </w:p>
    <w:p w14:paraId="15406051">
      <w:pPr>
        <w:widowControl/>
        <w:shd w:val="clear" w:color="auto" w:fill="FFFFFF"/>
        <w:jc w:val="center"/>
        <w:rPr>
          <w:rFonts w:ascii="宋体" w:hAnsi="宋体" w:eastAsia="宋体" w:cs="宋体"/>
          <w:color w:val="333333"/>
          <w:kern w:val="0"/>
          <w:szCs w:val="21"/>
        </w:rPr>
      </w:pPr>
    </w:p>
    <w:p w14:paraId="2702B481">
      <w:pPr>
        <w:widowControl/>
        <w:shd w:val="clear" w:color="auto" w:fill="FFFFFF"/>
        <w:jc w:val="center"/>
        <w:rPr>
          <w:rFonts w:ascii="宋体" w:hAnsi="宋体" w:eastAsia="宋体" w:cs="宋体"/>
          <w:color w:val="333333"/>
          <w:kern w:val="0"/>
          <w:szCs w:val="21"/>
        </w:rPr>
      </w:pPr>
    </w:p>
    <w:p w14:paraId="3D2D11DD">
      <w:pPr>
        <w:widowControl/>
        <w:shd w:val="clear" w:color="auto" w:fill="FFFFFF"/>
        <w:jc w:val="center"/>
        <w:rPr>
          <w:rFonts w:ascii="宋体" w:hAnsi="宋体" w:eastAsia="宋体" w:cs="宋体"/>
          <w:color w:val="333333"/>
          <w:kern w:val="0"/>
          <w:szCs w:val="21"/>
        </w:rPr>
      </w:pPr>
    </w:p>
    <w:p w14:paraId="2AC04B71">
      <w:pPr>
        <w:widowControl/>
        <w:shd w:val="clear" w:color="auto" w:fill="FFFFFF"/>
        <w:jc w:val="center"/>
        <w:rPr>
          <w:rFonts w:ascii="宋体" w:hAnsi="宋体" w:eastAsia="宋体" w:cs="宋体"/>
          <w:color w:val="333333"/>
          <w:kern w:val="0"/>
          <w:szCs w:val="21"/>
        </w:rPr>
      </w:pPr>
    </w:p>
    <w:p w14:paraId="2BE1542B">
      <w:pPr>
        <w:pStyle w:val="7"/>
        <w:keepNext w:val="0"/>
        <w:keepLines w:val="0"/>
        <w:pageBreakBefore w:val="0"/>
        <w:widowControl w:val="0"/>
        <w:kinsoku/>
        <w:wordWrap/>
        <w:overflowPunct/>
        <w:topLinePunct w:val="0"/>
        <w:autoSpaceDE/>
        <w:autoSpaceDN/>
        <w:bidi w:val="0"/>
        <w:adjustRightInd/>
        <w:snapToGrid/>
        <w:spacing w:line="400" w:lineRule="exact"/>
        <w:textAlignment w:val="auto"/>
        <w:rPr>
          <w:rStyle w:val="13"/>
          <w:rFonts w:hint="eastAsia" w:ascii="黑体" w:hAnsi="黑体" w:eastAsia="黑体" w:cs="黑体"/>
          <w:color w:val="auto"/>
          <w:sz w:val="44"/>
          <w:szCs w:val="44"/>
          <w:u w:val="none"/>
        </w:rPr>
      </w:pPr>
      <w:r>
        <w:rPr>
          <w:rStyle w:val="13"/>
          <w:rFonts w:hint="eastAsia" w:ascii="黑体" w:hAnsi="黑体" w:eastAsia="黑体" w:cs="黑体"/>
          <w:color w:val="auto"/>
          <w:sz w:val="44"/>
          <w:szCs w:val="44"/>
          <w:u w:val="none"/>
        </w:rPr>
        <w:t>目</w:t>
      </w:r>
      <w:r>
        <w:rPr>
          <w:rStyle w:val="13"/>
          <w:rFonts w:hint="eastAsia" w:ascii="黑体" w:hAnsi="黑体" w:eastAsia="黑体" w:cs="黑体"/>
          <w:color w:val="auto"/>
          <w:sz w:val="44"/>
          <w:szCs w:val="44"/>
          <w:u w:val="none"/>
          <w:lang w:val="en-US" w:eastAsia="zh-CN"/>
        </w:rPr>
        <w:t xml:space="preserve"> </w:t>
      </w:r>
      <w:r>
        <w:rPr>
          <w:rStyle w:val="13"/>
          <w:rFonts w:hint="eastAsia" w:ascii="黑体" w:hAnsi="黑体" w:eastAsia="黑体" w:cs="黑体"/>
          <w:color w:val="auto"/>
          <w:sz w:val="44"/>
          <w:szCs w:val="44"/>
          <w:u w:val="none"/>
        </w:rPr>
        <w:t>录</w:t>
      </w:r>
    </w:p>
    <w:p w14:paraId="703B04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8"/>
          <w:szCs w:val="28"/>
        </w:rPr>
      </w:pPr>
    </w:p>
    <w:p w14:paraId="0D5B5B7F">
      <w:pPr>
        <w:pStyle w:val="7"/>
        <w:keepNext w:val="0"/>
        <w:keepLines w:val="0"/>
        <w:pageBreakBefore w:val="0"/>
        <w:widowControl w:val="0"/>
        <w:kinsoku/>
        <w:wordWrap/>
        <w:overflowPunct/>
        <w:topLinePunct w:val="0"/>
        <w:autoSpaceDE/>
        <w:autoSpaceDN/>
        <w:bidi w:val="0"/>
        <w:adjustRightInd/>
        <w:snapToGrid/>
        <w:spacing w:line="400" w:lineRule="exact"/>
        <w:textAlignment w:val="auto"/>
        <w:rPr>
          <w:rStyle w:val="13"/>
          <w:rFonts w:hint="eastAsia" w:ascii="黑体" w:hAnsi="黑体" w:eastAsia="黑体" w:cs="黑体"/>
          <w:color w:val="auto"/>
          <w:sz w:val="28"/>
          <w:szCs w:val="28"/>
          <w:u w:val="none"/>
        </w:rPr>
      </w:pPr>
      <w:r>
        <w:rPr>
          <w:rStyle w:val="13"/>
          <w:rFonts w:hint="eastAsia" w:ascii="黑体" w:hAnsi="黑体" w:eastAsia="黑体" w:cs="黑体"/>
          <w:color w:val="auto"/>
          <w:sz w:val="28"/>
          <w:szCs w:val="28"/>
          <w:u w:val="none"/>
        </w:rPr>
        <w:t>摘要</w:t>
      </w:r>
    </w:p>
    <w:p w14:paraId="6E5EC218">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Style w:val="13"/>
          <w:rFonts w:hint="eastAsia" w:ascii="黑体" w:hAnsi="黑体" w:eastAsia="黑体" w:cs="黑体"/>
          <w:sz w:val="28"/>
          <w:szCs w:val="28"/>
        </w:rPr>
        <w:fldChar w:fldCharType="begin"/>
      </w:r>
      <w:r>
        <w:rPr>
          <w:rStyle w:val="13"/>
          <w:rFonts w:hint="eastAsia" w:ascii="黑体" w:hAnsi="黑体" w:eastAsia="黑体" w:cs="黑体"/>
          <w:sz w:val="28"/>
          <w:szCs w:val="28"/>
        </w:rPr>
        <w:instrText xml:space="preserve">TOC \o "1-2" \h \z \u</w:instrText>
      </w:r>
      <w:r>
        <w:rPr>
          <w:rStyle w:val="13"/>
          <w:rFonts w:hint="eastAsia" w:ascii="黑体" w:hAnsi="黑体" w:eastAsia="黑体" w:cs="黑体"/>
          <w:sz w:val="28"/>
          <w:szCs w:val="28"/>
        </w:rPr>
        <w:fldChar w:fldCharType="separate"/>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_Toc30665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一、项目概况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_Toc30665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1D47D88">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_Toc31959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（一）项目立项背景及目的</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_Toc31959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1E8A125">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_Toc19279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（二）预算收支情况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_Toc19279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9BABDE5">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_Toc29612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二、评价结论</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_Toc29612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370A254">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_Toc31029 </w:instrText>
      </w:r>
      <w:r>
        <w:rPr>
          <w:rFonts w:hint="eastAsia" w:ascii="黑体" w:hAnsi="黑体" w:eastAsia="黑体" w:cs="黑体"/>
          <w:sz w:val="28"/>
          <w:szCs w:val="28"/>
        </w:rPr>
        <w:fldChar w:fldCharType="separate"/>
      </w:r>
      <w:r>
        <w:rPr>
          <w:rFonts w:hint="eastAsia" w:ascii="黑体" w:hAnsi="黑体" w:eastAsia="黑体" w:cs="黑体"/>
          <w:kern w:val="0"/>
          <w:sz w:val="28"/>
          <w:szCs w:val="28"/>
          <w:lang w:val="en-US" w:eastAsia="zh-CN"/>
        </w:rPr>
        <w:t>1.</w:t>
      </w:r>
      <w:r>
        <w:rPr>
          <w:rFonts w:hint="eastAsia" w:ascii="黑体" w:hAnsi="黑体" w:eastAsia="黑体" w:cs="黑体"/>
          <w:kern w:val="0"/>
          <w:sz w:val="28"/>
          <w:szCs w:val="28"/>
        </w:rPr>
        <w:t>评分结果</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_Toc31029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DBC1980">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_Toc32494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三、经验、问题和建议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_Toc32494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B1DE4A0">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_Toc13368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_Toc13368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F83A82D">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_Toc25769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_Toc25769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40B0A48">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_Toc14165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_Toc14165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3A8E1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正文</w:t>
      </w:r>
    </w:p>
    <w:p w14:paraId="7DFCCF22">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_Toc21638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一、项目基本情况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_Toc21638 </w:instrText>
      </w:r>
      <w:r>
        <w:rPr>
          <w:rFonts w:hint="eastAsia" w:ascii="黑体" w:hAnsi="黑体" w:eastAsia="黑体" w:cs="黑体"/>
          <w:sz w:val="28"/>
          <w:szCs w:val="28"/>
        </w:rPr>
        <w:fldChar w:fldCharType="separate"/>
      </w:r>
      <w:r>
        <w:rPr>
          <w:rFonts w:hint="eastAsia" w:ascii="黑体" w:hAnsi="黑体" w:eastAsia="黑体" w:cs="黑体"/>
          <w:sz w:val="28"/>
          <w:szCs w:val="28"/>
        </w:rPr>
        <w:t>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0919106">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_Toc14789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（一）项目概况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_Toc14789 </w:instrText>
      </w:r>
      <w:r>
        <w:rPr>
          <w:rFonts w:hint="eastAsia" w:ascii="黑体" w:hAnsi="黑体" w:eastAsia="黑体" w:cs="黑体"/>
          <w:sz w:val="28"/>
          <w:szCs w:val="28"/>
        </w:rPr>
        <w:fldChar w:fldCharType="separate"/>
      </w:r>
      <w:r>
        <w:rPr>
          <w:rFonts w:hint="eastAsia" w:ascii="黑体" w:hAnsi="黑体" w:eastAsia="黑体" w:cs="黑体"/>
          <w:sz w:val="28"/>
          <w:szCs w:val="28"/>
        </w:rPr>
        <w:t>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86A1F0B">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_Toc7744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（二）项目绩效目标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_Toc7744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3097EB3">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_Toc26845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二、绩效评价工作情况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_Toc26845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87AE00C">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_Toc9999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(一)评价的目的和依据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_Toc9999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1789FE5">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_Toc22709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（二）绩效评价工作方案制定过程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_Toc22709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D6D7AA5">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_Toc23046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（三）绩效评价原则及评价方法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_Toc23046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587C9C9">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_Toc17021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(四) 绩效评价实施过程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_Toc17021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3F6DF88">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_Toc30282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（五）绩效评价的局限性</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_Toc30282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4728937">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_Toc15354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三、评价结论</w:t>
      </w:r>
      <w:r>
        <w:rPr>
          <w:rFonts w:hint="eastAsia" w:ascii="黑体" w:hAnsi="黑体" w:eastAsia="黑体" w:cs="黑体"/>
          <w:kern w:val="44"/>
          <w:sz w:val="28"/>
          <w:szCs w:val="28"/>
          <w:lang w:eastAsia="zh-CN"/>
        </w:rPr>
        <w:t>和</w:t>
      </w:r>
      <w:r>
        <w:rPr>
          <w:rFonts w:hint="eastAsia" w:ascii="黑体" w:hAnsi="黑体" w:eastAsia="黑体" w:cs="黑体"/>
          <w:kern w:val="44"/>
          <w:sz w:val="28"/>
          <w:szCs w:val="28"/>
        </w:rPr>
        <w:t>绩效分析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_Toc15354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C4CFD7F">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_Toc3472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(一)评价结论</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_Toc3472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1AAC8DF">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_Toc7949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（二）具体绩效分析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_Toc7949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B2B4E2B">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_Toc19786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四、成本效益分析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_Toc19786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7C4ECCB">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_Toc31269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（一）项目经济性分析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_Toc31269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AC44345">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_Toc28106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（二）项目的效益性分析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_Toc28106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C469318">
      <w:pPr>
        <w:pStyle w:val="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_Toc364 </w:instrText>
      </w:r>
      <w:r>
        <w:rPr>
          <w:rFonts w:hint="eastAsia" w:ascii="黑体" w:hAnsi="黑体" w:eastAsia="黑体" w:cs="黑体"/>
          <w:sz w:val="28"/>
          <w:szCs w:val="28"/>
        </w:rPr>
        <w:fldChar w:fldCharType="separate"/>
      </w:r>
      <w:r>
        <w:rPr>
          <w:rFonts w:hint="eastAsia" w:ascii="黑体" w:hAnsi="黑体" w:eastAsia="黑体" w:cs="黑体"/>
          <w:kern w:val="44"/>
          <w:sz w:val="28"/>
          <w:szCs w:val="28"/>
        </w:rPr>
        <w:t>五、项目主要经验及做法、存在的问题和建议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_Toc364 </w:instrText>
      </w:r>
      <w:r>
        <w:rPr>
          <w:rFonts w:hint="eastAsia" w:ascii="黑体" w:hAnsi="黑体" w:eastAsia="黑体" w:cs="黑体"/>
          <w:sz w:val="28"/>
          <w:szCs w:val="28"/>
        </w:rPr>
        <w:fldChar w:fldCharType="separate"/>
      </w:r>
      <w:r>
        <w:rPr>
          <w:rFonts w:hint="eastAsia" w:ascii="黑体" w:hAnsi="黑体" w:eastAsia="黑体" w:cs="黑体"/>
          <w:sz w:val="28"/>
          <w:szCs w:val="28"/>
        </w:rPr>
        <w:t>18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42E5A0C">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_Toc9030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_Toc9030 </w:instrText>
      </w:r>
      <w:r>
        <w:rPr>
          <w:rFonts w:hint="eastAsia" w:ascii="黑体" w:hAnsi="黑体" w:eastAsia="黑体" w:cs="黑体"/>
          <w:sz w:val="28"/>
          <w:szCs w:val="28"/>
        </w:rPr>
        <w:fldChar w:fldCharType="separate"/>
      </w:r>
      <w:r>
        <w:rPr>
          <w:rFonts w:hint="eastAsia" w:ascii="黑体" w:hAnsi="黑体" w:eastAsia="黑体" w:cs="黑体"/>
          <w:sz w:val="28"/>
          <w:szCs w:val="28"/>
        </w:rPr>
        <w:t>18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1CADE13">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_Toc28194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_Toc28194 </w:instrText>
      </w:r>
      <w:r>
        <w:rPr>
          <w:rFonts w:hint="eastAsia" w:ascii="黑体" w:hAnsi="黑体" w:eastAsia="黑体" w:cs="黑体"/>
          <w:sz w:val="28"/>
          <w:szCs w:val="28"/>
        </w:rPr>
        <w:fldChar w:fldCharType="separate"/>
      </w:r>
      <w:r>
        <w:rPr>
          <w:rFonts w:hint="eastAsia" w:ascii="黑体" w:hAnsi="黑体" w:eastAsia="黑体" w:cs="黑体"/>
          <w:sz w:val="28"/>
          <w:szCs w:val="28"/>
        </w:rPr>
        <w:t>18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6645485">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_Toc26689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_Toc26689 </w:instrText>
      </w:r>
      <w:r>
        <w:rPr>
          <w:rFonts w:hint="eastAsia" w:ascii="黑体" w:hAnsi="黑体" w:eastAsia="黑体" w:cs="黑体"/>
          <w:sz w:val="28"/>
          <w:szCs w:val="28"/>
        </w:rPr>
        <w:fldChar w:fldCharType="separate"/>
      </w:r>
      <w:r>
        <w:rPr>
          <w:rFonts w:hint="eastAsia" w:ascii="黑体" w:hAnsi="黑体" w:eastAsia="黑体" w:cs="黑体"/>
          <w:sz w:val="28"/>
          <w:szCs w:val="28"/>
        </w:rPr>
        <w:t>19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DBC119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黑体" w:hAnsi="黑体" w:eastAsia="黑体" w:cs="黑体"/>
          <w:sz w:val="28"/>
          <w:szCs w:val="28"/>
        </w:rPr>
        <w:fldChar w:fldCharType="end"/>
      </w:r>
    </w:p>
    <w:p w14:paraId="6AD8C582">
      <w:pPr>
        <w:pageBreakBefore w:val="0"/>
        <w:tabs>
          <w:tab w:val="left" w:pos="1215"/>
        </w:tabs>
        <w:kinsoku/>
        <w:wordWrap/>
        <w:overflowPunct/>
        <w:topLinePunct w:val="0"/>
        <w:autoSpaceDE/>
        <w:autoSpaceDN/>
        <w:bidi w:val="0"/>
        <w:adjustRightInd/>
        <w:snapToGrid/>
        <w:spacing w:line="500" w:lineRule="exact"/>
        <w:jc w:val="center"/>
        <w:rPr>
          <w:rFonts w:hint="eastAsia" w:asciiTheme="minorEastAsia" w:hAnsiTheme="minorEastAsia"/>
          <w:b/>
          <w:sz w:val="44"/>
          <w:szCs w:val="44"/>
          <w:lang w:eastAsia="zh-CN"/>
        </w:rPr>
      </w:pPr>
      <w:r>
        <w:rPr>
          <w:rFonts w:hint="eastAsia" w:asciiTheme="minorEastAsia" w:hAnsiTheme="minorEastAsia"/>
          <w:b/>
          <w:sz w:val="44"/>
          <w:szCs w:val="44"/>
          <w:lang w:eastAsia="zh-CN"/>
        </w:rPr>
        <w:t>昆明市盘龙区机关事务管理服务中心</w:t>
      </w:r>
    </w:p>
    <w:p w14:paraId="2EFB9916">
      <w:pPr>
        <w:pageBreakBefore w:val="0"/>
        <w:tabs>
          <w:tab w:val="left" w:pos="1215"/>
        </w:tabs>
        <w:kinsoku/>
        <w:wordWrap/>
        <w:overflowPunct/>
        <w:topLinePunct w:val="0"/>
        <w:autoSpaceDE/>
        <w:autoSpaceDN/>
        <w:bidi w:val="0"/>
        <w:adjustRightInd/>
        <w:snapToGrid/>
        <w:spacing w:line="500" w:lineRule="exact"/>
        <w:jc w:val="center"/>
        <w:rPr>
          <w:rFonts w:hint="eastAsia" w:cs="Calibri" w:asciiTheme="minorEastAsia" w:hAnsiTheme="minorEastAsia"/>
          <w:b/>
          <w:bCs/>
          <w:sz w:val="44"/>
          <w:szCs w:val="44"/>
        </w:rPr>
      </w:pPr>
      <w:r>
        <w:rPr>
          <w:rFonts w:hint="eastAsia" w:cs="Calibri" w:asciiTheme="minorEastAsia" w:hAnsiTheme="minorEastAsia"/>
          <w:b/>
          <w:bCs/>
          <w:sz w:val="44"/>
          <w:szCs w:val="44"/>
        </w:rPr>
        <w:t>机关后勤服务综合管理费</w:t>
      </w:r>
    </w:p>
    <w:p w14:paraId="2B6AA360">
      <w:pPr>
        <w:pageBreakBefore w:val="0"/>
        <w:tabs>
          <w:tab w:val="left" w:pos="1215"/>
        </w:tabs>
        <w:kinsoku/>
        <w:wordWrap/>
        <w:overflowPunct/>
        <w:topLinePunct w:val="0"/>
        <w:autoSpaceDE/>
        <w:autoSpaceDN/>
        <w:bidi w:val="0"/>
        <w:adjustRightInd/>
        <w:snapToGrid/>
        <w:spacing w:line="500" w:lineRule="exact"/>
        <w:jc w:val="center"/>
        <w:rPr>
          <w:rFonts w:asciiTheme="minorEastAsia" w:hAnsiTheme="minorEastAsia"/>
          <w:b/>
          <w:sz w:val="44"/>
          <w:szCs w:val="44"/>
        </w:rPr>
      </w:pPr>
      <w:r>
        <w:rPr>
          <w:rFonts w:hint="eastAsia" w:asciiTheme="minorEastAsia" w:hAnsiTheme="minorEastAsia"/>
          <w:b/>
          <w:sz w:val="44"/>
          <w:szCs w:val="44"/>
        </w:rPr>
        <w:t>项目支出绩效自评报告</w:t>
      </w:r>
    </w:p>
    <w:p w14:paraId="14544A48">
      <w:pPr>
        <w:pageBreakBefore w:val="0"/>
        <w:widowControl/>
        <w:shd w:val="clear" w:color="auto" w:fill="FFFFFF"/>
        <w:kinsoku/>
        <w:wordWrap/>
        <w:overflowPunct/>
        <w:topLinePunct w:val="0"/>
        <w:autoSpaceDE/>
        <w:autoSpaceDN/>
        <w:bidi w:val="0"/>
        <w:adjustRightInd/>
        <w:snapToGrid/>
        <w:spacing w:line="500" w:lineRule="exact"/>
        <w:rPr>
          <w:rFonts w:ascii="仿宋" w:hAnsi="仿宋" w:eastAsia="仿宋" w:cs="宋体"/>
          <w:b/>
          <w:bCs/>
          <w:color w:val="333333"/>
          <w:kern w:val="0"/>
          <w:sz w:val="36"/>
          <w:szCs w:val="36"/>
        </w:rPr>
      </w:pPr>
    </w:p>
    <w:p w14:paraId="7DC81E15">
      <w:pPr>
        <w:pageBreakBefore w:val="0"/>
        <w:kinsoku/>
        <w:wordWrap/>
        <w:overflowPunct/>
        <w:topLinePunct w:val="0"/>
        <w:autoSpaceDE/>
        <w:autoSpaceDN/>
        <w:bidi w:val="0"/>
        <w:adjustRightInd/>
        <w:snapToGrid/>
        <w:spacing w:line="50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w:t>
      </w:r>
      <w:r>
        <w:rPr>
          <w:rFonts w:hint="eastAsia" w:ascii="方正小标宋_GBK" w:hAnsi="黑体" w:eastAsia="方正小标宋_GBK" w:cs="Times New Roman"/>
          <w:sz w:val="28"/>
          <w:szCs w:val="32"/>
          <w:lang w:val="en-US" w:eastAsia="zh-CN"/>
        </w:rPr>
        <w:t xml:space="preserve"> </w:t>
      </w:r>
      <w:r>
        <w:rPr>
          <w:rFonts w:hint="eastAsia" w:ascii="方正小标宋_GBK" w:hAnsi="黑体" w:eastAsia="方正小标宋_GBK" w:cs="Times New Roman"/>
          <w:sz w:val="28"/>
          <w:szCs w:val="32"/>
        </w:rPr>
        <w:t>要</w:t>
      </w:r>
    </w:p>
    <w:p w14:paraId="2A06AEE0">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0" w:name="_Toc30665"/>
      <w:r>
        <w:rPr>
          <w:rFonts w:hint="eastAsia" w:ascii="黑体" w:hAnsi="黑体" w:eastAsia="黑体" w:cstheme="minorBidi"/>
          <w:kern w:val="44"/>
          <w:sz w:val="32"/>
          <w:szCs w:val="32"/>
        </w:rPr>
        <w:t>一、项目概况</w:t>
      </w:r>
      <w:bookmarkEnd w:id="0"/>
    </w:p>
    <w:p w14:paraId="76CC81E3">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 w:name="_Toc31959"/>
      <w:r>
        <w:rPr>
          <w:rFonts w:hint="eastAsia" w:ascii="楷体_GB2312" w:eastAsia="楷体_GB2312" w:hAnsiTheme="majorHAnsi" w:cstheme="majorBidi"/>
          <w:kern w:val="2"/>
          <w:sz w:val="32"/>
          <w:szCs w:val="32"/>
        </w:rPr>
        <w:t>（一）项目立项背景及目的</w:t>
      </w:r>
      <w:bookmarkEnd w:id="1"/>
    </w:p>
    <w:p w14:paraId="74F061D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为贯彻党的十九大精神以及习近平总书记系列重要讲话精神，围绕区委、区政府中心工作，切实履行各项职责，高效服务，保障区委、区政府的各项工作高效有序运转。根据《关于印发&lt;昆明市</w:t>
      </w:r>
      <w:r>
        <w:rPr>
          <w:rFonts w:hint="eastAsia" w:ascii="仿宋_GB2312" w:hAnsi="仿宋" w:eastAsia="仿宋_GB2312" w:cs="宋体"/>
          <w:color w:val="333333"/>
          <w:kern w:val="0"/>
          <w:sz w:val="32"/>
          <w:szCs w:val="32"/>
          <w:lang w:eastAsia="zh-CN"/>
        </w:rPr>
        <w:t>盘龙区机关事务管理服务中心</w:t>
      </w:r>
      <w:r>
        <w:rPr>
          <w:rFonts w:hint="eastAsia" w:ascii="仿宋_GB2312" w:hAnsi="仿宋" w:eastAsia="仿宋_GB2312" w:cs="宋体"/>
          <w:color w:val="333333"/>
          <w:kern w:val="0"/>
          <w:sz w:val="32"/>
          <w:szCs w:val="32"/>
        </w:rPr>
        <w:t>主要职责内设机构和人员编制规定&gt;的通知》（盘政办通</w:t>
      </w:r>
      <w:r>
        <w:rPr>
          <w:rFonts w:hint="eastAsia" w:cs="Arial Unicode MS" w:asciiTheme="minorEastAsia" w:hAnsiTheme="minorEastAsia"/>
          <w:color w:val="333333"/>
          <w:kern w:val="0"/>
          <w:sz w:val="32"/>
          <w:szCs w:val="32"/>
        </w:rPr>
        <w:t>﹝</w:t>
      </w:r>
      <w:r>
        <w:rPr>
          <w:rFonts w:hint="eastAsia" w:ascii="仿宋_GB2312" w:hAnsi="仿宋" w:eastAsia="仿宋_GB2312" w:cs="宋体"/>
          <w:color w:val="333333"/>
          <w:kern w:val="0"/>
          <w:sz w:val="32"/>
          <w:szCs w:val="32"/>
        </w:rPr>
        <w:t>2005</w:t>
      </w:r>
      <w:r>
        <w:rPr>
          <w:rFonts w:hint="eastAsia" w:ascii="宋体" w:hAnsi="宋体" w:eastAsia="宋体" w:cs="Arial Unicode MS"/>
          <w:color w:val="333333"/>
          <w:kern w:val="0"/>
          <w:sz w:val="32"/>
          <w:szCs w:val="32"/>
        </w:rPr>
        <w:t>﹞</w:t>
      </w:r>
      <w:r>
        <w:rPr>
          <w:rFonts w:hint="eastAsia" w:ascii="仿宋_GB2312" w:hAnsi="仿宋" w:eastAsia="仿宋_GB2312" w:cs="宋体"/>
          <w:color w:val="333333"/>
          <w:kern w:val="0"/>
          <w:sz w:val="32"/>
          <w:szCs w:val="32"/>
        </w:rPr>
        <w:t>34号）文件精神，区</w:t>
      </w:r>
      <w:r>
        <w:rPr>
          <w:rFonts w:hint="eastAsia" w:ascii="仿宋_GB2312" w:hAnsi="仿宋" w:eastAsia="仿宋_GB2312" w:cs="宋体"/>
          <w:color w:val="333333"/>
          <w:kern w:val="0"/>
          <w:sz w:val="32"/>
          <w:szCs w:val="32"/>
          <w:lang w:eastAsia="zh-CN"/>
        </w:rPr>
        <w:t>机关事务管理服务中心</w:t>
      </w:r>
      <w:r>
        <w:rPr>
          <w:rFonts w:hint="eastAsia" w:ascii="仿宋_GB2312" w:hAnsi="仿宋" w:eastAsia="仿宋_GB2312" w:cs="宋体"/>
          <w:color w:val="333333"/>
          <w:kern w:val="0"/>
          <w:sz w:val="32"/>
          <w:szCs w:val="32"/>
        </w:rPr>
        <w:t>主要承担区级机关后勤保障服务。</w:t>
      </w:r>
    </w:p>
    <w:p w14:paraId="09703836">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 w:name="_Toc19279"/>
      <w:r>
        <w:rPr>
          <w:rFonts w:hint="eastAsia" w:ascii="楷体_GB2312" w:eastAsia="楷体_GB2312" w:hAnsiTheme="majorHAnsi" w:cstheme="majorBidi"/>
          <w:kern w:val="2"/>
          <w:sz w:val="32"/>
          <w:szCs w:val="32"/>
        </w:rPr>
        <w:t>（二）预算收支情况</w:t>
      </w:r>
      <w:bookmarkEnd w:id="2"/>
    </w:p>
    <w:p w14:paraId="4D7CBA69">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为确保区级机关后勤保障工作到位，需申请业务经费</w:t>
      </w:r>
      <w:r>
        <w:rPr>
          <w:rFonts w:hint="eastAsia" w:ascii="仿宋_GB2312" w:hAnsi="仿宋" w:eastAsia="仿宋_GB2312" w:cs="宋体"/>
          <w:color w:val="333333"/>
          <w:kern w:val="0"/>
          <w:sz w:val="32"/>
          <w:szCs w:val="32"/>
          <w:lang w:val="en-US" w:eastAsia="zh-CN"/>
        </w:rPr>
        <w:t>8913800</w:t>
      </w:r>
      <w:r>
        <w:rPr>
          <w:rFonts w:hint="eastAsia" w:ascii="仿宋_GB2312" w:hAnsi="仿宋" w:eastAsia="仿宋_GB2312" w:cs="宋体"/>
          <w:color w:val="333333"/>
          <w:kern w:val="0"/>
          <w:sz w:val="32"/>
          <w:szCs w:val="32"/>
        </w:rPr>
        <w:t>元，具体项目预算明细如下： </w:t>
      </w:r>
    </w:p>
    <w:tbl>
      <w:tblPr>
        <w:tblStyle w:val="10"/>
        <w:tblW w:w="9498" w:type="dxa"/>
        <w:tblInd w:w="-41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52"/>
        <w:gridCol w:w="6237"/>
        <w:gridCol w:w="2409"/>
      </w:tblGrid>
      <w:tr w14:paraId="223593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90" w:hRule="atLeast"/>
        </w:trPr>
        <w:tc>
          <w:tcPr>
            <w:tcW w:w="85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B92E453">
            <w:pPr>
              <w:pageBreakBefore w:val="0"/>
              <w:widowControl/>
              <w:kinsoku/>
              <w:wordWrap/>
              <w:overflowPunct/>
              <w:topLinePunct w:val="0"/>
              <w:autoSpaceDE/>
              <w:autoSpaceDN/>
              <w:bidi w:val="0"/>
              <w:adjustRightInd/>
              <w:snapToGrid/>
              <w:spacing w:line="500" w:lineRule="exact"/>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序号</w:t>
            </w:r>
          </w:p>
        </w:tc>
        <w:tc>
          <w:tcPr>
            <w:tcW w:w="6237" w:type="dxa"/>
            <w:tcBorders>
              <w:top w:val="single" w:color="000000" w:sz="6" w:space="0"/>
              <w:left w:val="nil"/>
              <w:bottom w:val="single" w:color="000000" w:sz="6" w:space="0"/>
              <w:right w:val="single" w:color="000000" w:sz="6" w:space="0"/>
            </w:tcBorders>
            <w:shd w:val="clear" w:color="auto" w:fill="FFFFFF"/>
            <w:vAlign w:val="center"/>
          </w:tcPr>
          <w:p w14:paraId="76FFA924">
            <w:pPr>
              <w:pageBreakBefore w:val="0"/>
              <w:widowControl/>
              <w:kinsoku/>
              <w:wordWrap/>
              <w:overflowPunct/>
              <w:topLinePunct w:val="0"/>
              <w:autoSpaceDE/>
              <w:autoSpaceDN/>
              <w:bidi w:val="0"/>
              <w:adjustRightInd/>
              <w:snapToGrid/>
              <w:spacing w:line="500" w:lineRule="exact"/>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项目明细</w:t>
            </w:r>
          </w:p>
        </w:tc>
        <w:tc>
          <w:tcPr>
            <w:tcW w:w="2409" w:type="dxa"/>
            <w:tcBorders>
              <w:top w:val="single" w:color="000000" w:sz="6" w:space="0"/>
              <w:left w:val="nil"/>
              <w:bottom w:val="single" w:color="000000" w:sz="6" w:space="0"/>
              <w:right w:val="single" w:color="000000" w:sz="6" w:space="0"/>
            </w:tcBorders>
            <w:shd w:val="clear" w:color="auto" w:fill="FFFFFF"/>
            <w:vAlign w:val="center"/>
          </w:tcPr>
          <w:p w14:paraId="03035BB9">
            <w:pPr>
              <w:pageBreakBefore w:val="0"/>
              <w:widowControl/>
              <w:kinsoku/>
              <w:wordWrap/>
              <w:overflowPunct/>
              <w:topLinePunct w:val="0"/>
              <w:autoSpaceDE/>
              <w:autoSpaceDN/>
              <w:bidi w:val="0"/>
              <w:adjustRightInd/>
              <w:snapToGrid/>
              <w:spacing w:line="500" w:lineRule="exact"/>
              <w:jc w:val="center"/>
              <w:rPr>
                <w:rFonts w:hint="eastAsia" w:ascii="微软雅黑" w:hAnsi="微软雅黑" w:eastAsia="仿宋" w:cs="宋体"/>
                <w:b/>
                <w:color w:val="333333"/>
                <w:kern w:val="0"/>
                <w:sz w:val="24"/>
                <w:szCs w:val="24"/>
                <w:lang w:val="en-US" w:eastAsia="zh-CN"/>
              </w:rPr>
            </w:pPr>
            <w:r>
              <w:rPr>
                <w:rFonts w:hint="eastAsia" w:ascii="仿宋" w:hAnsi="仿宋" w:eastAsia="仿宋" w:cs="宋体"/>
                <w:b/>
                <w:color w:val="333333"/>
                <w:kern w:val="0"/>
                <w:sz w:val="24"/>
                <w:szCs w:val="24"/>
              </w:rPr>
              <w:t>财政拨款</w:t>
            </w:r>
            <w:r>
              <w:rPr>
                <w:rFonts w:hint="eastAsia" w:ascii="仿宋" w:hAnsi="仿宋" w:eastAsia="仿宋" w:cs="宋体"/>
                <w:b/>
                <w:color w:val="333333"/>
                <w:kern w:val="0"/>
                <w:sz w:val="24"/>
                <w:szCs w:val="24"/>
                <w:lang w:val="en-US" w:eastAsia="zh-CN"/>
              </w:rPr>
              <w:t>(元）</w:t>
            </w:r>
          </w:p>
        </w:tc>
      </w:tr>
      <w:tr w14:paraId="1B82AD4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000000" w:sz="6" w:space="0"/>
              <w:right w:val="single" w:color="000000" w:sz="6" w:space="0"/>
            </w:tcBorders>
            <w:shd w:val="clear" w:color="auto" w:fill="FFFFFF"/>
            <w:vAlign w:val="center"/>
          </w:tcPr>
          <w:p w14:paraId="1928B153">
            <w:pPr>
              <w:pageBreakBefore w:val="0"/>
              <w:widowControl/>
              <w:kinsoku/>
              <w:wordWrap/>
              <w:overflowPunct/>
              <w:topLinePunct w:val="0"/>
              <w:autoSpaceDE/>
              <w:autoSpaceDN/>
              <w:bidi w:val="0"/>
              <w:adjustRightInd/>
              <w:snapToGrid/>
              <w:spacing w:line="500" w:lineRule="exact"/>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1</w:t>
            </w:r>
          </w:p>
        </w:tc>
        <w:tc>
          <w:tcPr>
            <w:tcW w:w="6237" w:type="dxa"/>
            <w:tcBorders>
              <w:top w:val="nil"/>
              <w:left w:val="nil"/>
              <w:bottom w:val="single" w:color="000000" w:sz="6" w:space="0"/>
              <w:right w:val="single" w:color="000000" w:sz="6" w:space="0"/>
            </w:tcBorders>
            <w:shd w:val="clear" w:color="auto" w:fill="FFFFFF"/>
            <w:vAlign w:val="center"/>
          </w:tcPr>
          <w:p w14:paraId="5E7AADB3">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lang w:eastAsia="zh-CN"/>
              </w:rPr>
              <w:t>食堂、水电工、会议服务、音响师、采购办、节能办、办公区管理员、办公文员等编外临时</w:t>
            </w:r>
            <w:r>
              <w:rPr>
                <w:rFonts w:hint="eastAsia" w:ascii="仿宋_GB2312" w:hAnsi="微软雅黑" w:eastAsia="仿宋_GB2312" w:cs="宋体"/>
                <w:color w:val="333333"/>
                <w:kern w:val="0"/>
                <w:sz w:val="24"/>
                <w:szCs w:val="24"/>
              </w:rPr>
              <w:t>劳务派遣人员工资</w:t>
            </w:r>
          </w:p>
        </w:tc>
        <w:tc>
          <w:tcPr>
            <w:tcW w:w="2409" w:type="dxa"/>
            <w:tcBorders>
              <w:top w:val="nil"/>
              <w:left w:val="nil"/>
              <w:bottom w:val="single" w:color="000000" w:sz="6" w:space="0"/>
              <w:right w:val="single" w:color="000000" w:sz="6" w:space="0"/>
            </w:tcBorders>
            <w:shd w:val="clear" w:color="auto" w:fill="FFFFFF"/>
            <w:vAlign w:val="center"/>
          </w:tcPr>
          <w:p w14:paraId="2226C915">
            <w:pPr>
              <w:pageBreakBefore w:val="0"/>
              <w:widowControl/>
              <w:kinsoku/>
              <w:wordWrap/>
              <w:overflowPunct/>
              <w:topLinePunct w:val="0"/>
              <w:autoSpaceDE/>
              <w:autoSpaceDN/>
              <w:bidi w:val="0"/>
              <w:adjustRightInd/>
              <w:snapToGrid/>
              <w:spacing w:line="500" w:lineRule="exact"/>
              <w:jc w:val="center"/>
              <w:rPr>
                <w:rFonts w:hint="eastAsia" w:ascii="微软雅黑" w:hAnsi="微软雅黑" w:eastAsia="微软雅黑" w:cs="宋体"/>
                <w:color w:val="333333"/>
                <w:kern w:val="0"/>
                <w:sz w:val="24"/>
                <w:szCs w:val="24"/>
                <w:lang w:val="en-US" w:eastAsia="zh-CN"/>
              </w:rPr>
            </w:pPr>
            <w:r>
              <w:rPr>
                <w:rFonts w:hint="eastAsia" w:ascii="仿宋" w:hAnsi="仿宋" w:eastAsia="仿宋" w:cs="宋体"/>
                <w:color w:val="333333"/>
                <w:kern w:val="0"/>
                <w:sz w:val="24"/>
                <w:szCs w:val="24"/>
                <w:lang w:val="en-US" w:eastAsia="zh-CN"/>
              </w:rPr>
              <w:t>3937080</w:t>
            </w:r>
          </w:p>
        </w:tc>
      </w:tr>
      <w:tr w14:paraId="724CEA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218F9B0E">
            <w:pPr>
              <w:pageBreakBefore w:val="0"/>
              <w:widowControl/>
              <w:kinsoku/>
              <w:wordWrap/>
              <w:overflowPunct/>
              <w:topLinePunct w:val="0"/>
              <w:autoSpaceDE/>
              <w:autoSpaceDN/>
              <w:bidi w:val="0"/>
              <w:adjustRightInd/>
              <w:snapToGrid/>
              <w:spacing w:line="500" w:lineRule="exact"/>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2</w:t>
            </w:r>
          </w:p>
        </w:tc>
        <w:tc>
          <w:tcPr>
            <w:tcW w:w="6237" w:type="dxa"/>
            <w:tcBorders>
              <w:top w:val="nil"/>
              <w:left w:val="nil"/>
              <w:bottom w:val="single" w:color="auto" w:sz="4" w:space="0"/>
              <w:right w:val="single" w:color="000000" w:sz="6" w:space="0"/>
            </w:tcBorders>
            <w:shd w:val="clear" w:color="auto" w:fill="FFFFFF"/>
            <w:vAlign w:val="center"/>
          </w:tcPr>
          <w:p w14:paraId="31C77E49">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lang w:eastAsia="zh-CN"/>
              </w:rPr>
              <w:t>办公区</w:t>
            </w:r>
            <w:r>
              <w:rPr>
                <w:rFonts w:hint="eastAsia" w:ascii="仿宋_GB2312" w:hAnsi="微软雅黑" w:eastAsia="仿宋_GB2312" w:cs="宋体"/>
                <w:color w:val="333333"/>
                <w:kern w:val="0"/>
                <w:sz w:val="24"/>
                <w:szCs w:val="24"/>
              </w:rPr>
              <w:t>安保</w:t>
            </w:r>
            <w:r>
              <w:rPr>
                <w:rFonts w:hint="eastAsia" w:ascii="仿宋_GB2312" w:hAnsi="微软雅黑" w:eastAsia="仿宋_GB2312" w:cs="宋体"/>
                <w:color w:val="333333"/>
                <w:kern w:val="0"/>
                <w:sz w:val="24"/>
                <w:szCs w:val="24"/>
                <w:lang w:eastAsia="zh-CN"/>
              </w:rPr>
              <w:t>服务</w:t>
            </w:r>
            <w:r>
              <w:rPr>
                <w:rFonts w:hint="eastAsia" w:ascii="仿宋_GB2312" w:hAnsi="微软雅黑" w:eastAsia="仿宋_GB2312" w:cs="宋体"/>
                <w:color w:val="333333"/>
                <w:kern w:val="0"/>
                <w:sz w:val="24"/>
                <w:szCs w:val="24"/>
              </w:rPr>
              <w:t>费</w:t>
            </w:r>
          </w:p>
        </w:tc>
        <w:tc>
          <w:tcPr>
            <w:tcW w:w="2409" w:type="dxa"/>
            <w:tcBorders>
              <w:top w:val="nil"/>
              <w:left w:val="nil"/>
              <w:bottom w:val="single" w:color="auto" w:sz="4" w:space="0"/>
              <w:right w:val="single" w:color="000000" w:sz="6" w:space="0"/>
            </w:tcBorders>
            <w:shd w:val="clear" w:color="auto" w:fill="FFFFFF"/>
            <w:vAlign w:val="center"/>
          </w:tcPr>
          <w:p w14:paraId="4151DC11">
            <w:pPr>
              <w:pageBreakBefore w:val="0"/>
              <w:widowControl/>
              <w:kinsoku/>
              <w:wordWrap/>
              <w:overflowPunct/>
              <w:topLinePunct w:val="0"/>
              <w:autoSpaceDE/>
              <w:autoSpaceDN/>
              <w:bidi w:val="0"/>
              <w:adjustRightInd/>
              <w:snapToGrid/>
              <w:spacing w:line="500" w:lineRule="exact"/>
              <w:jc w:val="center"/>
              <w:rPr>
                <w:rFonts w:hint="default" w:ascii="微软雅黑" w:hAnsi="微软雅黑" w:eastAsia="微软雅黑" w:cs="宋体"/>
                <w:color w:val="333333"/>
                <w:kern w:val="0"/>
                <w:sz w:val="24"/>
                <w:szCs w:val="24"/>
                <w:lang w:val="en-US" w:eastAsia="zh-CN"/>
              </w:rPr>
            </w:pPr>
            <w:r>
              <w:rPr>
                <w:rFonts w:hint="eastAsia" w:ascii="仿宋" w:hAnsi="仿宋" w:eastAsia="仿宋" w:cs="宋体"/>
                <w:color w:val="333333"/>
                <w:kern w:val="0"/>
                <w:sz w:val="24"/>
                <w:szCs w:val="24"/>
                <w:lang w:val="en-US" w:eastAsia="zh-CN"/>
              </w:rPr>
              <w:t>2484720</w:t>
            </w:r>
          </w:p>
        </w:tc>
      </w:tr>
      <w:tr w14:paraId="3B36C77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7D6F0347">
            <w:pPr>
              <w:pageBreakBefore w:val="0"/>
              <w:widowControl/>
              <w:kinsoku/>
              <w:wordWrap/>
              <w:overflowPunct/>
              <w:topLinePunct w:val="0"/>
              <w:autoSpaceDE/>
              <w:autoSpaceDN/>
              <w:bidi w:val="0"/>
              <w:adjustRightInd/>
              <w:snapToGrid/>
              <w:spacing w:line="500" w:lineRule="exact"/>
              <w:jc w:val="center"/>
              <w:rPr>
                <w:rFonts w:hint="eastAsia" w:ascii="仿宋" w:hAnsi="仿宋" w:eastAsia="仿宋" w:cs="宋体"/>
                <w:color w:val="333333"/>
                <w:kern w:val="0"/>
                <w:sz w:val="24"/>
                <w:szCs w:val="24"/>
                <w:lang w:val="en-US" w:eastAsia="zh-CN"/>
              </w:rPr>
            </w:pPr>
            <w:r>
              <w:rPr>
                <w:rFonts w:hint="eastAsia" w:ascii="仿宋" w:hAnsi="仿宋" w:eastAsia="仿宋" w:cs="宋体"/>
                <w:color w:val="333333"/>
                <w:kern w:val="0"/>
                <w:sz w:val="24"/>
                <w:szCs w:val="24"/>
                <w:lang w:val="en-US" w:eastAsia="zh-CN"/>
              </w:rPr>
              <w:t>3</w:t>
            </w:r>
          </w:p>
        </w:tc>
        <w:tc>
          <w:tcPr>
            <w:tcW w:w="6237" w:type="dxa"/>
            <w:tcBorders>
              <w:top w:val="nil"/>
              <w:left w:val="nil"/>
              <w:bottom w:val="single" w:color="auto" w:sz="4" w:space="0"/>
              <w:right w:val="single" w:color="000000" w:sz="6" w:space="0"/>
            </w:tcBorders>
            <w:shd w:val="clear" w:color="auto" w:fill="FFFFFF"/>
            <w:vAlign w:val="center"/>
          </w:tcPr>
          <w:p w14:paraId="1C11A8D9">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物业保洁绿化费</w:t>
            </w:r>
          </w:p>
        </w:tc>
        <w:tc>
          <w:tcPr>
            <w:tcW w:w="2409" w:type="dxa"/>
            <w:tcBorders>
              <w:top w:val="nil"/>
              <w:left w:val="nil"/>
              <w:bottom w:val="single" w:color="auto" w:sz="4" w:space="0"/>
              <w:right w:val="single" w:color="000000" w:sz="6" w:space="0"/>
            </w:tcBorders>
            <w:shd w:val="clear" w:color="auto" w:fill="FFFFFF"/>
            <w:vAlign w:val="center"/>
          </w:tcPr>
          <w:p w14:paraId="3412878C">
            <w:pPr>
              <w:pageBreakBefore w:val="0"/>
              <w:widowControl/>
              <w:kinsoku/>
              <w:wordWrap/>
              <w:overflowPunct/>
              <w:topLinePunct w:val="0"/>
              <w:autoSpaceDE/>
              <w:autoSpaceDN/>
              <w:bidi w:val="0"/>
              <w:adjustRightInd/>
              <w:snapToGrid/>
              <w:spacing w:line="500" w:lineRule="exact"/>
              <w:jc w:val="center"/>
              <w:rPr>
                <w:rFonts w:hint="default" w:ascii="仿宋" w:hAnsi="仿宋" w:eastAsia="仿宋" w:cs="宋体"/>
                <w:color w:val="333333"/>
                <w:kern w:val="0"/>
                <w:sz w:val="24"/>
                <w:szCs w:val="24"/>
                <w:lang w:val="en-US" w:eastAsia="zh-CN"/>
              </w:rPr>
            </w:pPr>
            <w:r>
              <w:rPr>
                <w:rFonts w:hint="eastAsia" w:ascii="仿宋" w:hAnsi="仿宋" w:eastAsia="仿宋" w:cs="宋体"/>
                <w:color w:val="333333"/>
                <w:kern w:val="0"/>
                <w:sz w:val="24"/>
                <w:szCs w:val="24"/>
                <w:lang w:val="en-US" w:eastAsia="zh-CN"/>
              </w:rPr>
              <w:t>1792000</w:t>
            </w:r>
          </w:p>
        </w:tc>
      </w:tr>
      <w:tr w14:paraId="52204CB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7930E38D">
            <w:pPr>
              <w:pageBreakBefore w:val="0"/>
              <w:widowControl/>
              <w:kinsoku/>
              <w:wordWrap/>
              <w:overflowPunct/>
              <w:topLinePunct w:val="0"/>
              <w:autoSpaceDE/>
              <w:autoSpaceDN/>
              <w:bidi w:val="0"/>
              <w:adjustRightInd/>
              <w:snapToGrid/>
              <w:spacing w:line="500" w:lineRule="exact"/>
              <w:jc w:val="center"/>
              <w:rPr>
                <w:rFonts w:hint="eastAsia" w:ascii="仿宋" w:hAnsi="仿宋" w:eastAsia="仿宋" w:cs="宋体"/>
                <w:color w:val="333333"/>
                <w:kern w:val="0"/>
                <w:sz w:val="24"/>
                <w:szCs w:val="24"/>
                <w:lang w:val="en-US" w:eastAsia="zh-CN"/>
              </w:rPr>
            </w:pPr>
            <w:r>
              <w:rPr>
                <w:rFonts w:hint="eastAsia" w:ascii="仿宋" w:hAnsi="仿宋" w:eastAsia="仿宋" w:cs="宋体"/>
                <w:color w:val="333333"/>
                <w:kern w:val="0"/>
                <w:sz w:val="24"/>
                <w:szCs w:val="24"/>
                <w:lang w:val="en-US" w:eastAsia="zh-CN"/>
              </w:rPr>
              <w:t>4</w:t>
            </w:r>
          </w:p>
        </w:tc>
        <w:tc>
          <w:tcPr>
            <w:tcW w:w="6237" w:type="dxa"/>
            <w:tcBorders>
              <w:top w:val="nil"/>
              <w:left w:val="nil"/>
              <w:bottom w:val="single" w:color="auto" w:sz="4" w:space="0"/>
              <w:right w:val="single" w:color="000000" w:sz="6" w:space="0"/>
            </w:tcBorders>
            <w:shd w:val="clear" w:color="auto" w:fill="FFFFFF"/>
            <w:vAlign w:val="center"/>
          </w:tcPr>
          <w:p w14:paraId="072225CB">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综合管理费用</w:t>
            </w:r>
          </w:p>
        </w:tc>
        <w:tc>
          <w:tcPr>
            <w:tcW w:w="2409" w:type="dxa"/>
            <w:tcBorders>
              <w:top w:val="nil"/>
              <w:left w:val="nil"/>
              <w:bottom w:val="single" w:color="auto" w:sz="4" w:space="0"/>
              <w:right w:val="single" w:color="000000" w:sz="6" w:space="0"/>
            </w:tcBorders>
            <w:shd w:val="clear" w:color="auto" w:fill="FFFFFF"/>
            <w:vAlign w:val="center"/>
          </w:tcPr>
          <w:p w14:paraId="2488DB68">
            <w:pPr>
              <w:pageBreakBefore w:val="0"/>
              <w:widowControl/>
              <w:kinsoku/>
              <w:wordWrap/>
              <w:overflowPunct/>
              <w:topLinePunct w:val="0"/>
              <w:autoSpaceDE/>
              <w:autoSpaceDN/>
              <w:bidi w:val="0"/>
              <w:adjustRightInd/>
              <w:snapToGrid/>
              <w:spacing w:line="500" w:lineRule="exact"/>
              <w:jc w:val="center"/>
              <w:rPr>
                <w:rFonts w:hint="eastAsia" w:ascii="仿宋" w:hAnsi="仿宋" w:eastAsia="仿宋" w:cs="宋体"/>
                <w:color w:val="333333"/>
                <w:kern w:val="0"/>
                <w:sz w:val="24"/>
                <w:szCs w:val="24"/>
                <w:lang w:val="en-US" w:eastAsia="zh-CN"/>
              </w:rPr>
            </w:pPr>
            <w:r>
              <w:rPr>
                <w:rFonts w:hint="eastAsia" w:ascii="仿宋" w:hAnsi="仿宋" w:eastAsia="仿宋" w:cs="宋体"/>
                <w:color w:val="333333"/>
                <w:kern w:val="0"/>
                <w:sz w:val="24"/>
                <w:szCs w:val="24"/>
                <w:lang w:val="en-US" w:eastAsia="zh-CN"/>
              </w:rPr>
              <w:t>700000</w:t>
            </w:r>
          </w:p>
        </w:tc>
      </w:tr>
      <w:tr w14:paraId="75FA065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852" w:type="dxa"/>
            <w:tcBorders>
              <w:top w:val="single" w:color="auto" w:sz="4" w:space="0"/>
              <w:left w:val="single" w:color="000000" w:sz="6" w:space="0"/>
              <w:bottom w:val="single" w:color="000000" w:sz="6" w:space="0"/>
              <w:right w:val="single" w:color="000000" w:sz="6" w:space="0"/>
            </w:tcBorders>
            <w:shd w:val="clear" w:color="auto" w:fill="FFFFFF"/>
            <w:vAlign w:val="center"/>
          </w:tcPr>
          <w:p w14:paraId="2B406C7F">
            <w:pPr>
              <w:pageBreakBefore w:val="0"/>
              <w:widowControl/>
              <w:kinsoku/>
              <w:wordWrap/>
              <w:overflowPunct/>
              <w:topLinePunct w:val="0"/>
              <w:autoSpaceDE/>
              <w:autoSpaceDN/>
              <w:bidi w:val="0"/>
              <w:adjustRightInd/>
              <w:snapToGrid/>
              <w:spacing w:line="500" w:lineRule="exact"/>
              <w:jc w:val="center"/>
              <w:rPr>
                <w:rFonts w:hint="eastAsia" w:ascii="微软雅黑" w:hAnsi="微软雅黑" w:eastAsia="微软雅黑" w:cs="宋体"/>
                <w:color w:val="333333"/>
                <w:kern w:val="0"/>
                <w:sz w:val="24"/>
                <w:szCs w:val="24"/>
                <w:lang w:eastAsia="zh-CN"/>
              </w:rPr>
            </w:pPr>
            <w:r>
              <w:rPr>
                <w:rFonts w:hint="eastAsia" w:ascii="仿宋" w:hAnsi="仿宋" w:eastAsia="仿宋" w:cs="宋体"/>
                <w:color w:val="333333"/>
                <w:kern w:val="0"/>
                <w:sz w:val="24"/>
                <w:szCs w:val="24"/>
                <w:lang w:val="en-US" w:eastAsia="zh-CN"/>
              </w:rPr>
              <w:t>5</w:t>
            </w:r>
          </w:p>
        </w:tc>
        <w:tc>
          <w:tcPr>
            <w:tcW w:w="6237" w:type="dxa"/>
            <w:tcBorders>
              <w:top w:val="single" w:color="auto" w:sz="4" w:space="0"/>
              <w:left w:val="nil"/>
              <w:bottom w:val="single" w:color="000000" w:sz="6" w:space="0"/>
              <w:right w:val="single" w:color="000000" w:sz="6" w:space="0"/>
            </w:tcBorders>
            <w:shd w:val="clear" w:color="auto" w:fill="FFFFFF"/>
            <w:vAlign w:val="center"/>
          </w:tcPr>
          <w:p w14:paraId="43429004">
            <w:pPr>
              <w:pageBreakBefore w:val="0"/>
              <w:widowControl/>
              <w:kinsoku/>
              <w:wordWrap/>
              <w:overflowPunct/>
              <w:topLinePunct w:val="0"/>
              <w:autoSpaceDE/>
              <w:autoSpaceDN/>
              <w:bidi w:val="0"/>
              <w:adjustRightInd/>
              <w:snapToGrid/>
              <w:spacing w:line="500" w:lineRule="exact"/>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合计</w:t>
            </w:r>
          </w:p>
        </w:tc>
        <w:tc>
          <w:tcPr>
            <w:tcW w:w="2409" w:type="dxa"/>
            <w:tcBorders>
              <w:top w:val="single" w:color="auto" w:sz="4" w:space="0"/>
              <w:left w:val="nil"/>
              <w:bottom w:val="single" w:color="000000" w:sz="6" w:space="0"/>
              <w:right w:val="single" w:color="000000" w:sz="6" w:space="0"/>
            </w:tcBorders>
            <w:shd w:val="clear" w:color="auto" w:fill="FFFFFF"/>
            <w:vAlign w:val="center"/>
          </w:tcPr>
          <w:p w14:paraId="5403D3AA">
            <w:pPr>
              <w:pageBreakBefore w:val="0"/>
              <w:widowControl/>
              <w:kinsoku/>
              <w:wordWrap/>
              <w:overflowPunct/>
              <w:topLinePunct w:val="0"/>
              <w:autoSpaceDE/>
              <w:autoSpaceDN/>
              <w:bidi w:val="0"/>
              <w:adjustRightInd/>
              <w:snapToGrid/>
              <w:spacing w:line="500" w:lineRule="exact"/>
              <w:jc w:val="center"/>
              <w:rPr>
                <w:rFonts w:hint="default" w:ascii="微软雅黑" w:hAnsi="微软雅黑" w:eastAsia="微软雅黑" w:cs="宋体"/>
                <w:color w:val="333333"/>
                <w:kern w:val="0"/>
                <w:sz w:val="24"/>
                <w:szCs w:val="24"/>
                <w:lang w:val="en-US" w:eastAsia="zh-CN"/>
              </w:rPr>
            </w:pPr>
            <w:r>
              <w:rPr>
                <w:rFonts w:hint="eastAsia" w:ascii="仿宋" w:hAnsi="仿宋" w:eastAsia="仿宋" w:cs="宋体"/>
                <w:color w:val="333333"/>
                <w:kern w:val="0"/>
                <w:sz w:val="24"/>
                <w:szCs w:val="24"/>
                <w:lang w:val="en-US" w:eastAsia="zh-CN"/>
              </w:rPr>
              <w:t>8913800</w:t>
            </w:r>
          </w:p>
        </w:tc>
      </w:tr>
    </w:tbl>
    <w:p w14:paraId="005CE1A6">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黑体" w:hAnsi="黑体" w:eastAsia="黑体" w:cstheme="minorBidi"/>
          <w:kern w:val="44"/>
          <w:sz w:val="32"/>
          <w:szCs w:val="32"/>
        </w:rPr>
      </w:pPr>
      <w:r>
        <w:rPr>
          <w:rFonts w:hint="eastAsia" w:ascii="仿宋_GB2312" w:hAnsi="仿宋" w:eastAsia="仿宋_GB2312" w:cs="宋体"/>
          <w:color w:val="333333"/>
          <w:kern w:val="0"/>
          <w:sz w:val="32"/>
          <w:szCs w:val="32"/>
          <w:lang w:val="en-US" w:eastAsia="zh-CN"/>
        </w:rPr>
        <w:t>2019年实际收到财政拨款8913800元，实际支出8913800元。</w:t>
      </w:r>
      <w:r>
        <w:rPr>
          <w:rFonts w:hint="eastAsia" w:ascii="仿宋_GB2312" w:hAnsi="仿宋" w:eastAsia="仿宋_GB2312" w:cs="宋体"/>
          <w:color w:val="333333"/>
          <w:kern w:val="0"/>
          <w:sz w:val="32"/>
          <w:szCs w:val="32"/>
        </w:rPr>
        <w:t> </w:t>
      </w:r>
    </w:p>
    <w:p w14:paraId="37EC9E12">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hint="eastAsia" w:ascii="黑体" w:hAnsi="黑体" w:eastAsia="黑体" w:cstheme="minorBidi"/>
          <w:kern w:val="44"/>
          <w:sz w:val="32"/>
          <w:szCs w:val="32"/>
        </w:rPr>
      </w:pPr>
      <w:bookmarkStart w:id="3" w:name="_Toc29612"/>
      <w:r>
        <w:rPr>
          <w:rFonts w:hint="eastAsia" w:ascii="黑体" w:hAnsi="黑体" w:eastAsia="黑体" w:cstheme="minorBidi"/>
          <w:kern w:val="44"/>
          <w:sz w:val="32"/>
          <w:szCs w:val="32"/>
        </w:rPr>
        <w:t>二、评价结论</w:t>
      </w:r>
      <w:bookmarkEnd w:id="3"/>
    </w:p>
    <w:p w14:paraId="64A9BC55">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仿宋_GB2312" w:hAnsi="仿宋" w:eastAsia="仿宋_GB2312" w:cs="宋体"/>
          <w:color w:val="333333"/>
          <w:kern w:val="0"/>
          <w:sz w:val="32"/>
          <w:szCs w:val="32"/>
        </w:rPr>
      </w:pPr>
      <w:bookmarkStart w:id="4" w:name="_Toc31029"/>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评分结果</w:t>
      </w:r>
      <w:bookmarkEnd w:id="4"/>
    </w:p>
    <w:p w14:paraId="1C707444">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根据制定的绩效指标考评体系，本次绩效考核得分95分，绩效评价等级为优秀。</w:t>
      </w:r>
    </w:p>
    <w:p w14:paraId="447EF178">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主要结论</w:t>
      </w:r>
    </w:p>
    <w:p w14:paraId="63529825">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w:t>
      </w:r>
      <w:r>
        <w:rPr>
          <w:rFonts w:hint="eastAsia" w:ascii="仿宋_GB2312" w:hAnsi="仿宋" w:eastAsia="仿宋_GB2312" w:cs="宋体"/>
          <w:color w:val="333333"/>
          <w:kern w:val="0"/>
          <w:sz w:val="32"/>
          <w:szCs w:val="32"/>
          <w:lang w:eastAsia="zh-CN"/>
        </w:rPr>
        <w:t>我单位管理的集中办公区、住宅区的安保、保洁、绿化人员费用及机关食堂、会议服务、水电维修等劳务派遣人员的工资、社保、加班、管理费用等支出</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eastAsia="zh-CN"/>
        </w:rPr>
        <w:t>机关事务管理服务中心2019年</w:t>
      </w:r>
      <w:r>
        <w:rPr>
          <w:rFonts w:hint="eastAsia" w:ascii="仿宋_GB2312" w:hAnsi="仿宋" w:eastAsia="仿宋_GB2312" w:cs="宋体"/>
          <w:color w:val="333333"/>
          <w:kern w:val="0"/>
          <w:sz w:val="32"/>
          <w:szCs w:val="32"/>
        </w:rPr>
        <w:t>度完成工作效益较好，保证了</w:t>
      </w:r>
      <w:r>
        <w:rPr>
          <w:rFonts w:hint="eastAsia" w:ascii="仿宋_GB2312" w:hAnsi="仿宋" w:eastAsia="仿宋_GB2312" w:cs="宋体"/>
          <w:color w:val="333333"/>
          <w:kern w:val="0"/>
          <w:sz w:val="32"/>
          <w:szCs w:val="32"/>
          <w:lang w:eastAsia="zh-CN"/>
        </w:rPr>
        <w:t>区委、区政府各项</w:t>
      </w:r>
      <w:r>
        <w:rPr>
          <w:rFonts w:hint="eastAsia" w:ascii="仿宋_GB2312" w:hAnsi="仿宋" w:eastAsia="仿宋_GB2312" w:cs="宋体"/>
          <w:color w:val="333333"/>
          <w:kern w:val="0"/>
          <w:sz w:val="32"/>
          <w:szCs w:val="32"/>
        </w:rPr>
        <w:t>工作的顺利开展。</w:t>
      </w:r>
    </w:p>
    <w:p w14:paraId="793D9C22">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5" w:name="_Toc32494"/>
      <w:r>
        <w:rPr>
          <w:rFonts w:hint="eastAsia" w:ascii="黑体" w:hAnsi="黑体" w:eastAsia="黑体" w:cstheme="minorBidi"/>
          <w:kern w:val="44"/>
          <w:sz w:val="32"/>
          <w:szCs w:val="32"/>
        </w:rPr>
        <w:t>三、经验、问题和建议</w:t>
      </w:r>
      <w:bookmarkEnd w:id="5"/>
    </w:p>
    <w:p w14:paraId="5492A1AE">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6" w:name="_Toc13368"/>
      <w:r>
        <w:rPr>
          <w:rFonts w:hint="eastAsia" w:ascii="楷体_GB2312" w:eastAsia="楷体_GB2312" w:hAnsiTheme="majorHAnsi" w:cstheme="majorBidi"/>
          <w:kern w:val="2"/>
          <w:sz w:val="32"/>
          <w:szCs w:val="32"/>
        </w:rPr>
        <w:t>（一）主要经验及做法</w:t>
      </w:r>
      <w:bookmarkEnd w:id="6"/>
    </w:p>
    <w:p w14:paraId="24998F02">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机关事务管理服务中心</w:t>
      </w:r>
      <w:r>
        <w:rPr>
          <w:rFonts w:hint="eastAsia" w:ascii="仿宋_GB2312" w:hAnsi="仿宋" w:eastAsia="仿宋_GB2312" w:cs="宋体"/>
          <w:color w:val="333333"/>
          <w:kern w:val="0"/>
          <w:sz w:val="32"/>
          <w:szCs w:val="32"/>
        </w:rPr>
        <w:t>根据《昆明市盘龙区财政局关于开展</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度区级预算支出绩效自评工作及下达</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部门重点绩效自评项目的通知》精神，成立了自评小组，通过前期调研工作，充分了解评价项目有关情况；通过查看资金使用情况，核实</w:t>
      </w:r>
      <w:r>
        <w:rPr>
          <w:rFonts w:hint="eastAsia" w:ascii="仿宋_GB2312" w:hAnsi="仿宋" w:eastAsia="仿宋_GB2312" w:cs="宋体"/>
          <w:color w:val="333333"/>
          <w:kern w:val="0"/>
          <w:sz w:val="32"/>
          <w:szCs w:val="32"/>
          <w:lang w:eastAsia="zh-CN"/>
        </w:rPr>
        <w:t>2019年机关后勤服务综合管理费</w:t>
      </w:r>
      <w:r>
        <w:rPr>
          <w:rFonts w:hint="eastAsia" w:ascii="仿宋_GB2312" w:hAnsi="仿宋" w:eastAsia="仿宋_GB2312" w:cs="宋体"/>
          <w:color w:val="333333"/>
          <w:kern w:val="0"/>
          <w:sz w:val="32"/>
          <w:szCs w:val="32"/>
        </w:rPr>
        <w:t>的各项支出的合法性、合规性；通过分析目标完成情况，查找存在的问题及总结好的经验方法，较好的完成了自评工作。</w:t>
      </w:r>
    </w:p>
    <w:p w14:paraId="117D0F18">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7" w:name="_Toc25769"/>
      <w:r>
        <w:rPr>
          <w:rFonts w:hint="eastAsia" w:ascii="楷体_GB2312" w:eastAsia="楷体_GB2312" w:hAnsiTheme="majorHAnsi" w:cstheme="majorBidi"/>
          <w:kern w:val="2"/>
          <w:sz w:val="32"/>
          <w:szCs w:val="32"/>
        </w:rPr>
        <w:t>（二）存在的问题</w:t>
      </w:r>
      <w:bookmarkEnd w:id="7"/>
    </w:p>
    <w:p w14:paraId="36C00DD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lang w:eastAsia="zh-CN"/>
        </w:rPr>
        <w:t>机关后勤服务综合管理费主要用于劳务派遣人员工资、安保服务费、物业管理费、综合管理等费用支出，目前我单位对这些人员和服务的监管相对薄弱，考核评价体系及相应制度欠缺</w:t>
      </w:r>
      <w:r>
        <w:rPr>
          <w:rFonts w:hint="eastAsia" w:ascii="仿宋_GB2312" w:hAnsi="仿宋" w:eastAsia="仿宋_GB2312" w:cs="宋体"/>
          <w:color w:val="333333"/>
          <w:kern w:val="0"/>
          <w:sz w:val="32"/>
          <w:szCs w:val="32"/>
        </w:rPr>
        <w:t>。</w:t>
      </w:r>
    </w:p>
    <w:p w14:paraId="00443168">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2.为避免工作中出现矛盾，大部分人员的工资水平差距不大，致使部分人员的薪资水平与社会平均工资差异较大，使得这部分人工作积极性难以提高。</w:t>
      </w:r>
    </w:p>
    <w:p w14:paraId="72AC500D">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val="en-US" w:eastAsia="zh-CN"/>
        </w:rPr>
        <w:t>3.</w:t>
      </w:r>
      <w:r>
        <w:rPr>
          <w:rFonts w:hint="eastAsia" w:ascii="仿宋_GB2312" w:hAnsi="仿宋" w:eastAsia="仿宋_GB2312" w:cs="宋体"/>
          <w:color w:val="333333"/>
          <w:kern w:val="0"/>
          <w:sz w:val="32"/>
          <w:szCs w:val="32"/>
          <w:lang w:eastAsia="zh-CN"/>
        </w:rPr>
        <w:t>因工资水平整体偏低，致使日常工作中人员流动性较大，部分人员的综合素质不高，在服务质量上和干部职工的要求还有差距。</w:t>
      </w:r>
    </w:p>
    <w:p w14:paraId="0851C16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4.因种种特殊原因，向社会购买服务的范围有待进一步扩大。</w:t>
      </w:r>
    </w:p>
    <w:p w14:paraId="35DB2DE0">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8" w:name="_Toc14165"/>
      <w:r>
        <w:rPr>
          <w:rFonts w:hint="eastAsia" w:ascii="楷体_GB2312" w:eastAsia="楷体_GB2312" w:hAnsiTheme="majorHAnsi" w:cstheme="majorBidi"/>
          <w:kern w:val="2"/>
          <w:sz w:val="32"/>
          <w:szCs w:val="32"/>
        </w:rPr>
        <w:t>（三）建议和改进措施</w:t>
      </w:r>
      <w:bookmarkEnd w:id="8"/>
    </w:p>
    <w:p w14:paraId="3348C4E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1.根据不同的服务内容，制定更加科学、合理、细致的考核评价体系，强化对各类服务人员的日常监管，切实提高服务水平。</w:t>
      </w:r>
    </w:p>
    <w:p w14:paraId="286C7211">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lang w:eastAsia="zh-CN"/>
        </w:rPr>
        <w:t>根据不同工作岗位的重要性、工作量、专业技术水平等，制定更加合理的薪资标准，不断激励并倡导所有人员新城必学赶超的良好工作氛围。</w:t>
      </w:r>
    </w:p>
    <w:p w14:paraId="7E8BA466">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3.继续推行“减员增资”的工作方法，科学设置工作岗位的具体工作职责，压缩劳务派遣人员数量，不断提高劳务派遣人员的薪资收入，确保留得住人、干的成事。</w:t>
      </w:r>
    </w:p>
    <w:p w14:paraId="30B1A95C">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4.积极探索向社会购买服务的模式，继续扩大机关后勤服务社会化程度，由服务提供者向监管者转变。</w:t>
      </w:r>
    </w:p>
    <w:p w14:paraId="75DC014D">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p>
    <w:p w14:paraId="7262FF18">
      <w:pPr>
        <w:pageBreakBefore w:val="0"/>
        <w:kinsoku/>
        <w:wordWrap/>
        <w:overflowPunct/>
        <w:topLinePunct w:val="0"/>
        <w:autoSpaceDE/>
        <w:autoSpaceDN/>
        <w:bidi w:val="0"/>
        <w:adjustRightInd/>
        <w:snapToGrid/>
        <w:spacing w:line="500" w:lineRule="exact"/>
        <w:jc w:val="center"/>
        <w:rPr>
          <w:rFonts w:ascii="方正小标宋_GBK" w:eastAsia="方正小标宋_GBK"/>
          <w:sz w:val="44"/>
          <w:szCs w:val="44"/>
        </w:rPr>
      </w:pPr>
    </w:p>
    <w:p w14:paraId="05BE604C">
      <w:pPr>
        <w:pageBreakBefore w:val="0"/>
        <w:kinsoku/>
        <w:wordWrap/>
        <w:overflowPunct/>
        <w:topLinePunct w:val="0"/>
        <w:autoSpaceDE/>
        <w:autoSpaceDN/>
        <w:bidi w:val="0"/>
        <w:adjustRightInd/>
        <w:snapToGrid/>
        <w:spacing w:line="500" w:lineRule="exact"/>
        <w:jc w:val="center"/>
        <w:rPr>
          <w:rFonts w:hint="eastAsia" w:ascii="方正小标宋_GBK" w:eastAsia="方正小标宋_GBK"/>
          <w:b/>
          <w:bCs/>
          <w:sz w:val="44"/>
          <w:szCs w:val="44"/>
          <w:lang w:eastAsia="zh-CN"/>
        </w:rPr>
      </w:pPr>
      <w:r>
        <w:rPr>
          <w:rFonts w:hint="eastAsia" w:ascii="方正小标宋_GBK" w:eastAsia="方正小标宋_GBK"/>
          <w:b/>
          <w:bCs/>
          <w:sz w:val="44"/>
          <w:szCs w:val="44"/>
        </w:rPr>
        <w:t>正文：昆明市</w:t>
      </w:r>
      <w:r>
        <w:rPr>
          <w:rFonts w:hint="eastAsia" w:ascii="方正小标宋_GBK" w:eastAsia="方正小标宋_GBK"/>
          <w:b/>
          <w:bCs/>
          <w:sz w:val="44"/>
          <w:szCs w:val="44"/>
          <w:lang w:eastAsia="zh-CN"/>
        </w:rPr>
        <w:t>盘龙区机关事务管理服务中心</w:t>
      </w:r>
    </w:p>
    <w:p w14:paraId="6612CC0E">
      <w:pPr>
        <w:pageBreakBefore w:val="0"/>
        <w:kinsoku/>
        <w:wordWrap/>
        <w:overflowPunct/>
        <w:topLinePunct w:val="0"/>
        <w:autoSpaceDE/>
        <w:autoSpaceDN/>
        <w:bidi w:val="0"/>
        <w:adjustRightInd/>
        <w:snapToGrid/>
        <w:spacing w:line="500" w:lineRule="exact"/>
        <w:jc w:val="center"/>
        <w:rPr>
          <w:rFonts w:hint="eastAsia" w:ascii="方正小标宋_GBK" w:eastAsia="方正小标宋_GBK"/>
          <w:b/>
          <w:bCs/>
          <w:sz w:val="44"/>
          <w:szCs w:val="44"/>
          <w:lang w:eastAsia="zh-CN"/>
        </w:rPr>
      </w:pPr>
      <w:r>
        <w:rPr>
          <w:rFonts w:hint="eastAsia" w:ascii="方正小标宋_GBK" w:eastAsia="方正小标宋_GBK"/>
          <w:b/>
          <w:bCs/>
          <w:sz w:val="44"/>
          <w:szCs w:val="44"/>
          <w:lang w:eastAsia="zh-CN"/>
        </w:rPr>
        <w:t>机关后勤服务综合管理费</w:t>
      </w:r>
    </w:p>
    <w:p w14:paraId="47CEE9B9">
      <w:pPr>
        <w:pageBreakBefore w:val="0"/>
        <w:kinsoku/>
        <w:wordWrap/>
        <w:overflowPunct/>
        <w:topLinePunct w:val="0"/>
        <w:autoSpaceDE/>
        <w:autoSpaceDN/>
        <w:bidi w:val="0"/>
        <w:adjustRightInd/>
        <w:snapToGrid/>
        <w:spacing w:line="500" w:lineRule="exact"/>
        <w:jc w:val="center"/>
        <w:rPr>
          <w:rFonts w:ascii="方正小标宋_GBK" w:eastAsia="方正小标宋_GBK"/>
          <w:b/>
          <w:bCs/>
          <w:sz w:val="44"/>
          <w:szCs w:val="44"/>
        </w:rPr>
      </w:pPr>
      <w:r>
        <w:rPr>
          <w:rFonts w:hint="eastAsia" w:ascii="方正小标宋_GBK" w:eastAsia="方正小标宋_GBK"/>
          <w:b/>
          <w:bCs/>
          <w:sz w:val="44"/>
          <w:szCs w:val="44"/>
        </w:rPr>
        <w:t>项目支出绩效自评报告</w:t>
      </w:r>
    </w:p>
    <w:p w14:paraId="73080AD5">
      <w:pPr>
        <w:pageBreakBefore w:val="0"/>
        <w:kinsoku/>
        <w:wordWrap/>
        <w:overflowPunct/>
        <w:topLinePunct w:val="0"/>
        <w:autoSpaceDE/>
        <w:autoSpaceDN/>
        <w:bidi w:val="0"/>
        <w:adjustRightInd/>
        <w:snapToGrid/>
        <w:spacing w:line="500" w:lineRule="exact"/>
        <w:jc w:val="center"/>
        <w:rPr>
          <w:rFonts w:hint="eastAsia" w:ascii="方正小标宋_GBK" w:eastAsia="方正小标宋_GBK"/>
          <w:sz w:val="44"/>
          <w:szCs w:val="44"/>
        </w:rPr>
      </w:pPr>
    </w:p>
    <w:p w14:paraId="0FD2FD82">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9" w:name="_Toc21638"/>
      <w:r>
        <w:rPr>
          <w:rFonts w:hint="eastAsia" w:ascii="黑体" w:hAnsi="黑体" w:eastAsia="黑体" w:cstheme="minorBidi"/>
          <w:kern w:val="44"/>
          <w:sz w:val="32"/>
          <w:szCs w:val="32"/>
        </w:rPr>
        <w:t>一、项目基本情况</w:t>
      </w:r>
      <w:bookmarkEnd w:id="9"/>
    </w:p>
    <w:p w14:paraId="24BE5815">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0" w:name="_Toc531033281"/>
      <w:bookmarkStart w:id="11" w:name="_Toc14789"/>
      <w:r>
        <w:rPr>
          <w:rFonts w:hint="eastAsia" w:ascii="楷体_GB2312" w:eastAsia="楷体_GB2312" w:hAnsiTheme="majorHAnsi" w:cstheme="majorBidi"/>
          <w:kern w:val="2"/>
          <w:sz w:val="32"/>
          <w:szCs w:val="32"/>
        </w:rPr>
        <w:t>（一）项目概况</w:t>
      </w:r>
      <w:bookmarkEnd w:id="10"/>
      <w:bookmarkEnd w:id="11"/>
    </w:p>
    <w:p w14:paraId="156C7084">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项目立项背景及目的</w:t>
      </w:r>
    </w:p>
    <w:p w14:paraId="2F0B7C7C">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机关事务管理服务中心的主要工作职责是为区委、区政府及区级国家机关各部委办局提供机关后勤综合服务。</w:t>
      </w:r>
      <w:r>
        <w:rPr>
          <w:rFonts w:hint="eastAsia" w:ascii="仿宋_GB2312" w:hAnsi="仿宋" w:eastAsia="仿宋_GB2312" w:cs="宋体"/>
          <w:color w:val="333333"/>
          <w:kern w:val="0"/>
          <w:sz w:val="32"/>
          <w:szCs w:val="32"/>
        </w:rPr>
        <w:t>为贯彻党的十九大</w:t>
      </w:r>
      <w:bookmarkStart w:id="32" w:name="_GoBack"/>
      <w:bookmarkEnd w:id="32"/>
      <w:r>
        <w:rPr>
          <w:rFonts w:hint="eastAsia" w:ascii="仿宋_GB2312" w:hAnsi="仿宋" w:eastAsia="仿宋_GB2312" w:cs="宋体"/>
          <w:color w:val="333333"/>
          <w:kern w:val="0"/>
          <w:sz w:val="32"/>
          <w:szCs w:val="32"/>
        </w:rPr>
        <w:t>精神以及习近平总书记系列重要讲话精神，</w:t>
      </w:r>
      <w:r>
        <w:rPr>
          <w:rFonts w:hint="eastAsia" w:ascii="仿宋_GB2312" w:hAnsi="仿宋" w:eastAsia="仿宋_GB2312" w:cs="宋体"/>
          <w:color w:val="333333"/>
          <w:kern w:val="0"/>
          <w:sz w:val="32"/>
          <w:szCs w:val="32"/>
          <w:lang w:eastAsia="zh-CN"/>
        </w:rPr>
        <w:t>我单位</w:t>
      </w:r>
      <w:r>
        <w:rPr>
          <w:rFonts w:hint="eastAsia" w:ascii="仿宋_GB2312" w:hAnsi="仿宋" w:eastAsia="仿宋_GB2312" w:cs="宋体"/>
          <w:color w:val="333333"/>
          <w:kern w:val="0"/>
          <w:sz w:val="32"/>
          <w:szCs w:val="32"/>
        </w:rPr>
        <w:t>紧紧围绕区委、区政府中心工作，切实履行各项职责，高效服务，力促发展，保障了</w:t>
      </w:r>
      <w:r>
        <w:rPr>
          <w:rFonts w:hint="eastAsia" w:ascii="仿宋_GB2312" w:hAnsi="仿宋" w:eastAsia="仿宋_GB2312" w:cs="宋体"/>
          <w:color w:val="333333"/>
          <w:kern w:val="0"/>
          <w:sz w:val="32"/>
          <w:szCs w:val="32"/>
          <w:lang w:eastAsia="zh-CN"/>
        </w:rPr>
        <w:t>区委、</w:t>
      </w:r>
      <w:r>
        <w:rPr>
          <w:rFonts w:hint="eastAsia" w:ascii="仿宋_GB2312" w:hAnsi="仿宋" w:eastAsia="仿宋_GB2312" w:cs="宋体"/>
          <w:color w:val="333333"/>
          <w:kern w:val="0"/>
          <w:sz w:val="32"/>
          <w:szCs w:val="32"/>
        </w:rPr>
        <w:t>区政府各项工作高效有序运转。</w:t>
      </w:r>
      <w:r>
        <w:rPr>
          <w:rFonts w:hint="eastAsia" w:ascii="仿宋_GB2312" w:hAnsi="仿宋" w:eastAsia="仿宋_GB2312" w:cs="宋体"/>
          <w:color w:val="333333"/>
          <w:kern w:val="0"/>
          <w:sz w:val="32"/>
          <w:szCs w:val="32"/>
          <w:lang w:eastAsia="zh-CN"/>
        </w:rPr>
        <w:t>通过完善安全保卫、绿化保洁、车辆管理、水电维修、机关食堂、会议服务等各项工作职责及服务流程，狠抓日常工作落实及服务监管，为区委、区政府提供了坚强有力的后勤保障服务</w:t>
      </w:r>
      <w:r>
        <w:rPr>
          <w:rFonts w:hint="eastAsia" w:ascii="仿宋_GB2312" w:hAnsi="仿宋" w:eastAsia="仿宋_GB2312" w:cs="宋体"/>
          <w:color w:val="333333"/>
          <w:kern w:val="0"/>
          <w:sz w:val="32"/>
          <w:szCs w:val="32"/>
        </w:rPr>
        <w:t>。</w:t>
      </w:r>
    </w:p>
    <w:p w14:paraId="0AF7E776">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w:t>
      </w:r>
      <w:r>
        <w:rPr>
          <w:rFonts w:hint="eastAsia" w:ascii="仿宋_GB2312" w:hAnsi="仿宋" w:eastAsia="仿宋_GB2312" w:cs="宋体"/>
          <w:color w:val="333333"/>
          <w:kern w:val="0"/>
          <w:sz w:val="32"/>
          <w:szCs w:val="32"/>
          <w:lang w:eastAsia="zh-CN"/>
        </w:rPr>
        <w:t>区委、</w:t>
      </w:r>
      <w:r>
        <w:rPr>
          <w:rFonts w:hint="eastAsia" w:ascii="仿宋_GB2312" w:hAnsi="仿宋" w:eastAsia="仿宋_GB2312" w:cs="宋体"/>
          <w:color w:val="333333"/>
          <w:kern w:val="0"/>
          <w:sz w:val="32"/>
          <w:szCs w:val="32"/>
        </w:rPr>
        <w:t>区政府</w:t>
      </w:r>
      <w:r>
        <w:rPr>
          <w:rFonts w:hint="eastAsia" w:ascii="仿宋_GB2312" w:hAnsi="仿宋" w:eastAsia="仿宋_GB2312" w:cs="宋体"/>
          <w:color w:val="333333"/>
          <w:kern w:val="0"/>
          <w:sz w:val="32"/>
          <w:szCs w:val="32"/>
          <w:lang w:eastAsia="zh-CN"/>
        </w:rPr>
        <w:t>后勤服务</w:t>
      </w:r>
      <w:r>
        <w:rPr>
          <w:rFonts w:hint="eastAsia" w:ascii="仿宋_GB2312" w:hAnsi="仿宋" w:eastAsia="仿宋_GB2312" w:cs="宋体"/>
          <w:color w:val="333333"/>
          <w:kern w:val="0"/>
          <w:sz w:val="32"/>
          <w:szCs w:val="32"/>
        </w:rPr>
        <w:t>正常开展，上级机关交办事项办理到位，需申请业务经费</w:t>
      </w:r>
      <w:r>
        <w:rPr>
          <w:rFonts w:hint="eastAsia" w:ascii="仿宋_GB2312" w:hAnsi="仿宋" w:eastAsia="仿宋_GB2312" w:cs="宋体"/>
          <w:color w:val="333333"/>
          <w:kern w:val="0"/>
          <w:sz w:val="32"/>
          <w:szCs w:val="32"/>
          <w:lang w:val="en-US" w:eastAsia="zh-CN"/>
        </w:rPr>
        <w:t>891.38</w:t>
      </w:r>
      <w:r>
        <w:rPr>
          <w:rFonts w:hint="eastAsia" w:ascii="仿宋_GB2312" w:hAnsi="仿宋" w:eastAsia="仿宋_GB2312" w:cs="宋体"/>
          <w:color w:val="333333"/>
          <w:kern w:val="0"/>
          <w:sz w:val="32"/>
          <w:szCs w:val="32"/>
        </w:rPr>
        <w:t>万元，用于</w:t>
      </w:r>
      <w:r>
        <w:rPr>
          <w:rFonts w:hint="eastAsia" w:ascii="仿宋_GB2312" w:hAnsi="仿宋" w:eastAsia="仿宋_GB2312" w:cs="宋体"/>
          <w:color w:val="333333"/>
          <w:kern w:val="0"/>
          <w:sz w:val="32"/>
          <w:szCs w:val="32"/>
          <w:lang w:eastAsia="zh-CN"/>
        </w:rPr>
        <w:t>机关食堂、会议服务、水电维修等劳务派遣人员的工资、社保、管理费、加班费等支出；各办公区、住宅区安全保卫、保洁、绿化等物业服务支出；用于服务工作中的综合费用，包括员工办公费、服装费、体检费、学习培训费；安保装备、消防器材补充及维护费用；办公区监控、门禁系统维护费；消防系统维护费；机关办公楼住宅区水池清洗、化粪池清理、垃圾清运、卫生清扫费；电梯、配电室、发电机等系统维保费以及保障后勤工作正常运转的其它支出</w:t>
      </w:r>
      <w:r>
        <w:rPr>
          <w:rFonts w:hint="eastAsia" w:ascii="仿宋_GB2312" w:hAnsi="仿宋" w:eastAsia="仿宋_GB2312" w:cs="宋体"/>
          <w:color w:val="333333"/>
          <w:kern w:val="0"/>
          <w:sz w:val="32"/>
          <w:szCs w:val="32"/>
        </w:rPr>
        <w:t>。</w:t>
      </w:r>
    </w:p>
    <w:p w14:paraId="0C8AA2B1">
      <w:pPr>
        <w:pageBreakBefore w:val="0"/>
        <w:kinsoku/>
        <w:wordWrap/>
        <w:overflowPunct/>
        <w:topLinePunct w:val="0"/>
        <w:autoSpaceDE/>
        <w:autoSpaceDN/>
        <w:bidi w:val="0"/>
        <w:adjustRightInd/>
        <w:snapToGrid/>
        <w:spacing w:line="500" w:lineRule="exact"/>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项目实施情况</w:t>
      </w:r>
    </w:p>
    <w:p w14:paraId="3B976163">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rPr>
        <w:t>在区委、区政府的正确领导下，</w:t>
      </w:r>
      <w:r>
        <w:rPr>
          <w:rFonts w:hint="eastAsia" w:ascii="仿宋_GB2312" w:hAnsi="仿宋" w:eastAsia="仿宋_GB2312" w:cs="宋体"/>
          <w:color w:val="333333"/>
          <w:kern w:val="0"/>
          <w:sz w:val="32"/>
          <w:szCs w:val="32"/>
          <w:lang w:eastAsia="zh-CN"/>
        </w:rPr>
        <w:t>机关事务管理服务中心2019年</w:t>
      </w:r>
      <w:r>
        <w:rPr>
          <w:rFonts w:hint="eastAsia" w:ascii="仿宋_GB2312" w:hAnsi="仿宋" w:eastAsia="仿宋_GB2312" w:cs="宋体"/>
          <w:color w:val="333333"/>
          <w:kern w:val="0"/>
          <w:sz w:val="32"/>
          <w:szCs w:val="32"/>
        </w:rPr>
        <w:t>充分调动工作人员的</w:t>
      </w:r>
      <w:r>
        <w:rPr>
          <w:rFonts w:hint="eastAsia" w:ascii="仿宋_GB2312" w:hAnsi="仿宋" w:eastAsia="仿宋_GB2312" w:cs="宋体"/>
          <w:color w:val="333333"/>
          <w:kern w:val="0"/>
          <w:sz w:val="32"/>
          <w:szCs w:val="32"/>
          <w:lang w:eastAsia="zh-CN"/>
        </w:rPr>
        <w:t>积极性，全年安保人员在完成日常工作的基础上综合训练</w:t>
      </w:r>
      <w:r>
        <w:rPr>
          <w:rFonts w:hint="eastAsia" w:ascii="仿宋_GB2312" w:hAnsi="仿宋" w:eastAsia="仿宋_GB2312" w:cs="宋体"/>
          <w:color w:val="333333"/>
          <w:kern w:val="0"/>
          <w:sz w:val="32"/>
          <w:szCs w:val="32"/>
          <w:lang w:val="en-US" w:eastAsia="zh-CN"/>
        </w:rPr>
        <w:t>90次，来访人员登记2460次，维持信访秩序70次，完成了243次重要会议及活动的安保服务；保洁绿化人员在完成日常工作的基础上为会议时提供清洁服务3260场次，</w:t>
      </w:r>
      <w:r>
        <w:rPr>
          <w:rFonts w:hint="eastAsia" w:ascii="仿宋" w:hAnsi="仿宋" w:eastAsia="仿宋"/>
          <w:color w:val="auto"/>
          <w:sz w:val="32"/>
          <w:szCs w:val="32"/>
        </w:rPr>
        <w:t>平台及电梯清洁</w:t>
      </w:r>
      <w:r>
        <w:rPr>
          <w:rFonts w:ascii="仿宋" w:hAnsi="仿宋" w:eastAsia="仿宋"/>
          <w:color w:val="auto"/>
          <w:sz w:val="32"/>
          <w:szCs w:val="32"/>
        </w:rPr>
        <w:t>1</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次，卫生大扫除</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次</w:t>
      </w:r>
      <w:r>
        <w:rPr>
          <w:rFonts w:hint="eastAsia" w:ascii="仿宋" w:hAnsi="仿宋" w:eastAsia="仿宋"/>
          <w:color w:val="auto"/>
          <w:sz w:val="32"/>
          <w:szCs w:val="32"/>
          <w:lang w:eastAsia="zh-CN"/>
        </w:rPr>
        <w:t>；</w:t>
      </w:r>
      <w:r>
        <w:rPr>
          <w:rFonts w:hint="eastAsia" w:ascii="仿宋" w:hAnsi="仿宋" w:eastAsia="仿宋"/>
          <w:color w:val="auto"/>
          <w:sz w:val="32"/>
          <w:szCs w:val="32"/>
        </w:rPr>
        <w:t>覆盖遮阴网</w:t>
      </w:r>
      <w:r>
        <w:rPr>
          <w:rFonts w:ascii="仿宋" w:hAnsi="仿宋" w:eastAsia="仿宋"/>
          <w:color w:val="auto"/>
          <w:sz w:val="32"/>
          <w:szCs w:val="32"/>
        </w:rPr>
        <w:t>3</w:t>
      </w:r>
      <w:r>
        <w:rPr>
          <w:rFonts w:hint="eastAsia" w:ascii="仿宋" w:hAnsi="仿宋" w:eastAsia="仿宋"/>
          <w:color w:val="auto"/>
          <w:sz w:val="32"/>
          <w:szCs w:val="32"/>
          <w:lang w:val="en-US" w:eastAsia="zh-CN"/>
        </w:rPr>
        <w:t>0</w:t>
      </w:r>
      <w:r>
        <w:rPr>
          <w:rFonts w:ascii="仿宋" w:hAnsi="仿宋" w:eastAsia="仿宋"/>
          <w:color w:val="auto"/>
          <w:sz w:val="32"/>
          <w:szCs w:val="32"/>
        </w:rPr>
        <w:t>00</w:t>
      </w:r>
      <w:r>
        <w:rPr>
          <w:rFonts w:hint="eastAsia" w:ascii="仿宋" w:hAnsi="仿宋" w:eastAsia="仿宋"/>
          <w:color w:val="auto"/>
          <w:sz w:val="32"/>
          <w:szCs w:val="32"/>
        </w:rPr>
        <w:t>余米，防冻保暖护苗</w:t>
      </w:r>
      <w:r>
        <w:rPr>
          <w:rFonts w:hint="eastAsia" w:ascii="仿宋" w:hAnsi="仿宋" w:eastAsia="仿宋"/>
          <w:color w:val="auto"/>
          <w:sz w:val="32"/>
          <w:szCs w:val="32"/>
          <w:lang w:val="en-US" w:eastAsia="zh-CN"/>
        </w:rPr>
        <w:t>960</w:t>
      </w:r>
      <w:r>
        <w:rPr>
          <w:rFonts w:hint="eastAsia" w:ascii="仿宋" w:hAnsi="仿宋" w:eastAsia="仿宋"/>
          <w:color w:val="auto"/>
          <w:sz w:val="32"/>
          <w:szCs w:val="32"/>
        </w:rPr>
        <w:t>余盆。全年花卉植株分苗、移栽、翻种</w:t>
      </w:r>
      <w:r>
        <w:rPr>
          <w:rFonts w:hint="eastAsia" w:ascii="仿宋" w:hAnsi="仿宋" w:eastAsia="仿宋"/>
          <w:color w:val="auto"/>
          <w:sz w:val="32"/>
          <w:szCs w:val="32"/>
          <w:lang w:val="en-US" w:eastAsia="zh-CN"/>
        </w:rPr>
        <w:t>150余</w:t>
      </w:r>
      <w:r>
        <w:rPr>
          <w:rFonts w:hint="eastAsia" w:ascii="仿宋" w:hAnsi="仿宋" w:eastAsia="仿宋"/>
          <w:color w:val="auto"/>
          <w:sz w:val="32"/>
          <w:szCs w:val="32"/>
        </w:rPr>
        <w:t>盆，施肥</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次，打药</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次，修枝</w:t>
      </w:r>
      <w:r>
        <w:rPr>
          <w:rFonts w:hint="eastAsia" w:ascii="仿宋" w:hAnsi="仿宋" w:eastAsia="仿宋"/>
          <w:color w:val="auto"/>
          <w:sz w:val="32"/>
          <w:szCs w:val="32"/>
          <w:lang w:val="en-US" w:eastAsia="zh-CN"/>
        </w:rPr>
        <w:t>33</w:t>
      </w:r>
      <w:r>
        <w:rPr>
          <w:rFonts w:hint="eastAsia" w:ascii="仿宋" w:hAnsi="仿宋" w:eastAsia="仿宋"/>
          <w:color w:val="auto"/>
          <w:sz w:val="32"/>
          <w:szCs w:val="32"/>
        </w:rPr>
        <w:t>次、</w:t>
      </w:r>
      <w:r>
        <w:rPr>
          <w:rFonts w:hint="eastAsia" w:ascii="仿宋" w:hAnsi="仿宋" w:eastAsia="仿宋"/>
          <w:color w:val="auto"/>
          <w:sz w:val="32"/>
          <w:szCs w:val="32"/>
          <w:lang w:val="en-US" w:eastAsia="zh-CN"/>
        </w:rPr>
        <w:t>2580</w:t>
      </w:r>
      <w:r>
        <w:rPr>
          <w:rFonts w:hint="eastAsia" w:ascii="仿宋" w:hAnsi="仿宋" w:eastAsia="仿宋"/>
          <w:color w:val="auto"/>
          <w:sz w:val="32"/>
          <w:szCs w:val="32"/>
        </w:rPr>
        <w:t>余盆（株）</w:t>
      </w:r>
      <w:r>
        <w:rPr>
          <w:rFonts w:hint="eastAsia" w:ascii="仿宋_GB2312" w:hAnsi="仿宋" w:eastAsia="仿宋_GB2312" w:cs="宋体"/>
          <w:color w:val="333333"/>
          <w:kern w:val="0"/>
          <w:sz w:val="32"/>
          <w:szCs w:val="32"/>
          <w:lang w:val="en-US" w:eastAsia="zh-CN"/>
        </w:rPr>
        <w:t>；交换文件</w:t>
      </w:r>
      <w:r>
        <w:rPr>
          <w:rFonts w:hint="eastAsia" w:ascii="仿宋" w:hAnsi="仿宋" w:eastAsia="仿宋" w:cs="仿宋_GB2312"/>
          <w:color w:val="auto"/>
          <w:sz w:val="32"/>
          <w:szCs w:val="32"/>
          <w:lang w:val="en-US" w:eastAsia="zh-CN"/>
        </w:rPr>
        <w:t>8.2</w:t>
      </w:r>
      <w:r>
        <w:rPr>
          <w:rFonts w:hint="eastAsia" w:ascii="仿宋" w:hAnsi="仿宋" w:eastAsia="仿宋" w:cs="仿宋_GB2312"/>
          <w:color w:val="auto"/>
          <w:sz w:val="32"/>
          <w:szCs w:val="32"/>
        </w:rPr>
        <w:t>万份，报刊邮件收</w:t>
      </w:r>
      <w:r>
        <w:rPr>
          <w:rFonts w:hint="eastAsia" w:ascii="仿宋" w:hAnsi="仿宋" w:eastAsia="仿宋" w:cs="仿宋_GB2312"/>
          <w:color w:val="auto"/>
          <w:sz w:val="32"/>
          <w:szCs w:val="32"/>
          <w:lang w:val="en-US" w:eastAsia="zh-CN"/>
        </w:rPr>
        <w:t>46</w:t>
      </w:r>
      <w:r>
        <w:rPr>
          <w:rFonts w:hint="eastAsia" w:ascii="仿宋" w:hAnsi="仿宋" w:eastAsia="仿宋" w:cs="仿宋_GB2312"/>
          <w:color w:val="auto"/>
          <w:sz w:val="32"/>
          <w:szCs w:val="32"/>
        </w:rPr>
        <w:t>万份</w:t>
      </w:r>
      <w:r>
        <w:rPr>
          <w:rFonts w:hint="eastAsia" w:ascii="仿宋" w:hAnsi="仿宋" w:eastAsia="仿宋" w:cs="仿宋_GB2312"/>
          <w:color w:val="auto"/>
          <w:sz w:val="32"/>
          <w:szCs w:val="32"/>
          <w:lang w:eastAsia="zh-CN"/>
        </w:rPr>
        <w:t>；</w:t>
      </w:r>
      <w:r>
        <w:rPr>
          <w:rFonts w:hint="eastAsia" w:ascii="仿宋_GB2312" w:hAnsi="仿宋" w:eastAsia="仿宋_GB2312" w:cs="宋体"/>
          <w:color w:val="333333"/>
          <w:kern w:val="0"/>
          <w:sz w:val="32"/>
          <w:szCs w:val="32"/>
          <w:lang w:val="en-US" w:eastAsia="zh-CN"/>
        </w:rPr>
        <w:t>提供会议服务1976场90572人次，提供餐饮服务281108人次，</w:t>
      </w:r>
      <w:r>
        <w:rPr>
          <w:rFonts w:hint="eastAsia" w:ascii="仿宋" w:hAnsi="仿宋" w:eastAsia="仿宋" w:cs="仿宋_GB2312"/>
          <w:color w:val="auto"/>
          <w:sz w:val="32"/>
          <w:szCs w:val="32"/>
        </w:rPr>
        <w:t>接待用餐</w:t>
      </w:r>
      <w:r>
        <w:rPr>
          <w:rFonts w:hint="eastAsia" w:ascii="仿宋" w:hAnsi="仿宋" w:eastAsia="仿宋" w:cs="仿宋_GB2312"/>
          <w:color w:val="auto"/>
          <w:sz w:val="32"/>
          <w:szCs w:val="32"/>
          <w:lang w:val="en-US" w:eastAsia="zh-CN"/>
        </w:rPr>
        <w:t>157</w:t>
      </w:r>
      <w:r>
        <w:rPr>
          <w:rFonts w:hint="eastAsia" w:ascii="仿宋" w:hAnsi="仿宋" w:eastAsia="仿宋" w:cs="仿宋_GB2312"/>
          <w:color w:val="auto"/>
          <w:sz w:val="32"/>
          <w:szCs w:val="32"/>
        </w:rPr>
        <w:t>桌次</w:t>
      </w:r>
      <w:r>
        <w:rPr>
          <w:rFonts w:hint="eastAsia" w:ascii="仿宋_GB2312" w:hAnsi="仿宋" w:eastAsia="仿宋_GB2312" w:cs="宋体"/>
          <w:color w:val="333333"/>
          <w:kern w:val="0"/>
          <w:sz w:val="32"/>
          <w:szCs w:val="32"/>
          <w:lang w:val="en-US" w:eastAsia="zh-CN"/>
        </w:rPr>
        <w:t>；完成水电维修330余次。</w:t>
      </w:r>
    </w:p>
    <w:p w14:paraId="4398FC8C">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3.</w:t>
      </w:r>
      <w:r>
        <w:rPr>
          <w:rFonts w:hint="eastAsia" w:ascii="仿宋_GB2312" w:hAnsi="仿宋" w:eastAsia="仿宋_GB2312" w:cs="宋体"/>
          <w:color w:val="333333"/>
          <w:kern w:val="0"/>
          <w:sz w:val="32"/>
          <w:szCs w:val="32"/>
        </w:rPr>
        <w:t xml:space="preserve">项目资金来源及使用情况 </w:t>
      </w:r>
    </w:p>
    <w:p w14:paraId="507A77EF">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（1）项目经费来源</w:t>
      </w:r>
    </w:p>
    <w:p w14:paraId="224902C4">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根据昆明市盘龙区财政局《关于下达盘龙区</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部门预算的批复》（盘财〔201</w:t>
      </w:r>
      <w:r>
        <w:rPr>
          <w:rFonts w:hint="eastAsia" w:ascii="仿宋_GB2312" w:hAnsi="仿宋" w:eastAsia="仿宋_GB2312" w:cs="宋体"/>
          <w:color w:val="333333"/>
          <w:kern w:val="0"/>
          <w:sz w:val="32"/>
          <w:szCs w:val="32"/>
          <w:lang w:val="en-US" w:eastAsia="zh-CN"/>
        </w:rPr>
        <w:t>9</w:t>
      </w:r>
      <w:r>
        <w:rPr>
          <w:rFonts w:hint="eastAsia" w:ascii="仿宋_GB2312" w:hAnsi="仿宋" w:eastAsia="仿宋_GB2312" w:cs="宋体"/>
          <w:color w:val="333333"/>
          <w:kern w:val="0"/>
          <w:sz w:val="32"/>
          <w:szCs w:val="32"/>
        </w:rPr>
        <w:t>〕1号）文件安排项目资金</w:t>
      </w:r>
      <w:r>
        <w:rPr>
          <w:rFonts w:hint="eastAsia" w:ascii="仿宋_GB2312" w:hAnsi="仿宋" w:eastAsia="仿宋_GB2312" w:cs="宋体"/>
          <w:color w:val="333333"/>
          <w:kern w:val="0"/>
          <w:sz w:val="32"/>
          <w:szCs w:val="32"/>
          <w:lang w:val="en-US" w:eastAsia="zh-CN"/>
        </w:rPr>
        <w:t>891.38</w:t>
      </w:r>
      <w:r>
        <w:rPr>
          <w:rFonts w:hint="eastAsia" w:ascii="仿宋_GB2312" w:hAnsi="仿宋" w:eastAsia="仿宋_GB2312" w:cs="宋体"/>
          <w:color w:val="333333"/>
          <w:kern w:val="0"/>
          <w:sz w:val="32"/>
          <w:szCs w:val="32"/>
        </w:rPr>
        <w:t>万元，资金来源全部为区级财政拨款。</w:t>
      </w:r>
    </w:p>
    <w:p w14:paraId="1B3118B8">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（2）项目经费使用情况</w:t>
      </w:r>
    </w:p>
    <w:p w14:paraId="7FEEC5C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截至</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12月31日，业务经费</w:t>
      </w:r>
      <w:r>
        <w:rPr>
          <w:rFonts w:hint="eastAsia" w:ascii="仿宋_GB2312" w:hAnsi="仿宋" w:eastAsia="仿宋_GB2312" w:cs="宋体"/>
          <w:color w:val="333333"/>
          <w:kern w:val="0"/>
          <w:sz w:val="32"/>
          <w:szCs w:val="32"/>
          <w:lang w:val="en-US" w:eastAsia="zh-CN"/>
        </w:rPr>
        <w:t>891.38</w:t>
      </w:r>
      <w:r>
        <w:rPr>
          <w:rFonts w:hint="eastAsia" w:ascii="仿宋_GB2312" w:hAnsi="仿宋" w:eastAsia="仿宋_GB2312" w:cs="宋体"/>
          <w:color w:val="333333"/>
          <w:kern w:val="0"/>
          <w:sz w:val="32"/>
          <w:szCs w:val="32"/>
        </w:rPr>
        <w:t>万元已全部支出，主要用于支付</w:t>
      </w:r>
      <w:r>
        <w:rPr>
          <w:rFonts w:hint="eastAsia" w:ascii="仿宋_GB2312" w:hAnsi="仿宋" w:eastAsia="仿宋_GB2312" w:cs="宋体"/>
          <w:color w:val="333333"/>
          <w:kern w:val="0"/>
          <w:sz w:val="32"/>
          <w:szCs w:val="32"/>
          <w:lang w:eastAsia="zh-CN"/>
        </w:rPr>
        <w:t>物业管理费、劳务费、维修费、材料费、委托业务费、设备购置费</w:t>
      </w:r>
      <w:r>
        <w:rPr>
          <w:rFonts w:hint="eastAsia" w:ascii="仿宋_GB2312" w:hAnsi="仿宋" w:eastAsia="仿宋_GB2312" w:cs="宋体"/>
          <w:color w:val="333333"/>
          <w:kern w:val="0"/>
          <w:sz w:val="32"/>
          <w:szCs w:val="32"/>
        </w:rPr>
        <w:t>等，具体详见下表：</w:t>
      </w:r>
    </w:p>
    <w:p w14:paraId="38F832C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p>
    <w:p w14:paraId="4F565E9D">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p>
    <w:p w14:paraId="2E971741">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p>
    <w:p w14:paraId="41101AA4">
      <w:pPr>
        <w:pageBreakBefore w:val="0"/>
        <w:widowControl/>
        <w:shd w:val="clear" w:color="auto" w:fill="FFFFFF"/>
        <w:kinsoku/>
        <w:wordWrap/>
        <w:overflowPunct/>
        <w:topLinePunct w:val="0"/>
        <w:autoSpaceDE/>
        <w:autoSpaceDN/>
        <w:bidi w:val="0"/>
        <w:adjustRightInd/>
        <w:snapToGrid/>
        <w:spacing w:line="500" w:lineRule="exact"/>
        <w:ind w:firstLine="705"/>
        <w:jc w:val="right"/>
        <w:rPr>
          <w:rFonts w:ascii="仿宋_GB2312" w:hAnsi="微软雅黑" w:eastAsia="仿宋_GB2312" w:cs="宋体"/>
          <w:color w:val="333333"/>
          <w:kern w:val="0"/>
          <w:szCs w:val="24"/>
        </w:rPr>
      </w:pPr>
      <w:r>
        <w:rPr>
          <w:rFonts w:hint="eastAsia" w:ascii="仿宋_GB2312" w:hAnsi="仿宋" w:eastAsia="仿宋_GB2312" w:cs="宋体"/>
          <w:color w:val="333333"/>
          <w:kern w:val="0"/>
          <w:sz w:val="24"/>
          <w:szCs w:val="29"/>
        </w:rPr>
        <w:t>单位：元</w:t>
      </w:r>
    </w:p>
    <w:tbl>
      <w:tblPr>
        <w:tblStyle w:val="10"/>
        <w:tblW w:w="8791"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433"/>
        <w:gridCol w:w="2541"/>
        <w:gridCol w:w="2083"/>
        <w:gridCol w:w="1734"/>
      </w:tblGrid>
      <w:tr w14:paraId="1E1128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54634FBE">
            <w:pPr>
              <w:pageBreakBefore w:val="0"/>
              <w:widowControl/>
              <w:kinsoku/>
              <w:wordWrap/>
              <w:overflowPunct/>
              <w:topLinePunct w:val="0"/>
              <w:autoSpaceDE/>
              <w:autoSpaceDN/>
              <w:bidi w:val="0"/>
              <w:adjustRightInd/>
              <w:snapToGrid/>
              <w:spacing w:line="500" w:lineRule="exact"/>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项目内容</w:t>
            </w:r>
          </w:p>
        </w:tc>
        <w:tc>
          <w:tcPr>
            <w:tcW w:w="2541" w:type="dxa"/>
            <w:tcBorders>
              <w:top w:val="single" w:color="auto" w:sz="4" w:space="0"/>
              <w:left w:val="single" w:color="auto" w:sz="4" w:space="0"/>
              <w:bottom w:val="single" w:color="auto" w:sz="4" w:space="0"/>
              <w:right w:val="single" w:color="auto" w:sz="4" w:space="0"/>
            </w:tcBorders>
            <w:shd w:val="clear" w:color="auto" w:fill="FFFFFF"/>
            <w:vAlign w:val="center"/>
          </w:tcPr>
          <w:p w14:paraId="41FA70A5">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b/>
                <w:color w:val="333333"/>
                <w:kern w:val="0"/>
                <w:sz w:val="24"/>
                <w:szCs w:val="24"/>
              </w:rPr>
            </w:pPr>
            <w:r>
              <w:rPr>
                <w:rFonts w:hint="eastAsia" w:ascii="仿宋_GB2312" w:hAnsi="仿宋" w:eastAsia="仿宋_GB2312" w:cs="宋体"/>
                <w:b/>
                <w:color w:val="333333"/>
                <w:kern w:val="0"/>
                <w:sz w:val="24"/>
                <w:szCs w:val="24"/>
              </w:rPr>
              <w:t>年初预算资金安排</w:t>
            </w:r>
          </w:p>
        </w:tc>
        <w:tc>
          <w:tcPr>
            <w:tcW w:w="2083" w:type="dxa"/>
            <w:tcBorders>
              <w:top w:val="single" w:color="auto" w:sz="4" w:space="0"/>
              <w:left w:val="single" w:color="auto" w:sz="4" w:space="0"/>
              <w:bottom w:val="single" w:color="auto" w:sz="4" w:space="0"/>
              <w:right w:val="single" w:color="auto" w:sz="4" w:space="0"/>
            </w:tcBorders>
            <w:shd w:val="clear" w:color="auto" w:fill="FFFFFF"/>
            <w:vAlign w:val="center"/>
          </w:tcPr>
          <w:p w14:paraId="4A812089">
            <w:pPr>
              <w:pageBreakBefore w:val="0"/>
              <w:widowControl/>
              <w:kinsoku/>
              <w:wordWrap/>
              <w:overflowPunct/>
              <w:topLinePunct w:val="0"/>
              <w:autoSpaceDE/>
              <w:autoSpaceDN/>
              <w:bidi w:val="0"/>
              <w:adjustRightInd/>
              <w:snapToGrid/>
              <w:spacing w:line="500" w:lineRule="exact"/>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实际支出数</w:t>
            </w:r>
          </w:p>
        </w:tc>
        <w:tc>
          <w:tcPr>
            <w:tcW w:w="1734" w:type="dxa"/>
            <w:tcBorders>
              <w:top w:val="single" w:color="auto" w:sz="4" w:space="0"/>
              <w:left w:val="single" w:color="auto" w:sz="4" w:space="0"/>
              <w:bottom w:val="single" w:color="auto" w:sz="4" w:space="0"/>
              <w:right w:val="single" w:color="000000" w:sz="6" w:space="0"/>
            </w:tcBorders>
            <w:shd w:val="clear" w:color="auto" w:fill="FFFFFF"/>
            <w:vAlign w:val="center"/>
          </w:tcPr>
          <w:p w14:paraId="26B5925A">
            <w:pPr>
              <w:pageBreakBefore w:val="0"/>
              <w:widowControl/>
              <w:kinsoku/>
              <w:wordWrap/>
              <w:overflowPunct/>
              <w:topLinePunct w:val="0"/>
              <w:autoSpaceDE/>
              <w:autoSpaceDN/>
              <w:bidi w:val="0"/>
              <w:adjustRightInd/>
              <w:snapToGrid/>
              <w:spacing w:line="500" w:lineRule="exact"/>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预算执行率</w:t>
            </w:r>
          </w:p>
        </w:tc>
      </w:tr>
      <w:tr w14:paraId="402ABC2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0F94E70D">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lang w:eastAsia="zh-CN"/>
              </w:rPr>
              <w:t>办公</w:t>
            </w:r>
            <w:r>
              <w:rPr>
                <w:rFonts w:hint="eastAsia" w:ascii="仿宋_GB2312" w:hAnsi="仿宋" w:eastAsia="仿宋_GB2312" w:cs="宋体"/>
                <w:color w:val="333333"/>
                <w:kern w:val="0"/>
                <w:sz w:val="24"/>
                <w:szCs w:val="24"/>
              </w:rPr>
              <w:t>费</w:t>
            </w:r>
          </w:p>
        </w:tc>
        <w:tc>
          <w:tcPr>
            <w:tcW w:w="2541" w:type="dxa"/>
            <w:tcBorders>
              <w:top w:val="nil"/>
              <w:left w:val="nil"/>
              <w:bottom w:val="single" w:color="000000" w:sz="6" w:space="0"/>
              <w:right w:val="single" w:color="000000" w:sz="6" w:space="0"/>
            </w:tcBorders>
            <w:shd w:val="clear" w:color="auto" w:fill="FFFFFF"/>
            <w:vAlign w:val="center"/>
          </w:tcPr>
          <w:p w14:paraId="56D12163">
            <w:pPr>
              <w:pageBreakBefore w:val="0"/>
              <w:widowControl/>
              <w:kinsoku/>
              <w:wordWrap/>
              <w:overflowPunct/>
              <w:topLinePunct w:val="0"/>
              <w:autoSpaceDE/>
              <w:autoSpaceDN/>
              <w:bidi w:val="0"/>
              <w:adjustRightInd/>
              <w:snapToGrid/>
              <w:spacing w:line="500" w:lineRule="exact"/>
              <w:jc w:val="center"/>
              <w:textAlignment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 xml:space="preserve"> 20,603.00</w:t>
            </w:r>
          </w:p>
        </w:tc>
        <w:tc>
          <w:tcPr>
            <w:tcW w:w="2083" w:type="dxa"/>
            <w:tcBorders>
              <w:top w:val="nil"/>
              <w:left w:val="nil"/>
              <w:bottom w:val="single" w:color="000000" w:sz="6" w:space="0"/>
              <w:right w:val="single" w:color="000000" w:sz="6" w:space="0"/>
            </w:tcBorders>
            <w:shd w:val="clear" w:color="auto" w:fill="FFFFFF"/>
            <w:vAlign w:val="center"/>
          </w:tcPr>
          <w:p w14:paraId="6C4F66F2">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 xml:space="preserve"> 20,603.00</w:t>
            </w:r>
          </w:p>
        </w:tc>
        <w:tc>
          <w:tcPr>
            <w:tcW w:w="1734" w:type="dxa"/>
            <w:vMerge w:val="restart"/>
            <w:tcBorders>
              <w:top w:val="nil"/>
              <w:left w:val="nil"/>
              <w:right w:val="single" w:color="000000" w:sz="6" w:space="0"/>
            </w:tcBorders>
            <w:shd w:val="clear" w:color="auto" w:fill="FFFFFF"/>
            <w:vAlign w:val="center"/>
          </w:tcPr>
          <w:p w14:paraId="70FD3F4A">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lang w:val="en-US" w:eastAsia="zh-CN"/>
              </w:rPr>
              <w:t>100</w:t>
            </w:r>
            <w:r>
              <w:rPr>
                <w:rFonts w:hint="eastAsia" w:ascii="仿宋_GB2312" w:hAnsi="仿宋" w:eastAsia="仿宋_GB2312" w:cs="宋体"/>
                <w:color w:val="333333"/>
                <w:kern w:val="0"/>
                <w:sz w:val="24"/>
                <w:szCs w:val="24"/>
              </w:rPr>
              <w:t>%</w:t>
            </w:r>
          </w:p>
          <w:p w14:paraId="66276361">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22A7A9E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01F11BF9">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lang w:eastAsia="zh-CN"/>
              </w:rPr>
              <w:t>印刷</w:t>
            </w:r>
            <w:r>
              <w:rPr>
                <w:rFonts w:hint="eastAsia" w:ascii="仿宋_GB2312" w:hAnsi="仿宋" w:eastAsia="仿宋_GB2312" w:cs="宋体"/>
                <w:color w:val="333333"/>
                <w:kern w:val="0"/>
                <w:sz w:val="24"/>
                <w:szCs w:val="24"/>
              </w:rPr>
              <w:t>费</w:t>
            </w:r>
          </w:p>
        </w:tc>
        <w:tc>
          <w:tcPr>
            <w:tcW w:w="2541" w:type="dxa"/>
            <w:tcBorders>
              <w:top w:val="nil"/>
              <w:left w:val="nil"/>
              <w:bottom w:val="single" w:color="000000" w:sz="6" w:space="0"/>
              <w:right w:val="single" w:color="000000" w:sz="6" w:space="0"/>
            </w:tcBorders>
            <w:shd w:val="clear" w:color="auto" w:fill="FFFFFF"/>
            <w:vAlign w:val="center"/>
          </w:tcPr>
          <w:p w14:paraId="2D4F5A84">
            <w:pPr>
              <w:pageBreakBefore w:val="0"/>
              <w:widowControl/>
              <w:kinsoku/>
              <w:wordWrap/>
              <w:overflowPunct/>
              <w:topLinePunct w:val="0"/>
              <w:autoSpaceDE/>
              <w:autoSpaceDN/>
              <w:bidi w:val="0"/>
              <w:adjustRightInd/>
              <w:snapToGrid/>
              <w:spacing w:line="500" w:lineRule="exact"/>
              <w:jc w:val="center"/>
              <w:textAlignment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28,361.00</w:t>
            </w:r>
          </w:p>
        </w:tc>
        <w:tc>
          <w:tcPr>
            <w:tcW w:w="2083" w:type="dxa"/>
            <w:tcBorders>
              <w:top w:val="nil"/>
              <w:left w:val="nil"/>
              <w:bottom w:val="single" w:color="000000" w:sz="6" w:space="0"/>
              <w:right w:val="single" w:color="000000" w:sz="6" w:space="0"/>
            </w:tcBorders>
            <w:shd w:val="clear" w:color="auto" w:fill="FFFFFF"/>
            <w:vAlign w:val="center"/>
          </w:tcPr>
          <w:p w14:paraId="484B2B67">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28,361.00</w:t>
            </w:r>
          </w:p>
        </w:tc>
        <w:tc>
          <w:tcPr>
            <w:tcW w:w="1734" w:type="dxa"/>
            <w:vMerge w:val="continue"/>
            <w:tcBorders>
              <w:left w:val="nil"/>
              <w:right w:val="single" w:color="000000" w:sz="6" w:space="0"/>
            </w:tcBorders>
            <w:shd w:val="clear" w:color="auto" w:fill="FFFFFF"/>
            <w:vAlign w:val="center"/>
          </w:tcPr>
          <w:p w14:paraId="0123546E">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14C6C85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2"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4EAA751">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lang w:eastAsia="zh-CN"/>
              </w:rPr>
              <w:t>咨询</w:t>
            </w:r>
            <w:r>
              <w:rPr>
                <w:rFonts w:hint="eastAsia" w:ascii="仿宋_GB2312" w:hAnsi="仿宋" w:eastAsia="仿宋_GB2312" w:cs="宋体"/>
                <w:color w:val="333333"/>
                <w:kern w:val="0"/>
                <w:sz w:val="24"/>
                <w:szCs w:val="24"/>
              </w:rPr>
              <w:t>费</w:t>
            </w:r>
          </w:p>
        </w:tc>
        <w:tc>
          <w:tcPr>
            <w:tcW w:w="2541" w:type="dxa"/>
            <w:tcBorders>
              <w:top w:val="nil"/>
              <w:left w:val="nil"/>
              <w:bottom w:val="single" w:color="auto" w:sz="4" w:space="0"/>
              <w:right w:val="single" w:color="000000" w:sz="6" w:space="0"/>
            </w:tcBorders>
            <w:shd w:val="clear" w:color="auto" w:fill="FFFFFF"/>
            <w:vAlign w:val="center"/>
          </w:tcPr>
          <w:p w14:paraId="3F997D48">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 xml:space="preserve"> 56,000.00</w:t>
            </w:r>
          </w:p>
        </w:tc>
        <w:tc>
          <w:tcPr>
            <w:tcW w:w="2083" w:type="dxa"/>
            <w:tcBorders>
              <w:top w:val="nil"/>
              <w:left w:val="nil"/>
              <w:bottom w:val="single" w:color="auto" w:sz="4" w:space="0"/>
              <w:right w:val="single" w:color="000000" w:sz="6" w:space="0"/>
            </w:tcBorders>
            <w:shd w:val="clear" w:color="auto" w:fill="FFFFFF"/>
            <w:vAlign w:val="center"/>
          </w:tcPr>
          <w:p w14:paraId="11278693">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 xml:space="preserve"> 56,000.00</w:t>
            </w:r>
          </w:p>
        </w:tc>
        <w:tc>
          <w:tcPr>
            <w:tcW w:w="1734" w:type="dxa"/>
            <w:vMerge w:val="continue"/>
            <w:tcBorders>
              <w:left w:val="nil"/>
              <w:right w:val="single" w:color="000000" w:sz="6" w:space="0"/>
            </w:tcBorders>
            <w:shd w:val="clear" w:color="auto" w:fill="FFFFFF"/>
            <w:vAlign w:val="center"/>
          </w:tcPr>
          <w:p w14:paraId="798CC16F">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4C61C9A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7BE1E3E">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lang w:eastAsia="zh-CN"/>
              </w:rPr>
              <w:t>水</w:t>
            </w:r>
            <w:r>
              <w:rPr>
                <w:rFonts w:hint="eastAsia" w:ascii="仿宋_GB2312" w:hAnsi="仿宋" w:eastAsia="仿宋_GB2312" w:cs="宋体"/>
                <w:color w:val="333333"/>
                <w:kern w:val="0"/>
                <w:sz w:val="24"/>
                <w:szCs w:val="24"/>
              </w:rPr>
              <w:t>费</w:t>
            </w:r>
          </w:p>
        </w:tc>
        <w:tc>
          <w:tcPr>
            <w:tcW w:w="2541" w:type="dxa"/>
            <w:tcBorders>
              <w:top w:val="single" w:color="auto" w:sz="4" w:space="0"/>
              <w:left w:val="nil"/>
              <w:bottom w:val="single" w:color="auto" w:sz="4" w:space="0"/>
              <w:right w:val="single" w:color="000000" w:sz="6" w:space="0"/>
            </w:tcBorders>
            <w:shd w:val="clear" w:color="auto" w:fill="FFFFFF"/>
            <w:vAlign w:val="center"/>
          </w:tcPr>
          <w:p w14:paraId="14392717">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 xml:space="preserve"> 12,600.00</w:t>
            </w:r>
          </w:p>
        </w:tc>
        <w:tc>
          <w:tcPr>
            <w:tcW w:w="2083" w:type="dxa"/>
            <w:tcBorders>
              <w:top w:val="single" w:color="auto" w:sz="4" w:space="0"/>
              <w:left w:val="nil"/>
              <w:bottom w:val="single" w:color="auto" w:sz="4" w:space="0"/>
              <w:right w:val="single" w:color="000000" w:sz="6" w:space="0"/>
            </w:tcBorders>
            <w:shd w:val="clear" w:color="auto" w:fill="FFFFFF"/>
            <w:vAlign w:val="center"/>
          </w:tcPr>
          <w:p w14:paraId="4830B97F">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 xml:space="preserve"> 12,600.00</w:t>
            </w:r>
          </w:p>
        </w:tc>
        <w:tc>
          <w:tcPr>
            <w:tcW w:w="1734" w:type="dxa"/>
            <w:vMerge w:val="continue"/>
            <w:tcBorders>
              <w:left w:val="nil"/>
              <w:right w:val="single" w:color="000000" w:sz="6" w:space="0"/>
            </w:tcBorders>
            <w:shd w:val="clear" w:color="auto" w:fill="FFFFFF"/>
            <w:vAlign w:val="center"/>
          </w:tcPr>
          <w:p w14:paraId="2D3B225D">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70210D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3B0C21B">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微软雅黑"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物业管理费</w:t>
            </w:r>
          </w:p>
        </w:tc>
        <w:tc>
          <w:tcPr>
            <w:tcW w:w="2541" w:type="dxa"/>
            <w:tcBorders>
              <w:top w:val="single" w:color="auto" w:sz="4" w:space="0"/>
              <w:left w:val="nil"/>
              <w:bottom w:val="single" w:color="auto" w:sz="4" w:space="0"/>
              <w:right w:val="single" w:color="000000" w:sz="6" w:space="0"/>
            </w:tcBorders>
            <w:shd w:val="clear" w:color="auto" w:fill="FFFFFF"/>
            <w:vAlign w:val="center"/>
          </w:tcPr>
          <w:p w14:paraId="5323DD97">
            <w:pPr>
              <w:pageBreakBefore w:val="0"/>
              <w:widowControl/>
              <w:kinsoku/>
              <w:wordWrap/>
              <w:overflowPunct/>
              <w:topLinePunct w:val="0"/>
              <w:autoSpaceDE/>
              <w:autoSpaceDN/>
              <w:bidi w:val="0"/>
              <w:adjustRightInd/>
              <w:snapToGrid/>
              <w:spacing w:line="500" w:lineRule="exact"/>
              <w:jc w:val="center"/>
              <w:textAlignment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1,622,653.50</w:t>
            </w:r>
          </w:p>
        </w:tc>
        <w:tc>
          <w:tcPr>
            <w:tcW w:w="2083" w:type="dxa"/>
            <w:tcBorders>
              <w:top w:val="single" w:color="auto" w:sz="4" w:space="0"/>
              <w:left w:val="nil"/>
              <w:bottom w:val="single" w:color="auto" w:sz="4" w:space="0"/>
              <w:right w:val="single" w:color="000000" w:sz="6" w:space="0"/>
            </w:tcBorders>
            <w:shd w:val="clear" w:color="auto" w:fill="FFFFFF"/>
            <w:vAlign w:val="center"/>
          </w:tcPr>
          <w:p w14:paraId="1F21C489">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1,622,653.50</w:t>
            </w:r>
          </w:p>
        </w:tc>
        <w:tc>
          <w:tcPr>
            <w:tcW w:w="1734" w:type="dxa"/>
            <w:vMerge w:val="continue"/>
            <w:tcBorders>
              <w:left w:val="nil"/>
              <w:right w:val="single" w:color="000000" w:sz="6" w:space="0"/>
            </w:tcBorders>
            <w:shd w:val="clear" w:color="auto" w:fill="FFFFFF"/>
            <w:vAlign w:val="center"/>
          </w:tcPr>
          <w:p w14:paraId="5ED23BE2">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490C104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3304531B">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微软雅黑"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维修费</w:t>
            </w:r>
          </w:p>
        </w:tc>
        <w:tc>
          <w:tcPr>
            <w:tcW w:w="2541" w:type="dxa"/>
            <w:tcBorders>
              <w:top w:val="nil"/>
              <w:left w:val="nil"/>
              <w:bottom w:val="single" w:color="auto" w:sz="4" w:space="0"/>
              <w:right w:val="single" w:color="000000" w:sz="6" w:space="0"/>
            </w:tcBorders>
            <w:shd w:val="clear" w:color="auto" w:fill="FFFFFF"/>
            <w:vAlign w:val="center"/>
          </w:tcPr>
          <w:p w14:paraId="6E316270">
            <w:pPr>
              <w:pageBreakBefore w:val="0"/>
              <w:widowControl/>
              <w:kinsoku/>
              <w:wordWrap/>
              <w:overflowPunct/>
              <w:topLinePunct w:val="0"/>
              <w:autoSpaceDE/>
              <w:autoSpaceDN/>
              <w:bidi w:val="0"/>
              <w:adjustRightInd/>
              <w:snapToGrid/>
              <w:spacing w:line="500" w:lineRule="exact"/>
              <w:jc w:val="center"/>
              <w:textAlignment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 xml:space="preserve"> 632,528.88</w:t>
            </w:r>
          </w:p>
        </w:tc>
        <w:tc>
          <w:tcPr>
            <w:tcW w:w="2083" w:type="dxa"/>
            <w:tcBorders>
              <w:top w:val="nil"/>
              <w:left w:val="nil"/>
              <w:bottom w:val="single" w:color="auto" w:sz="4" w:space="0"/>
              <w:right w:val="single" w:color="000000" w:sz="6" w:space="0"/>
            </w:tcBorders>
            <w:shd w:val="clear" w:color="auto" w:fill="FFFFFF"/>
            <w:vAlign w:val="center"/>
          </w:tcPr>
          <w:p w14:paraId="014F4EF2">
            <w:pPr>
              <w:pageBreakBefore w:val="0"/>
              <w:widowControl/>
              <w:kinsoku/>
              <w:wordWrap/>
              <w:overflowPunct/>
              <w:topLinePunct w:val="0"/>
              <w:autoSpaceDE/>
              <w:autoSpaceDN/>
              <w:bidi w:val="0"/>
              <w:adjustRightInd/>
              <w:snapToGrid/>
              <w:spacing w:line="500" w:lineRule="exact"/>
              <w:jc w:val="center"/>
              <w:textAlignment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 xml:space="preserve"> 632,528.88</w:t>
            </w:r>
          </w:p>
        </w:tc>
        <w:tc>
          <w:tcPr>
            <w:tcW w:w="1734" w:type="dxa"/>
            <w:vMerge w:val="continue"/>
            <w:tcBorders>
              <w:left w:val="nil"/>
              <w:right w:val="single" w:color="000000" w:sz="6" w:space="0"/>
            </w:tcBorders>
            <w:shd w:val="clear" w:color="auto" w:fill="FFFFFF"/>
            <w:vAlign w:val="center"/>
          </w:tcPr>
          <w:p w14:paraId="0EA7AC61">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3526B41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4014D66B">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专用材料费</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35AB5D51">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102,945.50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33C81718">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102,945.50</w:t>
            </w:r>
          </w:p>
        </w:tc>
        <w:tc>
          <w:tcPr>
            <w:tcW w:w="1734" w:type="dxa"/>
            <w:vMerge w:val="continue"/>
            <w:tcBorders>
              <w:left w:val="nil"/>
              <w:right w:val="single" w:color="000000" w:sz="6" w:space="0"/>
            </w:tcBorders>
            <w:shd w:val="clear" w:color="auto" w:fill="FFFFFF"/>
            <w:vAlign w:val="center"/>
          </w:tcPr>
          <w:p w14:paraId="11B14F7D">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2B3ABDC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04D77CC2">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劳务费</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280C2E82">
            <w:pPr>
              <w:pageBreakBefore w:val="0"/>
              <w:widowControl/>
              <w:kinsoku/>
              <w:wordWrap/>
              <w:overflowPunct/>
              <w:topLinePunct w:val="0"/>
              <w:autoSpaceDE/>
              <w:autoSpaceDN/>
              <w:bidi w:val="0"/>
              <w:adjustRightInd/>
              <w:snapToGrid/>
              <w:spacing w:line="500" w:lineRule="exact"/>
              <w:jc w:val="center"/>
              <w:rPr>
                <w:rFonts w:hint="eastAsia" w:ascii="仿宋_GB2312" w:hAnsi="微软雅黑" w:eastAsia="仿宋_GB2312" w:cs="宋体"/>
                <w:color w:val="333333"/>
                <w:kern w:val="0"/>
                <w:sz w:val="24"/>
                <w:szCs w:val="24"/>
                <w:lang w:val="en-US" w:eastAsia="zh-CN"/>
              </w:rPr>
            </w:pPr>
            <w:r>
              <w:rPr>
                <w:rFonts w:hint="eastAsia" w:ascii="宋体" w:hAnsi="宋体" w:eastAsia="宋体" w:cs="宋体"/>
                <w:i w:val="0"/>
                <w:color w:val="000000"/>
                <w:kern w:val="0"/>
                <w:sz w:val="24"/>
                <w:szCs w:val="24"/>
                <w:u w:val="none"/>
                <w:lang w:val="en-US" w:eastAsia="zh-CN" w:bidi="ar"/>
              </w:rPr>
              <w:t>6,255,382.82</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54287F80">
            <w:pPr>
              <w:pageBreakBefore w:val="0"/>
              <w:widowControl/>
              <w:kinsoku/>
              <w:wordWrap/>
              <w:overflowPunct/>
              <w:topLinePunct w:val="0"/>
              <w:autoSpaceDE/>
              <w:autoSpaceDN/>
              <w:bidi w:val="0"/>
              <w:adjustRightInd/>
              <w:snapToGrid/>
              <w:spacing w:line="500" w:lineRule="exact"/>
              <w:jc w:val="center"/>
              <w:rPr>
                <w:rFonts w:ascii="仿宋_GB2312" w:hAnsi="微软雅黑" w:eastAsia="仿宋_GB2312" w:cs="宋体"/>
                <w:color w:val="333333"/>
                <w:kern w:val="0"/>
                <w:sz w:val="24"/>
                <w:szCs w:val="24"/>
              </w:rPr>
            </w:pPr>
            <w:r>
              <w:rPr>
                <w:rFonts w:hint="eastAsia" w:ascii="宋体" w:hAnsi="宋体" w:eastAsia="宋体" w:cs="宋体"/>
                <w:i w:val="0"/>
                <w:color w:val="000000"/>
                <w:kern w:val="0"/>
                <w:sz w:val="24"/>
                <w:szCs w:val="24"/>
                <w:u w:val="none"/>
                <w:lang w:val="en-US" w:eastAsia="zh-CN" w:bidi="ar"/>
              </w:rPr>
              <w:t>6,255,382.82</w:t>
            </w:r>
          </w:p>
        </w:tc>
        <w:tc>
          <w:tcPr>
            <w:tcW w:w="1734" w:type="dxa"/>
            <w:vMerge w:val="continue"/>
            <w:tcBorders>
              <w:left w:val="nil"/>
              <w:right w:val="single" w:color="000000" w:sz="6" w:space="0"/>
            </w:tcBorders>
            <w:shd w:val="clear" w:color="auto" w:fill="FFFFFF"/>
            <w:vAlign w:val="center"/>
          </w:tcPr>
          <w:p w14:paraId="77F69885">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301EA7E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162DBF6E">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委托业务费</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5CC192F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90,590.90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5B86B8D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90,590.90</w:t>
            </w:r>
          </w:p>
        </w:tc>
        <w:tc>
          <w:tcPr>
            <w:tcW w:w="1734" w:type="dxa"/>
            <w:vMerge w:val="continue"/>
            <w:tcBorders>
              <w:left w:val="nil"/>
              <w:right w:val="single" w:color="000000" w:sz="6" w:space="0"/>
            </w:tcBorders>
            <w:shd w:val="clear" w:color="auto" w:fill="FFFFFF"/>
            <w:vAlign w:val="center"/>
          </w:tcPr>
          <w:p w14:paraId="30F63BA3">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1B9C769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23DCA64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仿宋_GB2312" w:hAnsi="仿宋" w:eastAsia="仿宋_GB2312" w:cs="宋体"/>
                <w:color w:val="333333"/>
                <w:kern w:val="0"/>
                <w:sz w:val="24"/>
                <w:szCs w:val="24"/>
                <w:lang w:val="en-US" w:eastAsia="zh-CN"/>
              </w:rPr>
              <w:t>工会经费</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2F2F609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48,074.40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073F65C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48,074.40</w:t>
            </w:r>
          </w:p>
        </w:tc>
        <w:tc>
          <w:tcPr>
            <w:tcW w:w="1734" w:type="dxa"/>
            <w:vMerge w:val="continue"/>
            <w:tcBorders>
              <w:left w:val="nil"/>
              <w:right w:val="single" w:color="000000" w:sz="6" w:space="0"/>
            </w:tcBorders>
            <w:shd w:val="clear" w:color="auto" w:fill="FFFFFF"/>
            <w:vAlign w:val="center"/>
          </w:tcPr>
          <w:p w14:paraId="6F8E006B">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60A1EB2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7E188C56">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lang w:eastAsia="zh-CN"/>
              </w:rPr>
            </w:pPr>
            <w:r>
              <w:rPr>
                <w:rFonts w:hint="eastAsia" w:ascii="仿宋_GB2312" w:hAnsi="仿宋" w:eastAsia="仿宋_GB2312" w:cs="宋体"/>
                <w:color w:val="333333"/>
                <w:kern w:val="0"/>
                <w:sz w:val="24"/>
                <w:szCs w:val="24"/>
                <w:lang w:eastAsia="zh-CN"/>
              </w:rPr>
              <w:t>专用设备购置费</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7B4E40B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44,060.00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48897AF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44,060.00</w:t>
            </w:r>
          </w:p>
        </w:tc>
        <w:tc>
          <w:tcPr>
            <w:tcW w:w="1734" w:type="dxa"/>
            <w:vMerge w:val="continue"/>
            <w:tcBorders>
              <w:left w:val="nil"/>
              <w:right w:val="single" w:color="000000" w:sz="6" w:space="0"/>
            </w:tcBorders>
            <w:shd w:val="clear" w:color="auto" w:fill="FFFFFF"/>
            <w:vAlign w:val="center"/>
          </w:tcPr>
          <w:p w14:paraId="7E95DEED">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r w14:paraId="7B31D2B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DFF2F73">
            <w:pPr>
              <w:pageBreakBefore w:val="0"/>
              <w:widowControl/>
              <w:kinsoku/>
              <w:wordWrap/>
              <w:overflowPunct/>
              <w:topLinePunct w:val="0"/>
              <w:autoSpaceDE/>
              <w:autoSpaceDN/>
              <w:bidi w:val="0"/>
              <w:adjustRightInd/>
              <w:snapToGrid/>
              <w:spacing w:line="500" w:lineRule="exact"/>
              <w:jc w:val="center"/>
              <w:textAlignment w:val="bottom"/>
              <w:rPr>
                <w:rFonts w:hint="eastAsia" w:ascii="仿宋_GB2312" w:hAnsi="仿宋" w:eastAsia="仿宋_GB2312" w:cs="宋体"/>
                <w:color w:val="333333"/>
                <w:kern w:val="0"/>
                <w:sz w:val="24"/>
                <w:szCs w:val="24"/>
                <w:lang w:val="en-US" w:eastAsia="zh-CN"/>
              </w:rPr>
            </w:pPr>
            <w:r>
              <w:rPr>
                <w:rFonts w:hint="eastAsia" w:ascii="仿宋_GB2312" w:hAnsi="仿宋" w:eastAsia="仿宋_GB2312" w:cs="宋体"/>
                <w:color w:val="333333"/>
                <w:kern w:val="0"/>
                <w:sz w:val="24"/>
                <w:szCs w:val="24"/>
                <w:lang w:eastAsia="zh-CN"/>
              </w:rPr>
              <w:t>合计</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0EE02001">
            <w:pPr>
              <w:pageBreakBefore w:val="0"/>
              <w:widowControl/>
              <w:kinsoku/>
              <w:wordWrap/>
              <w:overflowPunct/>
              <w:topLinePunct w:val="0"/>
              <w:autoSpaceDE/>
              <w:autoSpaceDN/>
              <w:bidi w:val="0"/>
              <w:adjustRightInd/>
              <w:snapToGrid/>
              <w:spacing w:line="500" w:lineRule="exact"/>
              <w:jc w:val="center"/>
              <w:rPr>
                <w:rFonts w:hint="default" w:ascii="仿宋_GB2312" w:hAnsi="微软雅黑" w:eastAsia="仿宋_GB2312" w:cs="宋体"/>
                <w:color w:val="333333"/>
                <w:kern w:val="0"/>
                <w:sz w:val="24"/>
                <w:szCs w:val="24"/>
                <w:lang w:val="en-US" w:eastAsia="zh-CN"/>
              </w:rPr>
            </w:pPr>
            <w:r>
              <w:rPr>
                <w:rFonts w:hint="eastAsia" w:ascii="仿宋_GB2312" w:hAnsi="微软雅黑" w:eastAsia="仿宋_GB2312" w:cs="宋体"/>
                <w:color w:val="333333"/>
                <w:kern w:val="0"/>
                <w:sz w:val="24"/>
                <w:szCs w:val="24"/>
                <w:lang w:val="en-US" w:eastAsia="zh-CN"/>
              </w:rPr>
              <w:t>8913800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597F436B">
            <w:pPr>
              <w:pageBreakBefore w:val="0"/>
              <w:widowControl/>
              <w:kinsoku/>
              <w:wordWrap/>
              <w:overflowPunct/>
              <w:topLinePunct w:val="0"/>
              <w:autoSpaceDE/>
              <w:autoSpaceDN/>
              <w:bidi w:val="0"/>
              <w:adjustRightInd/>
              <w:snapToGrid/>
              <w:spacing w:line="500" w:lineRule="exact"/>
              <w:jc w:val="center"/>
              <w:rPr>
                <w:rFonts w:hint="default" w:ascii="仿宋_GB2312" w:hAnsi="微软雅黑" w:eastAsia="仿宋_GB2312" w:cs="宋体"/>
                <w:color w:val="333333"/>
                <w:kern w:val="0"/>
                <w:sz w:val="24"/>
                <w:szCs w:val="24"/>
                <w:lang w:val="en-US"/>
              </w:rPr>
            </w:pPr>
            <w:r>
              <w:rPr>
                <w:rFonts w:hint="eastAsia" w:ascii="仿宋_GB2312" w:hAnsi="微软雅黑" w:eastAsia="仿宋_GB2312" w:cs="宋体"/>
                <w:color w:val="333333"/>
                <w:kern w:val="0"/>
                <w:sz w:val="24"/>
                <w:szCs w:val="24"/>
                <w:lang w:val="en-US" w:eastAsia="zh-CN"/>
              </w:rPr>
              <w:t>8913800</w:t>
            </w:r>
          </w:p>
        </w:tc>
        <w:tc>
          <w:tcPr>
            <w:tcW w:w="1734" w:type="dxa"/>
            <w:vMerge w:val="continue"/>
            <w:tcBorders>
              <w:left w:val="nil"/>
              <w:bottom w:val="single" w:color="auto" w:sz="4" w:space="0"/>
              <w:right w:val="single" w:color="000000" w:sz="6" w:space="0"/>
            </w:tcBorders>
            <w:shd w:val="clear" w:color="auto" w:fill="FFFFFF"/>
            <w:vAlign w:val="center"/>
          </w:tcPr>
          <w:p w14:paraId="1453A806">
            <w:pPr>
              <w:pageBreakBefore w:val="0"/>
              <w:widowControl/>
              <w:kinsoku/>
              <w:wordWrap/>
              <w:overflowPunct/>
              <w:topLinePunct w:val="0"/>
              <w:autoSpaceDE/>
              <w:autoSpaceDN/>
              <w:bidi w:val="0"/>
              <w:adjustRightInd/>
              <w:snapToGrid/>
              <w:spacing w:line="500" w:lineRule="exact"/>
              <w:jc w:val="center"/>
              <w:textAlignment w:val="bottom"/>
              <w:rPr>
                <w:rFonts w:ascii="仿宋_GB2312" w:hAnsi="仿宋" w:eastAsia="仿宋_GB2312" w:cs="宋体"/>
                <w:color w:val="333333"/>
                <w:kern w:val="0"/>
                <w:sz w:val="24"/>
                <w:szCs w:val="24"/>
                <w:highlight w:val="yellow"/>
              </w:rPr>
            </w:pPr>
          </w:p>
        </w:tc>
      </w:tr>
    </w:tbl>
    <w:p w14:paraId="768A044D">
      <w:pPr>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w:t>
      </w:r>
      <w:r>
        <w:rPr>
          <w:rFonts w:hint="eastAsia" w:ascii="仿宋_GB2312" w:hAnsi="仿宋" w:eastAsia="仿宋_GB2312" w:cs="宋体"/>
          <w:color w:val="333333"/>
          <w:kern w:val="0"/>
          <w:sz w:val="32"/>
          <w:szCs w:val="32"/>
          <w:lang w:val="en-US" w:eastAsia="zh-CN"/>
        </w:rPr>
        <w:t>4.</w:t>
      </w:r>
      <w:r>
        <w:rPr>
          <w:rFonts w:hint="eastAsia" w:ascii="仿宋_GB2312" w:hAnsi="仿宋" w:eastAsia="仿宋_GB2312" w:cs="宋体"/>
          <w:color w:val="333333"/>
          <w:kern w:val="0"/>
          <w:sz w:val="32"/>
          <w:szCs w:val="32"/>
        </w:rPr>
        <w:t xml:space="preserve">项目组织及管理情况 </w:t>
      </w:r>
    </w:p>
    <w:p w14:paraId="60A545C3">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（1）</w:t>
      </w:r>
      <w:r>
        <w:rPr>
          <w:rFonts w:hint="eastAsia" w:ascii="仿宋_GB2312" w:hAnsi="仿宋" w:eastAsia="仿宋_GB2312" w:cs="宋体"/>
          <w:color w:val="333333"/>
          <w:kern w:val="0"/>
          <w:sz w:val="32"/>
          <w:szCs w:val="32"/>
          <w:lang w:eastAsia="zh-CN"/>
        </w:rPr>
        <w:t>物业管理费情况</w:t>
      </w:r>
    </w:p>
    <w:p w14:paraId="1F2F158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我单位负责六个集中办公区、七个住宅区的卫生保洁、绿化管养工作，该项工作为社会购买服务事项，我单位通过公开招标的方式确定了物业服务公司。按照中标通知及相关的服务合同约定，物业服务费在当月考核合格后按月支付。</w:t>
      </w:r>
      <w:r>
        <w:rPr>
          <w:rFonts w:hint="eastAsia" w:ascii="仿宋_GB2312" w:hAnsi="仿宋" w:eastAsia="仿宋_GB2312" w:cs="宋体"/>
          <w:color w:val="333333"/>
          <w:kern w:val="0"/>
          <w:sz w:val="32"/>
          <w:szCs w:val="32"/>
        </w:rPr>
        <w:t>通过对资金支付申请、付款单据等相关原始资料的检查，本项目资金拨付审批手续完整，支出依据合规，未发现虚列套取、截留、挤占、挪用情况和超标准开支的情况。</w:t>
      </w:r>
    </w:p>
    <w:p w14:paraId="4FF1424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w:t>
      </w:r>
      <w:r>
        <w:rPr>
          <w:rFonts w:hint="eastAsia" w:ascii="仿宋_GB2312" w:hAnsi="仿宋" w:eastAsia="仿宋_GB2312" w:cs="宋体"/>
          <w:color w:val="333333"/>
          <w:kern w:val="0"/>
          <w:sz w:val="32"/>
          <w:szCs w:val="32"/>
          <w:lang w:eastAsia="zh-CN"/>
        </w:rPr>
        <w:t>劳务费</w:t>
      </w:r>
      <w:r>
        <w:rPr>
          <w:rFonts w:hint="eastAsia" w:ascii="仿宋_GB2312" w:hAnsi="仿宋" w:eastAsia="仿宋_GB2312" w:cs="宋体"/>
          <w:color w:val="333333"/>
          <w:kern w:val="0"/>
          <w:sz w:val="32"/>
          <w:szCs w:val="32"/>
        </w:rPr>
        <w:t>情况</w:t>
      </w:r>
    </w:p>
    <w:p w14:paraId="02DA2D3B">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我单位负责六个集中办公区、七个住宅区的安全保卫、消防安全工作，该项工作为社会购买服务事项，我单位通过公开招标的方式确定了安保服务公司。按照中标通知及相关的服务合同约定，安保服务费在当月考核合格后按月支付。</w:t>
      </w:r>
      <w:r>
        <w:rPr>
          <w:rFonts w:hint="eastAsia" w:ascii="仿宋_GB2312" w:hAnsi="仿宋" w:eastAsia="仿宋_GB2312" w:cs="宋体"/>
          <w:color w:val="333333"/>
          <w:kern w:val="0"/>
          <w:sz w:val="32"/>
          <w:szCs w:val="32"/>
        </w:rPr>
        <w:t>通过对资金支付申请、付款单据等相关原始资料的检查，本项目资金拨付审批手续完整，支出依据合规，未发现虚列套取、截留、挤占、挪用情况和超标准开支的情况。</w:t>
      </w:r>
    </w:p>
    <w:p w14:paraId="659A9BF2">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我单位负责为区委、区政府提供机关食堂、会议服务、水电维修、车辆管理、田溪公园管理等服务工作，上述服务事项由劳务派遣人员提供，我单位通过综合比选的方式确定了劳务派遣公司。按照服务合同约定，劳务派遣人员工资、社保、加班、管理等费用在当月考核合格后按月支付。</w:t>
      </w:r>
      <w:r>
        <w:rPr>
          <w:rFonts w:hint="eastAsia" w:ascii="仿宋_GB2312" w:hAnsi="仿宋" w:eastAsia="仿宋_GB2312" w:cs="宋体"/>
          <w:color w:val="333333"/>
          <w:kern w:val="0"/>
          <w:sz w:val="32"/>
          <w:szCs w:val="32"/>
        </w:rPr>
        <w:t>通过对资金支付申请、付款单据等相关原始资料的检查，本项目资金拨付审批手续完整，支出依据合规，未发现虚列套取、截留、挤占、挪用情况和超标准开支的情况。</w:t>
      </w:r>
    </w:p>
    <w:p w14:paraId="177F606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（3）项目管理情况分析</w:t>
      </w:r>
    </w:p>
    <w:p w14:paraId="52584B9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eastAsia="zh-CN"/>
        </w:rPr>
        <w:t>我</w:t>
      </w:r>
      <w:r>
        <w:rPr>
          <w:rFonts w:hint="eastAsia" w:ascii="仿宋_GB2312" w:hAnsi="仿宋" w:eastAsia="仿宋_GB2312" w:cs="宋体"/>
          <w:color w:val="333333"/>
          <w:kern w:val="0"/>
          <w:sz w:val="32"/>
          <w:szCs w:val="32"/>
        </w:rPr>
        <w:t>单位及时</w:t>
      </w:r>
      <w:r>
        <w:rPr>
          <w:rFonts w:hint="eastAsia" w:ascii="仿宋_GB2312" w:hAnsi="仿宋" w:eastAsia="仿宋_GB2312" w:cs="宋体"/>
          <w:color w:val="333333"/>
          <w:kern w:val="0"/>
          <w:sz w:val="32"/>
          <w:szCs w:val="32"/>
          <w:lang w:eastAsia="zh-CN"/>
        </w:rPr>
        <w:t>支付物业管理费及劳务费</w:t>
      </w:r>
      <w:r>
        <w:rPr>
          <w:rFonts w:hint="eastAsia" w:ascii="仿宋_GB2312" w:hAnsi="仿宋" w:eastAsia="仿宋_GB2312" w:cs="宋体"/>
          <w:color w:val="333333"/>
          <w:kern w:val="0"/>
          <w:sz w:val="32"/>
          <w:szCs w:val="32"/>
        </w:rPr>
        <w:t>，并对</w:t>
      </w:r>
      <w:r>
        <w:rPr>
          <w:rFonts w:hint="eastAsia" w:ascii="仿宋_GB2312" w:hAnsi="仿宋" w:eastAsia="仿宋_GB2312" w:cs="宋体"/>
          <w:color w:val="333333"/>
          <w:kern w:val="0"/>
          <w:sz w:val="32"/>
          <w:szCs w:val="32"/>
          <w:lang w:eastAsia="zh-CN"/>
        </w:rPr>
        <w:t>支付明细</w:t>
      </w:r>
      <w:r>
        <w:rPr>
          <w:rFonts w:hint="eastAsia" w:ascii="仿宋_GB2312" w:hAnsi="仿宋" w:eastAsia="仿宋_GB2312" w:cs="宋体"/>
          <w:color w:val="333333"/>
          <w:kern w:val="0"/>
          <w:sz w:val="32"/>
          <w:szCs w:val="32"/>
        </w:rPr>
        <w:t>进行核对，确保发放准确，日常办公经费</w:t>
      </w:r>
      <w:r>
        <w:rPr>
          <w:rFonts w:hint="eastAsia" w:ascii="仿宋_GB2312" w:hAnsi="仿宋" w:eastAsia="仿宋_GB2312" w:cs="宋体"/>
          <w:color w:val="333333"/>
          <w:kern w:val="0"/>
          <w:sz w:val="32"/>
          <w:szCs w:val="32"/>
          <w:lang w:eastAsia="zh-CN"/>
        </w:rPr>
        <w:t>、维修费、材料费等</w:t>
      </w:r>
      <w:r>
        <w:rPr>
          <w:rFonts w:hint="eastAsia" w:ascii="仿宋_GB2312" w:hAnsi="仿宋" w:eastAsia="仿宋_GB2312" w:cs="宋体"/>
          <w:color w:val="333333"/>
          <w:kern w:val="0"/>
          <w:sz w:val="32"/>
          <w:szCs w:val="32"/>
        </w:rPr>
        <w:t>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p>
    <w:p w14:paraId="27E470D1">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2" w:name="_Toc7744"/>
      <w:r>
        <w:rPr>
          <w:rFonts w:hint="eastAsia" w:ascii="楷体_GB2312" w:eastAsia="楷体_GB2312" w:hAnsiTheme="majorHAnsi" w:cstheme="majorBidi"/>
          <w:kern w:val="2"/>
          <w:sz w:val="32"/>
          <w:szCs w:val="32"/>
        </w:rPr>
        <w:t>（二）项目绩效目标</w:t>
      </w:r>
      <w:bookmarkEnd w:id="12"/>
    </w:p>
    <w:p w14:paraId="16D12FA2">
      <w:pPr>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总目标</w:t>
      </w:r>
    </w:p>
    <w:p w14:paraId="2912C9E7">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w:t>
      </w:r>
      <w:r>
        <w:rPr>
          <w:rFonts w:hint="eastAsia" w:ascii="仿宋_GB2312" w:hAnsi="仿宋" w:eastAsia="仿宋_GB2312" w:cs="宋体"/>
          <w:color w:val="333333"/>
          <w:kern w:val="0"/>
          <w:sz w:val="32"/>
          <w:szCs w:val="32"/>
          <w:lang w:eastAsia="zh-CN"/>
        </w:rPr>
        <w:t>区委、</w:t>
      </w:r>
      <w:r>
        <w:rPr>
          <w:rFonts w:hint="eastAsia" w:ascii="仿宋_GB2312" w:hAnsi="仿宋" w:eastAsia="仿宋_GB2312" w:cs="宋体"/>
          <w:color w:val="333333"/>
          <w:kern w:val="0"/>
          <w:sz w:val="32"/>
          <w:szCs w:val="32"/>
        </w:rPr>
        <w:t>区政府</w:t>
      </w:r>
      <w:r>
        <w:rPr>
          <w:rFonts w:hint="eastAsia" w:ascii="仿宋_GB2312" w:hAnsi="仿宋" w:eastAsia="仿宋_GB2312" w:cs="宋体"/>
          <w:color w:val="333333"/>
          <w:kern w:val="0"/>
          <w:sz w:val="32"/>
          <w:szCs w:val="32"/>
          <w:lang w:eastAsia="zh-CN"/>
        </w:rPr>
        <w:t>后勤服务</w:t>
      </w:r>
      <w:r>
        <w:rPr>
          <w:rFonts w:hint="eastAsia" w:ascii="仿宋_GB2312" w:hAnsi="仿宋" w:eastAsia="仿宋_GB2312" w:cs="宋体"/>
          <w:color w:val="333333"/>
          <w:kern w:val="0"/>
          <w:sz w:val="32"/>
          <w:szCs w:val="32"/>
        </w:rPr>
        <w:t>正常开展，上级机关交办事项办理到位，</w:t>
      </w:r>
      <w:r>
        <w:rPr>
          <w:rFonts w:hint="eastAsia" w:ascii="仿宋_GB2312" w:hAnsi="仿宋" w:eastAsia="仿宋_GB2312" w:cs="宋体"/>
          <w:color w:val="333333"/>
          <w:kern w:val="0"/>
          <w:sz w:val="32"/>
          <w:szCs w:val="32"/>
          <w:lang w:eastAsia="zh-CN"/>
        </w:rPr>
        <w:t>为各办公区、住宅区提供安全保卫、保洁绿化等物业服务以及机关食堂、会议服务、水电维修、消防、监控等综合后勤管理服务</w:t>
      </w:r>
      <w:r>
        <w:rPr>
          <w:rFonts w:hint="eastAsia" w:ascii="仿宋_GB2312" w:hAnsi="仿宋" w:eastAsia="仿宋_GB2312" w:cs="宋体"/>
          <w:color w:val="333333"/>
          <w:kern w:val="0"/>
          <w:sz w:val="32"/>
          <w:szCs w:val="32"/>
        </w:rPr>
        <w:t>。</w:t>
      </w:r>
    </w:p>
    <w:p w14:paraId="1EACB3FA">
      <w:pPr>
        <w:pageBreakBefore w:val="0"/>
        <w:widowControl/>
        <w:shd w:val="clear" w:color="auto" w:fill="FFFFFF"/>
        <w:kinsoku/>
        <w:wordWrap/>
        <w:overflowPunct/>
        <w:topLinePunct w:val="0"/>
        <w:autoSpaceDE/>
        <w:autoSpaceDN/>
        <w:bidi w:val="0"/>
        <w:adjustRightInd/>
        <w:snapToGrid/>
        <w:spacing w:line="500" w:lineRule="exact"/>
        <w:ind w:firstLine="64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年度目标</w:t>
      </w:r>
    </w:p>
    <w:p w14:paraId="75AD7AC6">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0"/>
        <w:rPr>
          <w:rFonts w:ascii="仿宋_GB2312" w:hAnsi="仿宋" w:eastAsia="仿宋_GB2312" w:cs="宋体"/>
          <w:color w:val="333333"/>
          <w:kern w:val="0"/>
          <w:sz w:val="32"/>
          <w:szCs w:val="32"/>
          <w:lang w:val="en-US"/>
        </w:rPr>
      </w:pPr>
      <w:bookmarkStart w:id="13" w:name="_Toc5146"/>
      <w:r>
        <w:rPr>
          <w:rFonts w:hint="eastAsia" w:ascii="仿宋_GB2312" w:hAnsi="仿宋" w:eastAsia="仿宋_GB2312" w:cs="宋体"/>
          <w:color w:val="333333"/>
          <w:kern w:val="0"/>
          <w:sz w:val="32"/>
          <w:szCs w:val="32"/>
          <w:lang w:eastAsia="zh-CN"/>
        </w:rPr>
        <w:t>完成六个集中办公区、七个机关住宅区的安全保卫、消防安全工作，全年开展各单位安全知识培训及消防安全演练不少于</w:t>
      </w:r>
      <w:r>
        <w:rPr>
          <w:rFonts w:hint="eastAsia" w:ascii="仿宋_GB2312" w:hAnsi="仿宋" w:eastAsia="仿宋_GB2312" w:cs="宋体"/>
          <w:color w:val="333333"/>
          <w:kern w:val="0"/>
          <w:sz w:val="32"/>
          <w:szCs w:val="32"/>
          <w:lang w:val="en-US" w:eastAsia="zh-CN"/>
        </w:rPr>
        <w:t>2次，重点保障区两会、区委全会、政府全会等重要会议的安保工作，协助维持好信访秩序等；完成</w:t>
      </w:r>
      <w:r>
        <w:rPr>
          <w:rFonts w:hint="eastAsia" w:ascii="仿宋_GB2312" w:hAnsi="仿宋" w:eastAsia="仿宋_GB2312" w:cs="宋体"/>
          <w:color w:val="333333"/>
          <w:kern w:val="0"/>
          <w:sz w:val="32"/>
          <w:szCs w:val="32"/>
          <w:lang w:eastAsia="zh-CN"/>
        </w:rPr>
        <w:t>六个集中办公区、七个机关住宅区的卫生保洁、绿化管养工作，重点完成重要会议及活动的保洁工作，完成重大节日的绿化氛围营造工作；完成集中办公区工作人员餐饮服务，做好食品留样工作，确保食品安全，全年组织员工健康体检不少于</w:t>
      </w:r>
      <w:r>
        <w:rPr>
          <w:rFonts w:hint="eastAsia" w:ascii="仿宋_GB2312" w:hAnsi="仿宋" w:eastAsia="仿宋_GB2312" w:cs="宋体"/>
          <w:color w:val="333333"/>
          <w:kern w:val="0"/>
          <w:sz w:val="32"/>
          <w:szCs w:val="32"/>
          <w:lang w:val="en-US" w:eastAsia="zh-CN"/>
        </w:rPr>
        <w:t>1次；完成区委、区政府会议服务工作，重点保障好区两会、区委全会、政府全会等重要会议的服务保障工作；完成好办公区、住宅区的水电维修、设备检查等工作，重点做好电梯、发电机等设备的安全保障工作；完成好应急、综合执法、机要通信的车辆保障工作，做好日常保养维护工作，确保行车安全；做好田溪公园管理工作，重点做好公园内绿环管养及卫生保洁工作。</w:t>
      </w:r>
      <w:bookmarkEnd w:id="13"/>
    </w:p>
    <w:p w14:paraId="3710DA4A">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微软雅黑" w:hAnsi="微软雅黑" w:eastAsia="微软雅黑"/>
          <w:b w:val="0"/>
          <w:bCs w:val="0"/>
          <w:color w:val="333333"/>
        </w:rPr>
      </w:pPr>
      <w:bookmarkStart w:id="14" w:name="_Toc26845"/>
      <w:r>
        <w:rPr>
          <w:rFonts w:hint="eastAsia" w:ascii="黑体" w:hAnsi="黑体" w:eastAsia="黑体" w:cstheme="minorBidi"/>
          <w:kern w:val="44"/>
          <w:sz w:val="32"/>
          <w:szCs w:val="32"/>
        </w:rPr>
        <w:t>二、绩效评价工作情况</w:t>
      </w:r>
      <w:bookmarkEnd w:id="14"/>
    </w:p>
    <w:p w14:paraId="35EE57BB">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5" w:name="_Toc9999"/>
      <w:r>
        <w:rPr>
          <w:rFonts w:hint="eastAsia" w:ascii="楷体_GB2312" w:eastAsia="楷体_GB2312" w:hAnsiTheme="majorHAnsi" w:cstheme="majorBidi"/>
          <w:kern w:val="2"/>
          <w:sz w:val="32"/>
          <w:szCs w:val="32"/>
        </w:rPr>
        <w:t>(一)评价的目的和依据</w:t>
      </w:r>
      <w:bookmarkEnd w:id="15"/>
    </w:p>
    <w:p w14:paraId="31ABE9F5">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评价目的</w:t>
      </w:r>
    </w:p>
    <w:p w14:paraId="71FA048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2AE053E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评价主要依据</w:t>
      </w:r>
    </w:p>
    <w:p w14:paraId="7295499E">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（1）政府部门文件</w:t>
      </w:r>
    </w:p>
    <w:p w14:paraId="3741BB01">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盘龙区区级部门预算绩效自评管理暂行办法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《昆明市盘龙区财政局关于开展</w:t>
      </w:r>
      <w:r>
        <w:rPr>
          <w:rFonts w:hint="eastAsia" w:ascii="仿宋_GB2312" w:hAnsi="仿宋_GB2312" w:eastAsia="仿宋_GB2312" w:cs="仿宋_GB2312"/>
          <w:sz w:val="32"/>
          <w:szCs w:val="32"/>
          <w:lang w:eastAsia="zh-CN"/>
        </w:rPr>
        <w:t>2019</w:t>
      </w:r>
      <w:r>
        <w:rPr>
          <w:rFonts w:hint="eastAsia" w:ascii="仿宋_GB2312" w:hAnsi="仿宋_GB2312" w:eastAsia="仿宋_GB2312" w:cs="仿宋_GB2312"/>
          <w:sz w:val="32"/>
          <w:szCs w:val="32"/>
        </w:rPr>
        <w:t>年度区级预算支出绩效自评工作的通知》（盘财〔20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等文件。</w:t>
      </w:r>
    </w:p>
    <w:p w14:paraId="6E857BC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（2）项目资料</w:t>
      </w:r>
    </w:p>
    <w:p w14:paraId="2D7034F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w:t>
      </w:r>
      <w:r>
        <w:rPr>
          <w:rFonts w:hint="eastAsia" w:ascii="仿宋_GB2312" w:hAnsi="仿宋" w:eastAsia="仿宋_GB2312" w:cs="宋体"/>
          <w:color w:val="333333"/>
          <w:kern w:val="0"/>
          <w:sz w:val="32"/>
          <w:szCs w:val="32"/>
          <w:lang w:eastAsia="zh-CN"/>
        </w:rPr>
        <w:t>，</w:t>
      </w:r>
      <w:r>
        <w:rPr>
          <w:rFonts w:hint="eastAsia" w:ascii="仿宋_GB2312" w:hAnsi="仿宋" w:eastAsia="仿宋_GB2312" w:cs="宋体"/>
          <w:color w:val="333333"/>
          <w:kern w:val="0"/>
          <w:sz w:val="32"/>
          <w:szCs w:val="32"/>
        </w:rPr>
        <w:t>项目相关支出合同等。</w:t>
      </w:r>
    </w:p>
    <w:p w14:paraId="1009A7D8">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（3）财务资料及相关制度和标准</w:t>
      </w:r>
    </w:p>
    <w:p w14:paraId="69BE007E">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14:paraId="063A01E8">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《中华人民共和国会计法》《</w:t>
      </w:r>
      <w:r>
        <w:rPr>
          <w:rFonts w:hint="eastAsia" w:ascii="仿宋_GB2312" w:hAnsi="仿宋" w:eastAsia="仿宋_GB2312" w:cs="宋体"/>
          <w:color w:val="333333"/>
          <w:kern w:val="0"/>
          <w:sz w:val="32"/>
          <w:szCs w:val="32"/>
          <w:lang w:eastAsia="zh-CN"/>
        </w:rPr>
        <w:t>事业</w:t>
      </w:r>
      <w:r>
        <w:rPr>
          <w:rFonts w:hint="eastAsia" w:ascii="仿宋_GB2312" w:hAnsi="仿宋" w:eastAsia="仿宋_GB2312" w:cs="宋体"/>
          <w:color w:val="333333"/>
          <w:kern w:val="0"/>
          <w:sz w:val="32"/>
          <w:szCs w:val="32"/>
        </w:rPr>
        <w:t>单位会计制度》等。</w:t>
      </w:r>
    </w:p>
    <w:p w14:paraId="25FFC81C">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6" w:name="_Toc22709"/>
      <w:r>
        <w:rPr>
          <w:rFonts w:hint="eastAsia" w:ascii="楷体_GB2312" w:eastAsia="楷体_GB2312" w:hAnsiTheme="majorHAnsi" w:cstheme="majorBidi"/>
          <w:kern w:val="2"/>
          <w:sz w:val="32"/>
          <w:szCs w:val="32"/>
        </w:rPr>
        <w:t>（二）绩效评价工作方案制定过程</w:t>
      </w:r>
      <w:bookmarkEnd w:id="16"/>
    </w:p>
    <w:p w14:paraId="697A922B">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1.前期调研</w:t>
      </w:r>
    </w:p>
    <w:p w14:paraId="07BB11F7">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14:paraId="3C17149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2.研究文件</w:t>
      </w:r>
    </w:p>
    <w:p w14:paraId="04BAC5FC">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盘龙区区级部门预算绩效自评管理暂行办法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《昆明市盘龙区财政局关于开展</w:t>
      </w:r>
      <w:r>
        <w:rPr>
          <w:rFonts w:hint="eastAsia" w:ascii="仿宋_GB2312" w:hAnsi="仿宋_GB2312" w:eastAsia="仿宋_GB2312" w:cs="仿宋_GB2312"/>
          <w:sz w:val="32"/>
          <w:szCs w:val="32"/>
          <w:lang w:eastAsia="zh-CN"/>
        </w:rPr>
        <w:t>2019</w:t>
      </w:r>
      <w:r>
        <w:rPr>
          <w:rFonts w:hint="eastAsia" w:ascii="仿宋_GB2312" w:hAnsi="仿宋_GB2312" w:eastAsia="仿宋_GB2312" w:cs="仿宋_GB2312"/>
          <w:sz w:val="32"/>
          <w:szCs w:val="32"/>
        </w:rPr>
        <w:t>年度区级预算支出绩效自评工作的通知》（盘财〔20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进行了认真研究，吃透文件精神，以确保绩效评价工作符合区财政局的相关要求。</w:t>
      </w:r>
    </w:p>
    <w:p w14:paraId="1418ED9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3.绩效评价指标体系及工作方案的设计</w:t>
      </w:r>
    </w:p>
    <w:p w14:paraId="71F4F50A">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14:paraId="257E12D0">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7" w:name="_Toc23046"/>
      <w:r>
        <w:rPr>
          <w:rFonts w:hint="eastAsia" w:ascii="楷体_GB2312" w:eastAsia="楷体_GB2312" w:hAnsiTheme="majorHAnsi" w:cstheme="majorBidi"/>
          <w:kern w:val="2"/>
          <w:sz w:val="32"/>
          <w:szCs w:val="32"/>
        </w:rPr>
        <w:t>（三）绩效评价原则及评价方法</w:t>
      </w:r>
      <w:bookmarkEnd w:id="17"/>
    </w:p>
    <w:p w14:paraId="5FAA51BD">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1.绩效评价原则</w:t>
      </w:r>
    </w:p>
    <w:p w14:paraId="071BF7A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评价工作组秉承科学规范、客观公正、定性定量的原则，采取计划标准、历史标准相结合的方式开展绩效评价。</w:t>
      </w:r>
    </w:p>
    <w:p w14:paraId="51824B7D">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2.绩效评价方法</w:t>
      </w:r>
    </w:p>
    <w:p w14:paraId="0BC47BCC">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此次评价采用现场抽查、随机调查、文献查阅等方式进行，采取了以下几种评价方法。</w:t>
      </w:r>
    </w:p>
    <w:p w14:paraId="33BA046B">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比较分析法：把两个相互联系的指标数据加以比较分析，借以做出程度性判断，分绝对数比较和相对数比较，如将实际成本与预算成本相比较。 </w:t>
      </w:r>
    </w:p>
    <w:p w14:paraId="70ADBDF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访谈法：随机访谈了相关工作人员，根据被询问者的答复搜集客观的、不带偏见的事实材料和评语。 </w:t>
      </w:r>
    </w:p>
    <w:p w14:paraId="0B4E4787">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抽查法：抽查全部资金到位情况等。</w:t>
      </w:r>
    </w:p>
    <w:p w14:paraId="0A2CA895">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问卷调查法：围绕财务制度执行情况，相关管理办法是否执行等情况向相关人员开展广泛调查，获取第一手资料。</w:t>
      </w:r>
    </w:p>
    <w:p w14:paraId="06F2087F">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8" w:name="_Toc17021"/>
      <w:r>
        <w:rPr>
          <w:rFonts w:hint="eastAsia" w:ascii="楷体_GB2312" w:eastAsia="楷体_GB2312" w:hAnsiTheme="majorHAnsi" w:cstheme="majorBidi"/>
          <w:kern w:val="2"/>
          <w:sz w:val="32"/>
          <w:szCs w:val="32"/>
        </w:rPr>
        <w:t>(四) 绩效评价实施过程</w:t>
      </w:r>
      <w:bookmarkEnd w:id="18"/>
    </w:p>
    <w:p w14:paraId="57C16D8E">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数据填报和采集</w:t>
      </w:r>
    </w:p>
    <w:p w14:paraId="204B12B3">
      <w:pPr>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评价组严格按照昆明市盘龙区财政局关于印发《盘龙区区级部门预算绩效自评管理暂行办法》的要求，结合本单位项目支出财务资料和</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决算资料进行相关数据采集和填报。</w:t>
      </w:r>
    </w:p>
    <w:p w14:paraId="5CAB9611">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社会调查</w:t>
      </w:r>
    </w:p>
    <w:p w14:paraId="46B5D0AF">
      <w:pPr>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根据本项目的具体情况，本单位项目组成员针对本项目设计调查问卷，对本项目受益对象随机发放并收回了</w:t>
      </w:r>
      <w:r>
        <w:rPr>
          <w:rFonts w:hint="eastAsia" w:ascii="仿宋_GB2312" w:hAnsi="仿宋" w:eastAsia="仿宋_GB2312" w:cs="宋体"/>
          <w:color w:val="333333"/>
          <w:kern w:val="0"/>
          <w:sz w:val="32"/>
          <w:szCs w:val="32"/>
          <w:lang w:val="en-US" w:eastAsia="zh-CN"/>
        </w:rPr>
        <w:t>50</w:t>
      </w:r>
      <w:r>
        <w:rPr>
          <w:rFonts w:hint="eastAsia" w:ascii="仿宋_GB2312" w:hAnsi="仿宋" w:eastAsia="仿宋_GB2312" w:cs="宋体"/>
          <w:color w:val="333333"/>
          <w:kern w:val="0"/>
          <w:sz w:val="32"/>
          <w:szCs w:val="32"/>
        </w:rPr>
        <w:t>份有效调查问卷，平均得分</w:t>
      </w:r>
      <w:r>
        <w:rPr>
          <w:rFonts w:hint="eastAsia" w:ascii="仿宋_GB2312" w:hAnsi="仿宋" w:eastAsia="仿宋_GB2312" w:cs="宋体"/>
          <w:color w:val="333333"/>
          <w:kern w:val="0"/>
          <w:sz w:val="32"/>
          <w:szCs w:val="32"/>
          <w:lang w:val="en-US" w:eastAsia="zh-CN"/>
        </w:rPr>
        <w:t>9</w:t>
      </w:r>
      <w:r>
        <w:rPr>
          <w:rFonts w:hint="eastAsia" w:ascii="仿宋_GB2312" w:hAnsi="仿宋" w:eastAsia="仿宋_GB2312" w:cs="宋体"/>
          <w:color w:val="333333"/>
          <w:kern w:val="0"/>
          <w:sz w:val="32"/>
          <w:szCs w:val="32"/>
        </w:rPr>
        <w:t>分。</w:t>
      </w:r>
      <w:r>
        <w:rPr>
          <w:rFonts w:hint="eastAsia" w:ascii="仿宋_GB2312" w:hAnsi="仿宋" w:eastAsia="仿宋_GB2312" w:cs="宋体"/>
          <w:color w:val="333333"/>
          <w:kern w:val="0"/>
          <w:sz w:val="32"/>
          <w:szCs w:val="32"/>
        </w:rPr>
        <w:br w:type="textWrapping"/>
      </w:r>
      <w:r>
        <w:rPr>
          <w:rFonts w:hint="eastAsia" w:ascii="仿宋_GB2312" w:hAnsi="仿宋" w:eastAsia="仿宋_GB2312" w:cs="宋体"/>
          <w:color w:val="333333"/>
          <w:kern w:val="0"/>
          <w:sz w:val="32"/>
          <w:szCs w:val="32"/>
          <w:lang w:val="en-US" w:eastAsia="zh-CN"/>
        </w:rPr>
        <w:t xml:space="preserve">  </w:t>
      </w:r>
      <w:r>
        <w:rPr>
          <w:rFonts w:hint="eastAsia" w:ascii="仿宋_GB2312" w:hAnsi="仿宋" w:eastAsia="仿宋_GB2312" w:cs="宋体"/>
          <w:color w:val="333333"/>
          <w:kern w:val="0"/>
          <w:sz w:val="32"/>
          <w:szCs w:val="32"/>
        </w:rPr>
        <w:t>  </w:t>
      </w:r>
      <w:r>
        <w:rPr>
          <w:rFonts w:hint="eastAsia" w:ascii="仿宋_GB2312" w:hAnsi="仿宋" w:eastAsia="仿宋_GB2312" w:cs="宋体"/>
          <w:color w:val="333333"/>
          <w:kern w:val="0"/>
          <w:sz w:val="32"/>
          <w:szCs w:val="32"/>
          <w:lang w:val="en-US" w:eastAsia="zh-CN"/>
        </w:rPr>
        <w:t>3.</w:t>
      </w:r>
      <w:r>
        <w:rPr>
          <w:rFonts w:hint="eastAsia" w:ascii="仿宋_GB2312" w:hAnsi="仿宋" w:eastAsia="仿宋_GB2312" w:cs="宋体"/>
          <w:color w:val="333333"/>
          <w:kern w:val="0"/>
          <w:sz w:val="32"/>
          <w:szCs w:val="32"/>
        </w:rPr>
        <w:t>数据分析和撰写报告</w:t>
      </w:r>
    </w:p>
    <w:p w14:paraId="69A6152D">
      <w:pPr>
        <w:pageBreakBefore w:val="0"/>
        <w:widowControl/>
        <w:shd w:val="clear" w:color="auto" w:fill="FFFFFF"/>
        <w:kinsoku/>
        <w:wordWrap/>
        <w:overflowPunct/>
        <w:topLinePunct w:val="0"/>
        <w:autoSpaceDE/>
        <w:autoSpaceDN/>
        <w:bidi w:val="0"/>
        <w:adjustRightInd/>
        <w:snapToGrid/>
        <w:spacing w:line="50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14:paraId="17F53B6F">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19" w:name="_Toc30282"/>
      <w:r>
        <w:rPr>
          <w:rFonts w:hint="eastAsia" w:ascii="楷体_GB2312" w:eastAsia="楷体_GB2312" w:hAnsiTheme="majorHAnsi" w:cstheme="majorBidi"/>
          <w:kern w:val="2"/>
          <w:sz w:val="32"/>
          <w:szCs w:val="32"/>
        </w:rPr>
        <w:t>（五）绩效评价的局限性</w:t>
      </w:r>
      <w:bookmarkEnd w:id="19"/>
    </w:p>
    <w:p w14:paraId="50AA3880">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由于该项目为经费类项目，故以本单位实际开展日常工作情况为绩效效果进行考评，且资金管理由本单位进行统一管理。</w:t>
      </w:r>
    </w:p>
    <w:p w14:paraId="26BFE353">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20" w:name="_Toc15354"/>
      <w:r>
        <w:rPr>
          <w:rFonts w:hint="eastAsia" w:ascii="黑体" w:hAnsi="黑体" w:eastAsia="黑体" w:cstheme="minorBidi"/>
          <w:kern w:val="44"/>
          <w:sz w:val="32"/>
          <w:szCs w:val="32"/>
        </w:rPr>
        <w:t>三、评价结论</w:t>
      </w:r>
      <w:r>
        <w:rPr>
          <w:rFonts w:hint="eastAsia" w:ascii="黑体" w:hAnsi="黑体" w:eastAsia="黑体" w:cstheme="minorBidi"/>
          <w:kern w:val="44"/>
          <w:sz w:val="32"/>
          <w:szCs w:val="32"/>
          <w:lang w:eastAsia="zh-CN"/>
        </w:rPr>
        <w:t>和</w:t>
      </w:r>
      <w:r>
        <w:rPr>
          <w:rFonts w:hint="eastAsia" w:ascii="黑体" w:hAnsi="黑体" w:eastAsia="黑体" w:cstheme="minorBidi"/>
          <w:kern w:val="44"/>
          <w:sz w:val="32"/>
          <w:szCs w:val="32"/>
        </w:rPr>
        <w:t>绩效分析</w:t>
      </w:r>
      <w:bookmarkEnd w:id="20"/>
    </w:p>
    <w:p w14:paraId="3E9E6C3E">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1" w:name="_Toc3472"/>
      <w:r>
        <w:rPr>
          <w:rFonts w:hint="eastAsia" w:ascii="楷体_GB2312" w:eastAsia="楷体_GB2312" w:hAnsiTheme="majorHAnsi" w:cstheme="majorBidi"/>
          <w:kern w:val="2"/>
          <w:sz w:val="32"/>
          <w:szCs w:val="32"/>
        </w:rPr>
        <w:t>(一)评价结论</w:t>
      </w:r>
      <w:bookmarkEnd w:id="21"/>
    </w:p>
    <w:p w14:paraId="79B0935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 xml:space="preserve">评价结果 </w:t>
      </w:r>
    </w:p>
    <w:p w14:paraId="0AE9A4B0">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7228EA03">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综上，根据《盘龙区区级部门预算绩效自评管理暂行办法》，项目绩效评价得分为95分，自评结果为优。</w:t>
      </w:r>
    </w:p>
    <w:p w14:paraId="3737F38D">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主要绩效</w:t>
      </w:r>
    </w:p>
    <w:p w14:paraId="2C613FEE">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w:t>
      </w:r>
      <w:r>
        <w:rPr>
          <w:rFonts w:hint="eastAsia" w:ascii="仿宋_GB2312" w:hAnsi="仿宋" w:eastAsia="仿宋_GB2312" w:cs="宋体"/>
          <w:color w:val="333333"/>
          <w:kern w:val="0"/>
          <w:sz w:val="32"/>
          <w:szCs w:val="32"/>
          <w:lang w:eastAsia="zh-CN"/>
        </w:rPr>
        <w:t>我单位管理的集中办公区、住宅区的安保、保洁、绿化人员费用及机关食堂、会议服务、水电维修等劳务派遣人员的工资、社保、加班、管理费用等支出</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eastAsia="zh-CN"/>
        </w:rPr>
        <w:t>机关事务管理服务中心2019年</w:t>
      </w:r>
      <w:r>
        <w:rPr>
          <w:rFonts w:hint="eastAsia" w:ascii="仿宋_GB2312" w:hAnsi="仿宋" w:eastAsia="仿宋_GB2312" w:cs="宋体"/>
          <w:color w:val="333333"/>
          <w:kern w:val="0"/>
          <w:sz w:val="32"/>
          <w:szCs w:val="32"/>
        </w:rPr>
        <w:t>度完成工作效益较好，保证了</w:t>
      </w:r>
      <w:r>
        <w:rPr>
          <w:rFonts w:hint="eastAsia" w:ascii="仿宋_GB2312" w:hAnsi="仿宋" w:eastAsia="仿宋_GB2312" w:cs="宋体"/>
          <w:color w:val="333333"/>
          <w:kern w:val="0"/>
          <w:sz w:val="32"/>
          <w:szCs w:val="32"/>
          <w:lang w:eastAsia="zh-CN"/>
        </w:rPr>
        <w:t>区委、区政府各项</w:t>
      </w:r>
      <w:r>
        <w:rPr>
          <w:rFonts w:hint="eastAsia" w:ascii="仿宋_GB2312" w:hAnsi="仿宋" w:eastAsia="仿宋_GB2312" w:cs="宋体"/>
          <w:color w:val="333333"/>
          <w:kern w:val="0"/>
          <w:sz w:val="32"/>
          <w:szCs w:val="32"/>
        </w:rPr>
        <w:t>工作的顺利开展。</w:t>
      </w:r>
    </w:p>
    <w:p w14:paraId="3670F5D7">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2" w:name="_Toc7949"/>
      <w:r>
        <w:rPr>
          <w:rFonts w:hint="eastAsia" w:ascii="楷体_GB2312" w:eastAsia="楷体_GB2312" w:hAnsiTheme="majorHAnsi" w:cstheme="majorBidi"/>
          <w:kern w:val="2"/>
          <w:sz w:val="32"/>
          <w:szCs w:val="32"/>
        </w:rPr>
        <w:t>（二）具体绩效分析</w:t>
      </w:r>
      <w:bookmarkEnd w:id="22"/>
    </w:p>
    <w:p w14:paraId="459037A5">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具体详见附件1（业务经费项目支出绩效评价共性指标体系）</w:t>
      </w:r>
      <w:bookmarkStart w:id="23" w:name="_Toc522800820"/>
      <w:bookmarkEnd w:id="23"/>
    </w:p>
    <w:p w14:paraId="116FD93C">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24" w:name="_Toc19786"/>
      <w:r>
        <w:rPr>
          <w:rFonts w:hint="eastAsia" w:ascii="黑体" w:hAnsi="黑体" w:eastAsia="黑体" w:cstheme="minorBidi"/>
          <w:kern w:val="44"/>
          <w:sz w:val="32"/>
          <w:szCs w:val="32"/>
        </w:rPr>
        <w:t>四、成本效益分析</w:t>
      </w:r>
      <w:bookmarkEnd w:id="24"/>
    </w:p>
    <w:p w14:paraId="32632C5A">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5" w:name="_Toc31269"/>
      <w:r>
        <w:rPr>
          <w:rFonts w:hint="eastAsia" w:ascii="楷体_GB2312" w:eastAsia="楷体_GB2312" w:hAnsiTheme="majorHAnsi" w:cstheme="majorBidi"/>
          <w:kern w:val="2"/>
          <w:sz w:val="32"/>
          <w:szCs w:val="32"/>
        </w:rPr>
        <w:t>（一）项目经济性分析</w:t>
      </w:r>
      <w:bookmarkEnd w:id="25"/>
    </w:p>
    <w:p w14:paraId="4BE539E8">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项目成本控制情况</w:t>
      </w:r>
    </w:p>
    <w:p w14:paraId="2BCA1A2E">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根据昆明市盘龙区财政局昆明市盘龙区财政局《关于下达盘龙区</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部门预算的批复》（盘财〔2018〕1号）下达</w:t>
      </w:r>
      <w:r>
        <w:rPr>
          <w:rFonts w:hint="eastAsia" w:ascii="仿宋_GB2312" w:hAnsi="仿宋" w:eastAsia="仿宋_GB2312" w:cs="宋体"/>
          <w:color w:val="333333"/>
          <w:kern w:val="0"/>
          <w:sz w:val="32"/>
          <w:szCs w:val="32"/>
          <w:lang w:eastAsia="zh-CN"/>
        </w:rPr>
        <w:t>机关事务管理服务中心2019年</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eastAsia="zh-CN"/>
        </w:rPr>
        <w:t>机关后勤服务综合管理费</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val="en-US" w:eastAsia="zh-CN"/>
        </w:rPr>
        <w:t>8913800</w:t>
      </w:r>
      <w:r>
        <w:rPr>
          <w:rFonts w:hint="eastAsia" w:ascii="仿宋_GB2312" w:hAnsi="仿宋" w:eastAsia="仿宋_GB2312" w:cs="宋体"/>
          <w:color w:val="333333"/>
          <w:kern w:val="0"/>
          <w:sz w:val="32"/>
          <w:szCs w:val="32"/>
        </w:rPr>
        <w:t>，本次绩效评价实际到位资金</w:t>
      </w:r>
      <w:r>
        <w:rPr>
          <w:rFonts w:hint="eastAsia" w:ascii="仿宋_GB2312" w:hAnsi="仿宋" w:eastAsia="仿宋_GB2312" w:cs="宋体"/>
          <w:color w:val="333333"/>
          <w:kern w:val="0"/>
          <w:sz w:val="32"/>
          <w:szCs w:val="32"/>
          <w:lang w:val="en-US" w:eastAsia="zh-CN"/>
        </w:rPr>
        <w:t>8913800</w:t>
      </w:r>
      <w:r>
        <w:rPr>
          <w:rFonts w:hint="eastAsia" w:ascii="仿宋_GB2312" w:hAnsi="仿宋" w:eastAsia="仿宋_GB2312" w:cs="宋体"/>
          <w:color w:val="333333"/>
          <w:kern w:val="0"/>
          <w:sz w:val="32"/>
          <w:szCs w:val="32"/>
        </w:rPr>
        <w:t>，用于</w:t>
      </w:r>
      <w:r>
        <w:rPr>
          <w:rFonts w:hint="eastAsia" w:ascii="仿宋_GB2312" w:hAnsi="仿宋" w:eastAsia="仿宋_GB2312" w:cs="宋体"/>
          <w:color w:val="333333"/>
          <w:kern w:val="0"/>
          <w:sz w:val="32"/>
          <w:szCs w:val="32"/>
          <w:lang w:eastAsia="zh-CN"/>
        </w:rPr>
        <w:t>安保、保洁、绿化人员费用及机关食堂、会议服务、水电维修等劳务派遣人员的工资、社保、加班、管理费用等支出</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eastAsia="zh-CN"/>
        </w:rPr>
        <w:t>机关事务管理服务中心</w:t>
      </w:r>
      <w:r>
        <w:rPr>
          <w:rFonts w:hint="eastAsia" w:ascii="仿宋_GB2312" w:hAnsi="仿宋" w:eastAsia="仿宋_GB2312" w:cs="宋体"/>
          <w:color w:val="333333"/>
          <w:kern w:val="0"/>
          <w:sz w:val="32"/>
          <w:szCs w:val="32"/>
        </w:rPr>
        <w:t>相关财务资料显示资金支出</w:t>
      </w:r>
      <w:r>
        <w:rPr>
          <w:rFonts w:hint="eastAsia" w:ascii="仿宋_GB2312" w:hAnsi="仿宋" w:eastAsia="仿宋_GB2312" w:cs="宋体"/>
          <w:color w:val="333333"/>
          <w:kern w:val="0"/>
          <w:sz w:val="32"/>
          <w:szCs w:val="32"/>
          <w:lang w:val="en-US" w:eastAsia="zh-CN"/>
        </w:rPr>
        <w:t>8913800</w:t>
      </w:r>
      <w:r>
        <w:rPr>
          <w:rFonts w:hint="eastAsia" w:ascii="仿宋_GB2312" w:hAnsi="仿宋" w:eastAsia="仿宋_GB2312" w:cs="宋体"/>
          <w:color w:val="333333"/>
          <w:kern w:val="0"/>
          <w:sz w:val="32"/>
          <w:szCs w:val="32"/>
        </w:rPr>
        <w:t>元，项目资金使用控制在预算范围内。</w:t>
      </w:r>
    </w:p>
    <w:p w14:paraId="0062E295">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项目的效率性分析</w:t>
      </w:r>
    </w:p>
    <w:p w14:paraId="5E053520">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根据相关的项目资料显示，截止</w:t>
      </w:r>
      <w:r>
        <w:rPr>
          <w:rFonts w:hint="eastAsia" w:ascii="仿宋_GB2312" w:hAnsi="仿宋" w:eastAsia="仿宋_GB2312" w:cs="宋体"/>
          <w:color w:val="333333"/>
          <w:kern w:val="0"/>
          <w:sz w:val="32"/>
          <w:szCs w:val="32"/>
          <w:lang w:eastAsia="zh-CN"/>
        </w:rPr>
        <w:t>2019年</w:t>
      </w:r>
      <w:r>
        <w:rPr>
          <w:rFonts w:hint="eastAsia" w:ascii="仿宋_GB2312" w:hAnsi="仿宋" w:eastAsia="仿宋_GB2312" w:cs="宋体"/>
          <w:color w:val="333333"/>
          <w:kern w:val="0"/>
          <w:sz w:val="32"/>
          <w:szCs w:val="32"/>
        </w:rPr>
        <w:t>12月31日，本单位各项工作均有序进行。</w:t>
      </w:r>
    </w:p>
    <w:p w14:paraId="60B03F0D">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6" w:name="_Toc28106"/>
      <w:r>
        <w:rPr>
          <w:rFonts w:hint="eastAsia" w:ascii="楷体_GB2312" w:eastAsia="楷体_GB2312" w:hAnsiTheme="majorHAnsi" w:cstheme="majorBidi"/>
          <w:kern w:val="2"/>
          <w:sz w:val="32"/>
          <w:szCs w:val="32"/>
        </w:rPr>
        <w:t>（二）项目的效益性分析</w:t>
      </w:r>
      <w:bookmarkEnd w:id="26"/>
    </w:p>
    <w:p w14:paraId="526FCAB0">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经济效益</w:t>
      </w:r>
    </w:p>
    <w:p w14:paraId="5CFAE35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机关各办公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、住宅区保安、绿化、维护管理是一项后勤保障工作，其直接和间接的经济效益难以计算。在本项目的实施过程中，其直接和间接的经济效益主要体现在以下几个方面：</w:t>
      </w:r>
    </w:p>
    <w:p w14:paraId="26BCBCC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盘龙区机关事务</w:t>
      </w:r>
      <w:r>
        <w:rPr>
          <w:rFonts w:hint="eastAsia" w:ascii="仿宋_GB2312" w:hAnsi="仿宋_GB2312" w:eastAsia="仿宋_GB2312" w:cs="仿宋_GB2312"/>
          <w:sz w:val="32"/>
          <w:szCs w:val="32"/>
          <w:lang w:eastAsia="zh-CN"/>
        </w:rPr>
        <w:t>管理服务中心</w:t>
      </w:r>
      <w:r>
        <w:rPr>
          <w:rFonts w:hint="eastAsia" w:ascii="仿宋_GB2312" w:hAnsi="仿宋_GB2312" w:eastAsia="仿宋_GB2312" w:cs="仿宋_GB2312"/>
          <w:sz w:val="32"/>
          <w:szCs w:val="32"/>
        </w:rPr>
        <w:t>分别</w:t>
      </w:r>
      <w:r>
        <w:rPr>
          <w:rFonts w:hint="eastAsia" w:ascii="仿宋_GB2312" w:hAnsi="仿宋_GB2312" w:eastAsia="仿宋_GB2312" w:cs="仿宋_GB2312"/>
          <w:sz w:val="32"/>
          <w:szCs w:val="32"/>
          <w:lang w:eastAsia="zh-CN"/>
        </w:rPr>
        <w:t>六个办公区</w:t>
      </w:r>
      <w:r>
        <w:rPr>
          <w:rFonts w:hint="eastAsia" w:ascii="仿宋_GB2312" w:hAnsi="仿宋_GB2312" w:eastAsia="仿宋_GB2312" w:cs="仿宋_GB2312"/>
          <w:sz w:val="32"/>
          <w:szCs w:val="32"/>
        </w:rPr>
        <w:t>的保安、保洁、绿化采取</w:t>
      </w:r>
      <w:r>
        <w:rPr>
          <w:rFonts w:hint="eastAsia" w:ascii="仿宋_GB2312" w:hAnsi="仿宋_GB2312" w:eastAsia="仿宋_GB2312" w:cs="仿宋_GB2312"/>
          <w:sz w:val="32"/>
          <w:szCs w:val="32"/>
          <w:lang w:eastAsia="zh-CN"/>
        </w:rPr>
        <w:t>购买服务的方式</w:t>
      </w:r>
      <w:r>
        <w:rPr>
          <w:rFonts w:hint="eastAsia" w:ascii="仿宋_GB2312" w:hAnsi="仿宋_GB2312" w:eastAsia="仿宋_GB2312" w:cs="仿宋_GB2312"/>
          <w:sz w:val="32"/>
          <w:szCs w:val="32"/>
        </w:rPr>
        <w:t>，聘请专业的保安公司及物业公司。通过保安、物业外包，集规模优势将保安和物业公司资源充分社会化配置并优化重组。通过公司完善的用人管理模式和业务管理模式，最大限度地降低机关事务局人力资源利用成本和风险。如：工资薪酬的发放、社会保险的代收代缴、合同的签订、续订和解除，相关问题和争议的处理、日常一系列的人事管理等全部由聘请的专业公司负责。这样机关事务局不但提高了管理水平和服务水平，还有效地降低人员运行成本。</w:t>
      </w:r>
    </w:p>
    <w:p w14:paraId="0C4F901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ascii="仿宋_GB2312" w:hAnsi="仿宋" w:eastAsia="仿宋_GB2312" w:cs="宋体"/>
          <w:color w:val="333333"/>
          <w:kern w:val="0"/>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盘龙区政府机关办公楼的日常维护在施工过程中均加强了对工程投资成本的控制，聘请工程造价</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对工程结算进行了审核，节约了部分工程成本。</w:t>
      </w:r>
    </w:p>
    <w:p w14:paraId="42619876">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社会效益</w:t>
      </w:r>
    </w:p>
    <w:p w14:paraId="3AD22C5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机关各办公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、住宅区保安、绿化、维护管理工作是</w:t>
      </w:r>
      <w:r>
        <w:rPr>
          <w:rFonts w:hint="eastAsia" w:ascii="仿宋_GB2312" w:hAnsi="仿宋_GB2312" w:eastAsia="仿宋_GB2312" w:cs="仿宋_GB2312"/>
          <w:sz w:val="32"/>
          <w:szCs w:val="32"/>
          <w:lang w:eastAsia="zh-CN"/>
        </w:rPr>
        <w:t>区委、区政府各项</w:t>
      </w:r>
      <w:r>
        <w:rPr>
          <w:rFonts w:hint="eastAsia" w:ascii="仿宋_GB2312" w:hAnsi="仿宋_GB2312" w:eastAsia="仿宋_GB2312" w:cs="仿宋_GB2312"/>
          <w:sz w:val="32"/>
          <w:szCs w:val="32"/>
        </w:rPr>
        <w:t>工作正常运行的重要保障，社会效益主要体现在以下几方面：</w:t>
      </w:r>
    </w:p>
    <w:p w14:paraId="7F14CE3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的保安工作是单位各项工作得以正常运行的必要条件。保安是保护国家和人民的财产及人身安全，维护单位的正常治安秩序。保安工作做好了，就能有效的预防事故和案件的发生，减少和消除事故、案件对单位各项工作的干扰和破坏，维护工作、会议等活动的有序开展，为机关单位创造一个安全、有序的办公环境。</w:t>
      </w:r>
    </w:p>
    <w:p w14:paraId="5EB7FEF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了工作环境品位，为办公人员提供清洁、优美、舒适、安全的生活和工作环境。实施专业化物业保洁、绿化，可以营造和维持整洁优美、方便舒适、安全健康的办公环境及居住环境。而且，从社会学来说，物业良好的自然环境和人文环境，可以减少业主、使用人的烦躁、焦虑等不良情绪，乃至降低某些危害社会的不良行为的发生几率，还能陶冶人们高尚的情操，从而净化人们的心灵，促进精神文明建设。</w:t>
      </w:r>
    </w:p>
    <w:p w14:paraId="24BE830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对办公楼管理维护有利于维护政府办公楼的整体形象，还可以延长房屋的物理寿命，排除安全隐患。良好的办公楼管理维护能够延长房屋的物理寿命，降低办公楼的物理损耗速度，避免了办公楼使用价值的超前损耗，起到了保值、增值的作用。另外，优秀的办公楼管理维护还使得物业的设备及功能等始终保持着与社会发展的同步性，延长了房屋的经济寿命。</w:t>
      </w:r>
    </w:p>
    <w:p w14:paraId="45C9717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机关后勤保障工作有利于增加就业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后勤保障工作就业容量大,对扩大就业具有重要作用。目前, 后勤保障工作吸纳的劳动力中大部分来自企事业单位下岗分流人员、农村剩余劳动力及部队复转军人等,对于缓解农村剩余劳动力向非农产业的转移和产业结构调整中的就业矛盾作出了重要贡献，对增加就业将起到积极的推动作用。</w:t>
      </w:r>
    </w:p>
    <w:p w14:paraId="1E18D052">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3.</w:t>
      </w:r>
      <w:r>
        <w:rPr>
          <w:rFonts w:hint="eastAsia" w:ascii="仿宋_GB2312" w:hAnsi="仿宋" w:eastAsia="仿宋_GB2312" w:cs="宋体"/>
          <w:color w:val="333333"/>
          <w:kern w:val="0"/>
          <w:sz w:val="32"/>
          <w:szCs w:val="32"/>
        </w:rPr>
        <w:t>可持续影响</w:t>
      </w:r>
    </w:p>
    <w:p w14:paraId="7BA7784F">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本项目的实施，促进</w:t>
      </w:r>
      <w:r>
        <w:rPr>
          <w:rFonts w:hint="eastAsia" w:ascii="仿宋_GB2312" w:hAnsi="仿宋" w:eastAsia="仿宋_GB2312" w:cs="宋体"/>
          <w:color w:val="333333"/>
          <w:kern w:val="0"/>
          <w:sz w:val="32"/>
          <w:szCs w:val="32"/>
          <w:lang w:eastAsia="zh-CN"/>
        </w:rPr>
        <w:t>了区委、区政府</w:t>
      </w:r>
      <w:r>
        <w:rPr>
          <w:rFonts w:hint="eastAsia" w:ascii="仿宋_GB2312" w:hAnsi="仿宋" w:eastAsia="仿宋_GB2312" w:cs="宋体"/>
          <w:color w:val="333333"/>
          <w:kern w:val="0"/>
          <w:sz w:val="32"/>
          <w:szCs w:val="32"/>
        </w:rPr>
        <w:t>各项事业健康有序发展，保障</w:t>
      </w:r>
      <w:r>
        <w:rPr>
          <w:rFonts w:hint="eastAsia" w:ascii="仿宋_GB2312" w:hAnsi="仿宋" w:eastAsia="仿宋_GB2312" w:cs="宋体"/>
          <w:color w:val="333333"/>
          <w:kern w:val="0"/>
          <w:sz w:val="32"/>
          <w:szCs w:val="32"/>
          <w:lang w:eastAsia="zh-CN"/>
        </w:rPr>
        <w:t>了区委、区政府</w:t>
      </w:r>
      <w:r>
        <w:rPr>
          <w:rFonts w:hint="eastAsia" w:ascii="仿宋_GB2312" w:hAnsi="仿宋" w:eastAsia="仿宋_GB2312" w:cs="宋体"/>
          <w:color w:val="333333"/>
          <w:kern w:val="0"/>
          <w:sz w:val="32"/>
          <w:szCs w:val="32"/>
        </w:rPr>
        <w:t>工作的延续性。</w:t>
      </w:r>
      <w:r>
        <w:rPr>
          <w:rFonts w:hint="eastAsia" w:ascii="仿宋_GB2312" w:hAnsi="仿宋" w:eastAsia="仿宋_GB2312" w:cs="宋体"/>
          <w:color w:val="333333"/>
          <w:kern w:val="0"/>
          <w:sz w:val="32"/>
          <w:szCs w:val="32"/>
          <w:lang w:eastAsia="zh-CN"/>
        </w:rPr>
        <w:t>发挥了党政机关在平安建设、环境美化、食品安全、文明交通、促进就业等方面的示范带头作用，为社会各界作出了表率。通过积极探索，不断优化政府购买服务的流程、模式等，为建设节约型政府及节约型社会奠定了基础。</w:t>
      </w:r>
    </w:p>
    <w:p w14:paraId="7C93DCF1">
      <w:pPr>
        <w:pStyle w:val="2"/>
        <w:keepNext/>
        <w:keepLines/>
        <w:pageBreakBefore w:val="0"/>
        <w:widowControl w:val="0"/>
        <w:kinsoku/>
        <w:wordWrap/>
        <w:overflowPunct/>
        <w:topLinePunct w:val="0"/>
        <w:autoSpaceDE/>
        <w:autoSpaceDN/>
        <w:bidi w:val="0"/>
        <w:adjustRightInd/>
        <w:snapToGrid/>
        <w:spacing w:before="340" w:after="330" w:line="500" w:lineRule="exact"/>
        <w:ind w:firstLine="643" w:firstLineChars="200"/>
        <w:jc w:val="both"/>
        <w:rPr>
          <w:rFonts w:ascii="黑体" w:hAnsi="黑体" w:eastAsia="黑体" w:cstheme="minorBidi"/>
          <w:kern w:val="44"/>
          <w:sz w:val="32"/>
          <w:szCs w:val="32"/>
        </w:rPr>
      </w:pPr>
      <w:bookmarkStart w:id="27" w:name="_Toc364"/>
      <w:r>
        <w:rPr>
          <w:rFonts w:hint="eastAsia" w:ascii="黑体" w:hAnsi="黑体" w:eastAsia="黑体" w:cstheme="minorBidi"/>
          <w:kern w:val="44"/>
          <w:sz w:val="32"/>
          <w:szCs w:val="32"/>
        </w:rPr>
        <w:t>五、项目主要经验及做法、存在的问题和建议</w:t>
      </w:r>
      <w:bookmarkEnd w:id="27"/>
    </w:p>
    <w:p w14:paraId="1BE1749F">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28" w:name="_Toc9030"/>
      <w:r>
        <w:rPr>
          <w:rFonts w:hint="eastAsia" w:ascii="楷体_GB2312" w:eastAsia="楷体_GB2312" w:hAnsiTheme="majorHAnsi" w:cstheme="majorBidi"/>
          <w:kern w:val="2"/>
          <w:sz w:val="32"/>
          <w:szCs w:val="32"/>
        </w:rPr>
        <w:t>（一）主要经验及做法</w:t>
      </w:r>
      <w:bookmarkEnd w:id="28"/>
    </w:p>
    <w:p w14:paraId="27C30A47">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1.强化组织领导</w:t>
      </w:r>
    </w:p>
    <w:p w14:paraId="14298A3C">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成立由部门负责人任组长的绩效评价领导小组，保证了财政支出绩效评价各项工作的顺利开展。</w:t>
      </w:r>
    </w:p>
    <w:p w14:paraId="7EEA1718">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2.加强学习，强化绩效管理的理念。</w:t>
      </w:r>
    </w:p>
    <w:p w14:paraId="4F444388">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认真学习财政部《关于推进预算绩效管理的指导意见》（财预〔2014〕416号）、云南省财政厅《云南省省级部门财政支出绩效办法》（云财预〔2016〕98号）、《盘龙区区级部门预算绩效自评管理暂行办法》</w:t>
      </w:r>
      <w:r>
        <w:rPr>
          <w:rFonts w:hint="eastAsia" w:ascii="仿宋_GB2312" w:hAnsi="仿宋" w:eastAsia="仿宋_GB2312" w:cs="宋体"/>
          <w:color w:val="333333"/>
          <w:kern w:val="0"/>
          <w:sz w:val="32"/>
          <w:szCs w:val="32"/>
          <w:lang w:eastAsia="zh-CN"/>
        </w:rPr>
        <w:t>、</w:t>
      </w:r>
      <w:r>
        <w:rPr>
          <w:rFonts w:hint="eastAsia" w:ascii="仿宋_GB2312" w:hAnsi="仿宋_GB2312" w:eastAsia="仿宋_GB2312" w:cs="仿宋_GB2312"/>
          <w:sz w:val="32"/>
          <w:szCs w:val="32"/>
        </w:rPr>
        <w:t>《昆明市盘龙区财政局关于开展</w:t>
      </w:r>
      <w:r>
        <w:rPr>
          <w:rFonts w:hint="eastAsia" w:ascii="仿宋_GB2312" w:hAnsi="仿宋_GB2312" w:eastAsia="仿宋_GB2312" w:cs="仿宋_GB2312"/>
          <w:sz w:val="32"/>
          <w:szCs w:val="32"/>
          <w:lang w:eastAsia="zh-CN"/>
        </w:rPr>
        <w:t>2019</w:t>
      </w:r>
      <w:r>
        <w:rPr>
          <w:rFonts w:hint="eastAsia" w:ascii="仿宋_GB2312" w:hAnsi="仿宋_GB2312" w:eastAsia="仿宋_GB2312" w:cs="仿宋_GB2312"/>
          <w:sz w:val="32"/>
          <w:szCs w:val="32"/>
        </w:rPr>
        <w:t>年度区级预算支出绩效自评工作的通知》（盘财〔20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相关绩效管理文件，吃透文件精神，强化绩效管理的理念</w:t>
      </w:r>
      <w:r>
        <w:rPr>
          <w:rFonts w:hint="eastAsia" w:ascii="仿宋_GB2312" w:hAnsi="仿宋" w:eastAsia="仿宋_GB2312" w:cs="宋体"/>
          <w:color w:val="333333"/>
          <w:kern w:val="0"/>
          <w:sz w:val="32"/>
          <w:szCs w:val="32"/>
          <w:lang w:eastAsia="zh-CN"/>
        </w:rPr>
        <w:t>。</w:t>
      </w:r>
    </w:p>
    <w:p w14:paraId="6A2F56D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3.创新方式，落实责任</w:t>
      </w:r>
    </w:p>
    <w:p w14:paraId="7BEA1D07">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创新管理方式，落实岗位责任制，夯实基础工作，突出工作重点，强化制度建设，推动本单位预算绩效管理各项工作齐头并进。</w:t>
      </w:r>
    </w:p>
    <w:p w14:paraId="62E7CAF7">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color w:val="auto"/>
          <w:kern w:val="2"/>
          <w:sz w:val="32"/>
          <w:szCs w:val="32"/>
          <w:u w:val="none"/>
        </w:rPr>
      </w:pPr>
      <w:bookmarkStart w:id="29" w:name="_Toc28194"/>
      <w:bookmarkStart w:id="30" w:name="_（二）存在的问题_1"/>
      <w:r>
        <w:rPr>
          <w:rFonts w:hint="eastAsia" w:ascii="楷体_GB2312" w:eastAsia="楷体_GB2312" w:hAnsiTheme="majorHAnsi" w:cstheme="majorBidi"/>
          <w:color w:val="auto"/>
          <w:kern w:val="2"/>
          <w:sz w:val="32"/>
          <w:szCs w:val="32"/>
          <w:u w:val="none"/>
        </w:rPr>
        <w:fldChar w:fldCharType="begin"/>
      </w:r>
      <w:r>
        <w:rPr>
          <w:rFonts w:hint="eastAsia" w:ascii="楷体_GB2312" w:eastAsia="楷体_GB2312" w:hAnsiTheme="majorHAnsi" w:cstheme="majorBidi"/>
          <w:color w:val="auto"/>
          <w:kern w:val="2"/>
          <w:sz w:val="32"/>
          <w:szCs w:val="32"/>
          <w:u w:val="none"/>
        </w:rPr>
        <w:instrText xml:space="preserve"> HYPERLINK \l "_（二）存在的问题_1" </w:instrText>
      </w:r>
      <w:r>
        <w:rPr>
          <w:rFonts w:hint="eastAsia" w:ascii="楷体_GB2312" w:eastAsia="楷体_GB2312" w:hAnsiTheme="majorHAnsi" w:cstheme="majorBidi"/>
          <w:color w:val="auto"/>
          <w:kern w:val="2"/>
          <w:sz w:val="32"/>
          <w:szCs w:val="32"/>
          <w:u w:val="none"/>
        </w:rPr>
        <w:fldChar w:fldCharType="separate"/>
      </w:r>
      <w:r>
        <w:rPr>
          <w:rStyle w:val="13"/>
          <w:rFonts w:hint="eastAsia" w:ascii="楷体_GB2312" w:eastAsia="楷体_GB2312" w:hAnsiTheme="majorHAnsi" w:cstheme="majorBidi"/>
          <w:color w:val="auto"/>
          <w:kern w:val="2"/>
          <w:sz w:val="32"/>
          <w:szCs w:val="32"/>
          <w:u w:val="none"/>
        </w:rPr>
        <w:t>（二）存在的问题</w:t>
      </w:r>
      <w:r>
        <w:rPr>
          <w:rFonts w:hint="eastAsia" w:ascii="楷体_GB2312" w:eastAsia="楷体_GB2312" w:hAnsiTheme="majorHAnsi" w:cstheme="majorBidi"/>
          <w:color w:val="auto"/>
          <w:kern w:val="2"/>
          <w:sz w:val="32"/>
          <w:szCs w:val="32"/>
          <w:u w:val="none"/>
        </w:rPr>
        <w:fldChar w:fldCharType="end"/>
      </w:r>
      <w:bookmarkEnd w:id="29"/>
    </w:p>
    <w:bookmarkEnd w:id="30"/>
    <w:p w14:paraId="2BB738EE">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lang w:eastAsia="zh-CN"/>
        </w:rPr>
        <w:t>机关后勤服务综合管理费主要用于保安、保洁及其他劳务派遣人员的工资等费用支出，目前我单位对这些人员和服务的监管相对薄弱，考核评价体系及相应制度欠缺</w:t>
      </w:r>
      <w:r>
        <w:rPr>
          <w:rFonts w:hint="eastAsia" w:ascii="仿宋_GB2312" w:hAnsi="仿宋" w:eastAsia="仿宋_GB2312" w:cs="宋体"/>
          <w:color w:val="333333"/>
          <w:kern w:val="0"/>
          <w:sz w:val="32"/>
          <w:szCs w:val="32"/>
        </w:rPr>
        <w:t>。</w:t>
      </w:r>
    </w:p>
    <w:p w14:paraId="426524CD">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2.为避免工作中出现矛盾，大部分人员的工资水平差距不大，致使部分人员的薪资水平与社会平均工资差异较大，使得这部分人工作积极性难以提高。</w:t>
      </w:r>
    </w:p>
    <w:p w14:paraId="2990BBF7">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val="en-US" w:eastAsia="zh-CN"/>
        </w:rPr>
        <w:t>3.</w:t>
      </w:r>
      <w:r>
        <w:rPr>
          <w:rFonts w:hint="eastAsia" w:ascii="仿宋_GB2312" w:hAnsi="仿宋" w:eastAsia="仿宋_GB2312" w:cs="宋体"/>
          <w:color w:val="333333"/>
          <w:kern w:val="0"/>
          <w:sz w:val="32"/>
          <w:szCs w:val="32"/>
          <w:lang w:eastAsia="zh-CN"/>
        </w:rPr>
        <w:t>因工资水平整体偏低，致使日常工作中人员流动性较大，部分人员的综合素质不高，在服务质量上和干部职工的要求还有差距。</w:t>
      </w:r>
    </w:p>
    <w:p w14:paraId="32A91280">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4.因种种特殊原因，向社会购买服务的范围有待进一步扩大。</w:t>
      </w:r>
    </w:p>
    <w:p w14:paraId="0F2C2131">
      <w:pPr>
        <w:pStyle w:val="3"/>
        <w:keepNext/>
        <w:keepLines/>
        <w:pageBreakBefore w:val="0"/>
        <w:widowControl w:val="0"/>
        <w:kinsoku/>
        <w:wordWrap/>
        <w:overflowPunct/>
        <w:topLinePunct w:val="0"/>
        <w:autoSpaceDE/>
        <w:autoSpaceDN/>
        <w:bidi w:val="0"/>
        <w:adjustRightInd/>
        <w:snapToGrid/>
        <w:spacing w:before="260" w:after="260" w:line="500" w:lineRule="exact"/>
        <w:ind w:firstLine="643" w:firstLineChars="200"/>
        <w:jc w:val="both"/>
        <w:rPr>
          <w:rFonts w:ascii="楷体_GB2312" w:eastAsia="楷体_GB2312" w:hAnsiTheme="majorHAnsi" w:cstheme="majorBidi"/>
          <w:kern w:val="2"/>
          <w:sz w:val="32"/>
          <w:szCs w:val="32"/>
        </w:rPr>
      </w:pPr>
      <w:bookmarkStart w:id="31" w:name="_Toc26689"/>
      <w:r>
        <w:rPr>
          <w:rFonts w:hint="eastAsia" w:ascii="楷体_GB2312" w:eastAsia="楷体_GB2312" w:hAnsiTheme="majorHAnsi" w:cstheme="majorBidi"/>
          <w:kern w:val="2"/>
          <w:sz w:val="32"/>
          <w:szCs w:val="32"/>
        </w:rPr>
        <w:t>（三）建议和改进措施</w:t>
      </w:r>
      <w:bookmarkEnd w:id="31"/>
    </w:p>
    <w:p w14:paraId="5A25A764">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1.根据不同的服务内容，制定更加科学、合理、细致的考核评价体系，强化对各类服务人员的日常监管，切实提高服务水平。</w:t>
      </w:r>
    </w:p>
    <w:p w14:paraId="4B911325">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lang w:eastAsia="zh-CN"/>
        </w:rPr>
        <w:t>根据不同工作岗位的重要性、工作量、专业技术水平等，制定更加合理的薪资标准，不断激励并倡导所有人员新城必学赶超的良好工作氛围。</w:t>
      </w:r>
    </w:p>
    <w:p w14:paraId="41945049">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3.继续推行“减员增资”的工作方法，科学设置工作岗位的具体工作职责，压缩劳务派遣人员数量，不断提高劳务派遣人员的薪资收入，确保留得住人、干的成事。</w:t>
      </w:r>
    </w:p>
    <w:p w14:paraId="103AA84A">
      <w:pPr>
        <w:pageBreakBefore w:val="0"/>
        <w:widowControl/>
        <w:shd w:val="clear" w:color="auto" w:fill="FFFFFF"/>
        <w:kinsoku/>
        <w:wordWrap/>
        <w:overflowPunct/>
        <w:topLinePunct w:val="0"/>
        <w:autoSpaceDE/>
        <w:autoSpaceDN/>
        <w:bidi w:val="0"/>
        <w:adjustRightInd/>
        <w:snapToGrid/>
        <w:spacing w:line="500" w:lineRule="exact"/>
        <w:ind w:firstLine="705"/>
        <w:jc w:val="left"/>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4.积极探索向社会购买服务的模式，继续扩大机关后勤服务社会化程度，由服务提供者向监管者转变。</w:t>
      </w:r>
    </w:p>
    <w:p w14:paraId="24E9D569">
      <w:pPr>
        <w:pageBreakBefore w:val="0"/>
        <w:widowControl/>
        <w:shd w:val="clear" w:color="auto" w:fill="FFFFFF"/>
        <w:kinsoku/>
        <w:wordWrap/>
        <w:overflowPunct/>
        <w:topLinePunct w:val="0"/>
        <w:autoSpaceDE/>
        <w:autoSpaceDN/>
        <w:bidi w:val="0"/>
        <w:adjustRightInd/>
        <w:snapToGrid/>
        <w:spacing w:line="500" w:lineRule="exact"/>
        <w:ind w:firstLine="555"/>
        <w:jc w:val="left"/>
        <w:outlineLvl w:val="2"/>
        <w:rPr>
          <w:rFonts w:ascii="仿宋_GB2312" w:hAnsi="仿宋" w:eastAsia="仿宋_GB2312" w:cs="宋体"/>
          <w:color w:val="333333"/>
          <w:kern w:val="0"/>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DA76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96D33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0lCCcgBAACZ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pt6A0ljlsc+OX7t8uPX5efX8ky&#10;y9MHqDHrMWBeGu79gEsz+wGdmfWgos1f5EMwjuKer+LKIRGRH61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NJQgnIAQAAmQMAAA4AAAAAAAAAAQAgAAAAHgEAAGRycy9lMm9Eb2Mu&#10;eG1sUEsFBgAAAAAGAAYAWQEAAFgFAAAAAA==&#10;">
              <v:fill on="f" focussize="0,0"/>
              <v:stroke on="f"/>
              <v:imagedata o:title=""/>
              <o:lock v:ext="edit" aspectratio="f"/>
              <v:textbox inset="0mm,0mm,0mm,0mm" style="mso-fit-shape-to-text:t;">
                <w:txbxContent>
                  <w:p w14:paraId="7596D33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7BE73">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D6"/>
    <w:rsid w:val="000067C5"/>
    <w:rsid w:val="00016188"/>
    <w:rsid w:val="0003079A"/>
    <w:rsid w:val="00052DD1"/>
    <w:rsid w:val="00064085"/>
    <w:rsid w:val="00065FAB"/>
    <w:rsid w:val="000A189D"/>
    <w:rsid w:val="000C23F4"/>
    <w:rsid w:val="000D4284"/>
    <w:rsid w:val="000E03E5"/>
    <w:rsid w:val="00125208"/>
    <w:rsid w:val="00125431"/>
    <w:rsid w:val="00126F57"/>
    <w:rsid w:val="0013320E"/>
    <w:rsid w:val="00161615"/>
    <w:rsid w:val="00176E0C"/>
    <w:rsid w:val="0017797D"/>
    <w:rsid w:val="001A07AF"/>
    <w:rsid w:val="001B7840"/>
    <w:rsid w:val="001D7066"/>
    <w:rsid w:val="001E6CD3"/>
    <w:rsid w:val="002A7442"/>
    <w:rsid w:val="003033E8"/>
    <w:rsid w:val="00370834"/>
    <w:rsid w:val="003759C8"/>
    <w:rsid w:val="00382F35"/>
    <w:rsid w:val="003A6B1A"/>
    <w:rsid w:val="00404B4C"/>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50121"/>
    <w:rsid w:val="0075317D"/>
    <w:rsid w:val="00753A9C"/>
    <w:rsid w:val="00797B22"/>
    <w:rsid w:val="007A2583"/>
    <w:rsid w:val="007A54AC"/>
    <w:rsid w:val="007C61D5"/>
    <w:rsid w:val="007F12BD"/>
    <w:rsid w:val="007F16C0"/>
    <w:rsid w:val="007F2B86"/>
    <w:rsid w:val="007F4380"/>
    <w:rsid w:val="0084602A"/>
    <w:rsid w:val="00862191"/>
    <w:rsid w:val="00874737"/>
    <w:rsid w:val="008A1F73"/>
    <w:rsid w:val="008E639C"/>
    <w:rsid w:val="008F235D"/>
    <w:rsid w:val="00912263"/>
    <w:rsid w:val="009647CC"/>
    <w:rsid w:val="009845E8"/>
    <w:rsid w:val="00A079AD"/>
    <w:rsid w:val="00A169DA"/>
    <w:rsid w:val="00A246C6"/>
    <w:rsid w:val="00A340FE"/>
    <w:rsid w:val="00A53BF3"/>
    <w:rsid w:val="00A55682"/>
    <w:rsid w:val="00A766EB"/>
    <w:rsid w:val="00AA0784"/>
    <w:rsid w:val="00B119F6"/>
    <w:rsid w:val="00B756D2"/>
    <w:rsid w:val="00B90055"/>
    <w:rsid w:val="00BB42A4"/>
    <w:rsid w:val="00BC16C8"/>
    <w:rsid w:val="00BD3A6A"/>
    <w:rsid w:val="00BE5D8B"/>
    <w:rsid w:val="00C331EC"/>
    <w:rsid w:val="00C52C64"/>
    <w:rsid w:val="00CA1539"/>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B6335"/>
    <w:rsid w:val="00EF2A7D"/>
    <w:rsid w:val="00F46785"/>
    <w:rsid w:val="00F65B66"/>
    <w:rsid w:val="00F722B8"/>
    <w:rsid w:val="00FC6E77"/>
    <w:rsid w:val="00FF14B8"/>
    <w:rsid w:val="07F04F9A"/>
    <w:rsid w:val="0B404BEE"/>
    <w:rsid w:val="0BA06440"/>
    <w:rsid w:val="0CA674F8"/>
    <w:rsid w:val="136C1CD5"/>
    <w:rsid w:val="137A131F"/>
    <w:rsid w:val="208E5B92"/>
    <w:rsid w:val="23DA27E5"/>
    <w:rsid w:val="280A6540"/>
    <w:rsid w:val="29D46115"/>
    <w:rsid w:val="2A77636F"/>
    <w:rsid w:val="2E400984"/>
    <w:rsid w:val="31631F13"/>
    <w:rsid w:val="354D25B8"/>
    <w:rsid w:val="400055F8"/>
    <w:rsid w:val="40291366"/>
    <w:rsid w:val="422635D8"/>
    <w:rsid w:val="46B6177C"/>
    <w:rsid w:val="47A51F24"/>
    <w:rsid w:val="4A1F2AFD"/>
    <w:rsid w:val="4DB13B20"/>
    <w:rsid w:val="4F64691C"/>
    <w:rsid w:val="51D1285D"/>
    <w:rsid w:val="5E51338C"/>
    <w:rsid w:val="6AE22D92"/>
    <w:rsid w:val="6E24286C"/>
    <w:rsid w:val="6FD72083"/>
    <w:rsid w:val="74184B06"/>
    <w:rsid w:val="7D9D1A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widowControl/>
      <w:jc w:val="left"/>
    </w:pPr>
    <w:rPr>
      <w:rFonts w:ascii="宋体" w:hAnsi="宋体" w:eastAsia="宋体" w:cs="宋体"/>
      <w:kern w:val="0"/>
      <w:sz w:val="24"/>
      <w:szCs w:val="24"/>
    </w:r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标题 1 Char"/>
    <w:basedOn w:val="11"/>
    <w:link w:val="2"/>
    <w:qFormat/>
    <w:uiPriority w:val="9"/>
    <w:rPr>
      <w:rFonts w:ascii="宋体" w:hAnsi="宋体" w:eastAsia="宋体" w:cs="宋体"/>
      <w:b/>
      <w:bCs/>
      <w:kern w:val="36"/>
      <w:sz w:val="48"/>
      <w:szCs w:val="48"/>
    </w:rPr>
  </w:style>
  <w:style w:type="character" w:customStyle="1" w:styleId="15">
    <w:name w:val="标题 2 Char"/>
    <w:basedOn w:val="11"/>
    <w:link w:val="3"/>
    <w:qFormat/>
    <w:uiPriority w:val="9"/>
    <w:rPr>
      <w:rFonts w:ascii="宋体" w:hAnsi="宋体" w:eastAsia="宋体" w:cs="宋体"/>
      <w:b/>
      <w:bCs/>
      <w:kern w:val="0"/>
      <w:sz w:val="36"/>
      <w:szCs w:val="36"/>
    </w:rPr>
  </w:style>
  <w:style w:type="character" w:customStyle="1" w:styleId="16">
    <w:name w:val="标题 3 Char"/>
    <w:basedOn w:val="11"/>
    <w:link w:val="4"/>
    <w:qFormat/>
    <w:uiPriority w:val="9"/>
    <w:rPr>
      <w:rFonts w:ascii="宋体" w:hAnsi="宋体" w:eastAsia="宋体" w:cs="宋体"/>
      <w:b/>
      <w:bCs/>
      <w:kern w:val="0"/>
      <w:sz w:val="27"/>
      <w:szCs w:val="27"/>
    </w:rPr>
  </w:style>
  <w:style w:type="character" w:customStyle="1" w:styleId="17">
    <w:name w:val="页眉 Char"/>
    <w:basedOn w:val="11"/>
    <w:link w:val="6"/>
    <w:qFormat/>
    <w:uiPriority w:val="99"/>
    <w:rPr>
      <w:sz w:val="18"/>
      <w:szCs w:val="18"/>
    </w:rPr>
  </w:style>
  <w:style w:type="character" w:customStyle="1" w:styleId="18">
    <w:name w:val="页脚 Char"/>
    <w:basedOn w:val="11"/>
    <w:link w:val="5"/>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5CAA9E-ED59-4A4A-AE73-F9F20DA3079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7594</Words>
  <Characters>8069</Characters>
  <Lines>62</Lines>
  <Paragraphs>17</Paragraphs>
  <TotalTime>6</TotalTime>
  <ScaleCrop>false</ScaleCrop>
  <LinksUpToDate>false</LinksUpToDate>
  <CharactersWithSpaces>8191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景鸿成</cp:lastModifiedBy>
  <dcterms:modified xsi:type="dcterms:W3CDTF">2025-06-26T10:40:09Z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08443029FD2648A897E40F7C46FF6BBA_13</vt:lpwstr>
  </property>
  <property fmtid="{D5CDD505-2E9C-101B-9397-08002B2CF9AE}" pid="4" name="KSOTemplateDocerSaveRecord">
    <vt:lpwstr>eyJoZGlkIjoiY2JlNzQyMzg5YmZjMjE5ZTE1MTdiMzJkYzQxNmE5NDciLCJ1c2VySWQiOiIyNTkzNDUzOTYifQ==</vt:lpwstr>
  </property>
</Properties>
</file>