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BDFB98">
      <w:pPr>
        <w:spacing w:line="520" w:lineRule="exact"/>
        <w:ind w:left="840" w:hanging="840" w:hangingChars="300"/>
        <w:jc w:val="left"/>
        <w:rPr>
          <w:rFonts w:ascii="方正小标宋_GBK" w:hAnsi="Calibri" w:eastAsia="方正小标宋_GBK" w:cs="Times New Roman"/>
          <w:sz w:val="28"/>
          <w:szCs w:val="28"/>
        </w:rPr>
      </w:pPr>
    </w:p>
    <w:p w14:paraId="608DEEEB">
      <w:pPr>
        <w:spacing w:before="120" w:after="120" w:line="480" w:lineRule="auto"/>
        <w:jc w:val="center"/>
        <w:rPr>
          <w:rFonts w:ascii="Times New Roman" w:hAnsi="Times New Roman" w:eastAsia="黑体" w:cs="Times New Roman"/>
          <w:b/>
          <w:bCs/>
          <w:sz w:val="52"/>
          <w:szCs w:val="52"/>
        </w:rPr>
      </w:pPr>
    </w:p>
    <w:p w14:paraId="2C92FFDF">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机关后勤服务综合管理费</w:t>
      </w:r>
    </w:p>
    <w:p w14:paraId="5CB6C099">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项目支出绩效自评报告</w:t>
      </w:r>
    </w:p>
    <w:p w14:paraId="6181EB6B">
      <w:pPr>
        <w:tabs>
          <w:tab w:val="left" w:pos="1215"/>
        </w:tabs>
        <w:spacing w:line="360" w:lineRule="auto"/>
        <w:jc w:val="center"/>
        <w:rPr>
          <w:rFonts w:ascii="方正小标宋_GBK" w:hAnsi="Calibri" w:eastAsia="方正小标宋_GBK" w:cs="Calibri"/>
          <w:b/>
          <w:bCs/>
          <w:sz w:val="44"/>
          <w:szCs w:val="44"/>
        </w:rPr>
      </w:pPr>
      <w:r>
        <w:rPr>
          <w:rFonts w:hint="eastAsia" w:ascii="方正小标宋_GBK" w:hAnsi="Calibri" w:eastAsia="方正小标宋_GBK" w:cs="Calibri"/>
          <w:b/>
          <w:bCs/>
          <w:sz w:val="44"/>
          <w:szCs w:val="44"/>
        </w:rPr>
        <w:t>（2020年度）</w:t>
      </w:r>
    </w:p>
    <w:p w14:paraId="4784538E">
      <w:pPr>
        <w:spacing w:before="120" w:after="120" w:line="480" w:lineRule="auto"/>
        <w:jc w:val="center"/>
        <w:rPr>
          <w:rFonts w:ascii="Times New Roman" w:hAnsi="Times New Roman" w:eastAsia="黑体" w:cs="Times New Roman"/>
          <w:b/>
          <w:bCs/>
          <w:sz w:val="52"/>
          <w:szCs w:val="52"/>
        </w:rPr>
      </w:pPr>
    </w:p>
    <w:p w14:paraId="63923FFD">
      <w:pPr>
        <w:spacing w:before="120" w:after="120" w:line="480" w:lineRule="auto"/>
        <w:jc w:val="center"/>
        <w:rPr>
          <w:rFonts w:ascii="Times New Roman" w:hAnsi="Times New Roman" w:eastAsia="宋体" w:cs="Times New Roman"/>
          <w:b/>
          <w:bCs/>
          <w:sz w:val="44"/>
          <w:szCs w:val="44"/>
        </w:rPr>
      </w:pPr>
    </w:p>
    <w:p w14:paraId="0E6CD65F">
      <w:pPr>
        <w:spacing w:before="120" w:after="120" w:line="480" w:lineRule="auto"/>
        <w:jc w:val="center"/>
        <w:rPr>
          <w:rFonts w:ascii="Times New Roman" w:hAnsi="Times New Roman" w:eastAsia="宋体" w:cs="Times New Roman"/>
          <w:b/>
          <w:bCs/>
          <w:sz w:val="44"/>
          <w:szCs w:val="44"/>
        </w:rPr>
      </w:pPr>
    </w:p>
    <w:p w14:paraId="7D0A6E6C">
      <w:pPr>
        <w:spacing w:before="120" w:after="120" w:line="480" w:lineRule="auto"/>
        <w:jc w:val="center"/>
        <w:rPr>
          <w:rFonts w:ascii="Times New Roman" w:hAnsi="Times New Roman" w:eastAsia="黑体" w:cs="Times New Roman"/>
          <w:b/>
          <w:bCs/>
          <w:sz w:val="44"/>
          <w:szCs w:val="44"/>
        </w:rPr>
      </w:pPr>
    </w:p>
    <w:p w14:paraId="4134B15D">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2371725</wp:posOffset>
                </wp:positionH>
                <wp:positionV relativeFrom="paragraph">
                  <wp:posOffset>196215</wp:posOffset>
                </wp:positionV>
                <wp:extent cx="2495550" cy="0"/>
                <wp:effectExtent l="0" t="4445" r="0" b="5080"/>
                <wp:wrapNone/>
                <wp:docPr id="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86.75pt;margin-top:15.45pt;height:0pt;width:196.5pt;z-index:251660288;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l6lyg1wAAAAkBAAAPAAAAAAAAAAEAIAAAACIAAABkcnMvZG93bnJldi54bWxQ&#10;SwECFAAUAAAACACHTuJAYjGlSfgBAADMAwAADgAAAAAAAAABACAAAAAmAQAAZHJzL2Uyb0RvYy54&#10;bWxQSwUGAAAAAAYABgBZAQAAkA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部门名称（公章）：昆明市盘龙区机关事务管理服务中心</w:t>
      </w:r>
    </w:p>
    <w:p w14:paraId="74A929E2">
      <w:pPr>
        <w:adjustRightInd w:val="0"/>
        <w:snapToGrid w:val="0"/>
        <w:spacing w:line="360" w:lineRule="auto"/>
        <w:ind w:left="1260" w:leftChars="600"/>
        <w:rPr>
          <w:rFonts w:ascii="Times New Roman" w:hAnsi="Times New Roman" w:eastAsia="黑体" w:cs="黑体"/>
          <w:b/>
          <w:bCs/>
          <w:sz w:val="28"/>
          <w:szCs w:val="28"/>
          <w:u w:val="single"/>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221615</wp:posOffset>
                </wp:positionV>
                <wp:extent cx="2495550" cy="0"/>
                <wp:effectExtent l="0" t="4445" r="0" b="5080"/>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7.45pt;height:0pt;width:196.5pt;z-index:251661312;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PGEXYNcAAAAJAQAADwAAAAAAAAABACAAAAAiAAAAZHJzL2Rvd25yZXYueG1s&#10;UEsBAhQAFAAAAAgAh07iQIsnMEP5AQAAzAMAAA4AAAAAAAAAAQAgAAAAJg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项目单位：昆明市盘龙区机关事务管理服务</w:t>
      </w:r>
      <w:r>
        <w:rPr>
          <w:rFonts w:hint="eastAsia" w:ascii="Times New Roman" w:hAnsi="Times New Roman" w:eastAsia="黑体" w:cs="黑体"/>
          <w:b/>
          <w:bCs/>
          <w:sz w:val="28"/>
          <w:szCs w:val="28"/>
          <w:u w:val="single"/>
        </w:rPr>
        <w:t>中心</w:t>
      </w:r>
    </w:p>
    <w:p w14:paraId="15BC335E">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CC/u9cAAAAJAQAADwAAAAAAAAABACAAAAAiAAAAZHJzL2Rvd25yZXYueG1s&#10;UEsBAhQAFAAAAAgAh07iQBRH23b5AQAAzAMAAA4AAAAAAAAAAQAgAAAAJg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主管部门：昆明市盘龙区机关事务管理服务中心</w:t>
      </w:r>
    </w:p>
    <w:p w14:paraId="0BC8A48F">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tCC/u9cAAAAJAQAADwAAAAAAAAABACAAAAAiAAAAZHJzL2Rvd25yZXYueG1s&#10;UEsBAhQAFAAAAAgAh07iQP1RTnz5AQAAzAMAAA4AAAAAAAAAAQAgAAAAJgEAAGRycy9lMm9Eb2Mu&#10;eG1sUEsFBgAAAAAGAAYAWQEAAJE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hint="eastAsia" w:ascii="Times New Roman" w:hAnsi="Times New Roman" w:eastAsia="黑体" w:cs="Times New Roman"/>
          <w:b/>
          <w:bCs/>
          <w:sz w:val="28"/>
          <w:szCs w:val="28"/>
        </w:rPr>
        <w:t>机关后勤服务综合管理费</w:t>
      </w:r>
    </w:p>
    <w:p w14:paraId="17E631FF">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4384" behindDoc="0" locked="0" layoutInCell="1" allowOverlap="1">
                <wp:simplePos x="0" y="0"/>
                <wp:positionH relativeFrom="column">
                  <wp:posOffset>1714500</wp:posOffset>
                </wp:positionH>
                <wp:positionV relativeFrom="paragraph">
                  <wp:posOffset>180975</wp:posOffset>
                </wp:positionV>
                <wp:extent cx="2495550" cy="0"/>
                <wp:effectExtent l="0" t="4445" r="0" b="5080"/>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a:effectLst/>
                      </wps:spPr>
                      <wps:bodyPr/>
                    </wps:wsp>
                  </a:graphicData>
                </a:graphic>
              </wp:anchor>
            </w:drawing>
          </mc:Choice>
          <mc:Fallback>
            <w:pict>
              <v:shape id="_x0000_s1026" o:spid="_x0000_s1026" o:spt="32" type="#_x0000_t32" style="position:absolute;left:0pt;margin-left:135pt;margin-top:14.25pt;height:0pt;width:196.5pt;z-index:251664384;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0IL+71wAAAAkBAAAPAAAAAAAAAAEAIAAAACIAAABkcnMvZG93bnJldi54bWxQ&#10;SwECFAAUAAAACACHTuJAxmrxY/gBAADMAwAADgAAAAAAAAABACAAAAAmAQAAZHJzL2Uyb0RvYy54&#10;bWxQSwUGAAAAAAYABgBZAQAAkA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hint="eastAsia" w:ascii="Times New Roman" w:hAnsi="Times New Roman" w:eastAsia="黑体" w:cs="Times New Roman"/>
          <w:b/>
          <w:bCs/>
          <w:sz w:val="28"/>
          <w:szCs w:val="28"/>
        </w:rPr>
        <w:t>2021年5月19日</w:t>
      </w:r>
    </w:p>
    <w:p w14:paraId="043067C7">
      <w:pPr>
        <w:spacing w:line="360" w:lineRule="auto"/>
        <w:ind w:left="1218" w:leftChars="580"/>
        <w:rPr>
          <w:rFonts w:ascii="Times New Roman" w:hAnsi="Times New Roman" w:eastAsia="黑体" w:cs="Times New Roman"/>
          <w:b/>
          <w:bCs/>
          <w:sz w:val="28"/>
          <w:szCs w:val="28"/>
        </w:rPr>
      </w:pPr>
    </w:p>
    <w:p w14:paraId="352E8761">
      <w:pPr>
        <w:jc w:val="center"/>
        <w:rPr>
          <w:rFonts w:ascii="Times New Roman" w:hAnsi="Times New Roman" w:eastAsia="黑体" w:cs="黑体"/>
          <w:b/>
          <w:bCs/>
          <w:sz w:val="28"/>
          <w:szCs w:val="28"/>
        </w:rPr>
      </w:pPr>
    </w:p>
    <w:p w14:paraId="2ACD7AFB">
      <w:pPr>
        <w:jc w:val="center"/>
        <w:rPr>
          <w:rFonts w:ascii="仿宋" w:hAnsi="仿宋" w:eastAsia="仿宋" w:cs="黑体"/>
          <w:b/>
          <w:bCs/>
          <w:sz w:val="32"/>
          <w:szCs w:val="32"/>
        </w:rPr>
      </w:pPr>
      <w:r>
        <w:rPr>
          <w:rFonts w:ascii="仿宋" w:hAnsi="仿宋" w:eastAsia="仿宋"/>
          <w:b/>
          <w:bCs/>
          <w:sz w:val="32"/>
          <w:szCs w:val="32"/>
        </w:rPr>
        <w:t>20</w:t>
      </w:r>
      <w:r>
        <w:rPr>
          <w:rFonts w:hint="eastAsia" w:ascii="仿宋" w:hAnsi="仿宋" w:eastAsia="仿宋"/>
          <w:b/>
          <w:bCs/>
          <w:sz w:val="32"/>
          <w:szCs w:val="32"/>
        </w:rPr>
        <w:t>21</w:t>
      </w:r>
      <w:r>
        <w:rPr>
          <w:rFonts w:hint="eastAsia" w:ascii="仿宋" w:hAnsi="仿宋" w:eastAsia="仿宋" w:cs="黑体"/>
          <w:b/>
          <w:bCs/>
          <w:sz w:val="32"/>
          <w:szCs w:val="32"/>
        </w:rPr>
        <w:t>年</w:t>
      </w:r>
      <w:r>
        <w:rPr>
          <w:rFonts w:hint="eastAsia" w:ascii="仿宋" w:hAnsi="仿宋" w:eastAsia="仿宋"/>
          <w:b/>
          <w:bCs/>
          <w:sz w:val="32"/>
          <w:szCs w:val="32"/>
        </w:rPr>
        <w:t>5</w:t>
      </w:r>
      <w:r>
        <w:rPr>
          <w:rFonts w:hint="eastAsia" w:ascii="仿宋" w:hAnsi="仿宋" w:eastAsia="仿宋" w:cs="黑体"/>
          <w:b/>
          <w:bCs/>
          <w:sz w:val="32"/>
          <w:szCs w:val="32"/>
        </w:rPr>
        <w:t>月</w:t>
      </w:r>
    </w:p>
    <w:p w14:paraId="592639F9">
      <w:pPr>
        <w:jc w:val="center"/>
        <w:rPr>
          <w:rFonts w:ascii="Times New Roman" w:hAnsi="Times New Roman" w:eastAsia="黑体" w:cs="黑体"/>
          <w:b/>
          <w:bCs/>
          <w:sz w:val="28"/>
          <w:szCs w:val="28"/>
        </w:rPr>
      </w:pPr>
    </w:p>
    <w:p w14:paraId="256E2B4A">
      <w:pPr>
        <w:jc w:val="center"/>
        <w:rPr>
          <w:rFonts w:ascii="Times New Roman" w:hAnsi="Times New Roman" w:eastAsia="黑体" w:cs="黑体"/>
          <w:b/>
          <w:bCs/>
          <w:sz w:val="28"/>
          <w:szCs w:val="28"/>
        </w:rPr>
      </w:pPr>
    </w:p>
    <w:p w14:paraId="255258D3">
      <w:pPr>
        <w:jc w:val="center"/>
        <w:rPr>
          <w:rFonts w:ascii="Times New Roman" w:hAnsi="Times New Roman" w:eastAsia="黑体" w:cs="黑体"/>
          <w:b/>
          <w:bCs/>
          <w:sz w:val="28"/>
          <w:szCs w:val="28"/>
        </w:rPr>
      </w:pPr>
    </w:p>
    <w:p w14:paraId="38C2F06B">
      <w:pPr>
        <w:jc w:val="center"/>
        <w:rPr>
          <w:rFonts w:ascii="Times New Roman" w:hAnsi="Times New Roman" w:eastAsia="黑体" w:cs="黑体"/>
          <w:b/>
          <w:bCs/>
          <w:sz w:val="28"/>
          <w:szCs w:val="28"/>
        </w:rPr>
      </w:pPr>
    </w:p>
    <w:p w14:paraId="1303E9E5">
      <w:pPr>
        <w:jc w:val="center"/>
        <w:rPr>
          <w:rFonts w:ascii="Times New Roman" w:hAnsi="Times New Roman" w:eastAsia="黑体" w:cs="黑体"/>
          <w:b/>
          <w:bCs/>
          <w:sz w:val="28"/>
          <w:szCs w:val="28"/>
        </w:rPr>
      </w:pPr>
    </w:p>
    <w:p w14:paraId="39C9790E">
      <w:pPr>
        <w:jc w:val="center"/>
        <w:rPr>
          <w:rFonts w:ascii="Times New Roman" w:hAnsi="Times New Roman" w:eastAsia="黑体" w:cs="黑体"/>
          <w:b/>
          <w:bCs/>
          <w:sz w:val="28"/>
          <w:szCs w:val="28"/>
        </w:rPr>
      </w:pPr>
    </w:p>
    <w:p w14:paraId="7B570705">
      <w:pPr>
        <w:spacing w:line="360" w:lineRule="auto"/>
        <w:ind w:left="420" w:leftChars="200"/>
        <w:rPr>
          <w:rFonts w:ascii="Times New Roman" w:hAnsi="Times New Roman" w:eastAsia="黑体" w:cs="Times New Roman"/>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TW"/>
        </w:rPr>
        <w:t>评价小组成员：</w:t>
      </w:r>
    </w:p>
    <w:tbl>
      <w:tblPr>
        <w:tblStyle w:val="10"/>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753"/>
        <w:gridCol w:w="1488"/>
        <w:gridCol w:w="1621"/>
      </w:tblGrid>
      <w:tr w14:paraId="4F2E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14:paraId="4DD9234E">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评价小组</w:t>
            </w:r>
          </w:p>
          <w:p w14:paraId="03E55CD2">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机构职位</w:t>
            </w:r>
          </w:p>
        </w:tc>
        <w:tc>
          <w:tcPr>
            <w:tcW w:w="1620" w:type="dxa"/>
            <w:vAlign w:val="center"/>
          </w:tcPr>
          <w:p w14:paraId="160F2A14">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姓名</w:t>
            </w:r>
          </w:p>
        </w:tc>
        <w:tc>
          <w:tcPr>
            <w:tcW w:w="1753" w:type="dxa"/>
            <w:vAlign w:val="center"/>
          </w:tcPr>
          <w:p w14:paraId="3476F7DE">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职务/职称</w:t>
            </w:r>
          </w:p>
        </w:tc>
        <w:tc>
          <w:tcPr>
            <w:tcW w:w="1488" w:type="dxa"/>
            <w:vAlign w:val="center"/>
          </w:tcPr>
          <w:p w14:paraId="3E97041C">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所属</w:t>
            </w:r>
          </w:p>
          <w:p w14:paraId="44981C21">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单位/处室</w:t>
            </w:r>
          </w:p>
        </w:tc>
        <w:tc>
          <w:tcPr>
            <w:tcW w:w="1621" w:type="dxa"/>
            <w:vAlign w:val="center"/>
          </w:tcPr>
          <w:p w14:paraId="12188B7E">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签字</w:t>
            </w:r>
          </w:p>
        </w:tc>
      </w:tr>
      <w:tr w14:paraId="7141E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1620" w:type="dxa"/>
            <w:vAlign w:val="center"/>
          </w:tcPr>
          <w:p w14:paraId="4C1AE107">
            <w:pPr>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组长</w:t>
            </w:r>
          </w:p>
        </w:tc>
        <w:tc>
          <w:tcPr>
            <w:tcW w:w="1620" w:type="dxa"/>
            <w:vAlign w:val="center"/>
          </w:tcPr>
          <w:p w14:paraId="67613A83">
            <w:pPr>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肖伟</w:t>
            </w:r>
          </w:p>
        </w:tc>
        <w:tc>
          <w:tcPr>
            <w:tcW w:w="1753" w:type="dxa"/>
            <w:vAlign w:val="center"/>
          </w:tcPr>
          <w:p w14:paraId="12A79169">
            <w:pPr>
              <w:jc w:val="center"/>
              <w:rPr>
                <w:rFonts w:hint="eastAsia"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rPr>
              <w:t>副主任</w:t>
            </w:r>
          </w:p>
        </w:tc>
        <w:tc>
          <w:tcPr>
            <w:tcW w:w="1488" w:type="dxa"/>
            <w:vAlign w:val="center"/>
          </w:tcPr>
          <w:p w14:paraId="4155DF3D">
            <w:pPr>
              <w:jc w:val="center"/>
              <w:rPr>
                <w:rFonts w:hint="eastAsia"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rPr>
              <w:t>政府办</w:t>
            </w:r>
          </w:p>
        </w:tc>
        <w:tc>
          <w:tcPr>
            <w:tcW w:w="1621" w:type="dxa"/>
          </w:tcPr>
          <w:p w14:paraId="6B60A5B4">
            <w:pPr>
              <w:rPr>
                <w:rFonts w:ascii="Times New Roman" w:hAnsi="Times New Roman" w:eastAsia="黑体" w:cs="黑体"/>
                <w:color w:val="000000"/>
                <w:sz w:val="24"/>
                <w:szCs w:val="24"/>
                <w:u w:color="000000"/>
                <w:lang w:val="zh-TW" w:eastAsia="zh-TW"/>
              </w:rPr>
            </w:pPr>
          </w:p>
        </w:tc>
      </w:tr>
      <w:tr w14:paraId="7C6A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620" w:type="dxa"/>
            <w:vAlign w:val="center"/>
          </w:tcPr>
          <w:p w14:paraId="22D0D710">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副组长</w:t>
            </w:r>
          </w:p>
        </w:tc>
        <w:tc>
          <w:tcPr>
            <w:tcW w:w="1620" w:type="dxa"/>
            <w:vAlign w:val="center"/>
          </w:tcPr>
          <w:p w14:paraId="05AA9A64">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闫鑫</w:t>
            </w:r>
          </w:p>
        </w:tc>
        <w:tc>
          <w:tcPr>
            <w:tcW w:w="1753" w:type="dxa"/>
            <w:vAlign w:val="center"/>
          </w:tcPr>
          <w:p w14:paraId="1880D695">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副主任</w:t>
            </w:r>
          </w:p>
        </w:tc>
        <w:tc>
          <w:tcPr>
            <w:tcW w:w="1488" w:type="dxa"/>
            <w:vAlign w:val="center"/>
          </w:tcPr>
          <w:p w14:paraId="074535AF">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机关事务管理服务中心</w:t>
            </w:r>
          </w:p>
        </w:tc>
        <w:tc>
          <w:tcPr>
            <w:tcW w:w="1621" w:type="dxa"/>
          </w:tcPr>
          <w:p w14:paraId="011AE65B">
            <w:pPr>
              <w:spacing w:line="360" w:lineRule="auto"/>
              <w:rPr>
                <w:rFonts w:ascii="Times New Roman" w:hAnsi="Times New Roman" w:eastAsia="黑体" w:cs="黑体"/>
                <w:color w:val="000000"/>
                <w:sz w:val="24"/>
                <w:szCs w:val="24"/>
                <w:u w:color="000000"/>
                <w:lang w:val="zh-TW" w:eastAsia="zh-TW"/>
              </w:rPr>
            </w:pPr>
          </w:p>
        </w:tc>
      </w:tr>
      <w:tr w14:paraId="5CB8D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620" w:type="dxa"/>
            <w:vAlign w:val="center"/>
          </w:tcPr>
          <w:p w14:paraId="29F74B19">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副组长</w:t>
            </w:r>
          </w:p>
        </w:tc>
        <w:tc>
          <w:tcPr>
            <w:tcW w:w="1620" w:type="dxa"/>
            <w:vAlign w:val="center"/>
          </w:tcPr>
          <w:p w14:paraId="44BA3984">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杨艳</w:t>
            </w:r>
          </w:p>
        </w:tc>
        <w:tc>
          <w:tcPr>
            <w:tcW w:w="1753" w:type="dxa"/>
            <w:vAlign w:val="center"/>
          </w:tcPr>
          <w:p w14:paraId="6ECF9C7C">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副主任</w:t>
            </w:r>
          </w:p>
        </w:tc>
        <w:tc>
          <w:tcPr>
            <w:tcW w:w="1488" w:type="dxa"/>
            <w:vAlign w:val="center"/>
          </w:tcPr>
          <w:p w14:paraId="2D043A68">
            <w:pPr>
              <w:spacing w:line="360" w:lineRule="auto"/>
              <w:jc w:val="center"/>
              <w:rPr>
                <w:rFonts w:hint="eastAsia"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机关事务管理服务中心</w:t>
            </w:r>
          </w:p>
        </w:tc>
        <w:tc>
          <w:tcPr>
            <w:tcW w:w="1621" w:type="dxa"/>
          </w:tcPr>
          <w:p w14:paraId="3BDB7F5F">
            <w:pPr>
              <w:spacing w:line="360" w:lineRule="auto"/>
              <w:rPr>
                <w:rFonts w:ascii="Times New Roman" w:hAnsi="Times New Roman" w:eastAsia="黑体" w:cs="黑体"/>
                <w:color w:val="000000"/>
                <w:sz w:val="24"/>
                <w:szCs w:val="24"/>
                <w:u w:color="000000"/>
                <w:lang w:val="zh-TW" w:eastAsia="zh-TW"/>
              </w:rPr>
            </w:pPr>
          </w:p>
        </w:tc>
      </w:tr>
      <w:tr w14:paraId="0171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620" w:type="dxa"/>
            <w:vAlign w:val="center"/>
          </w:tcPr>
          <w:p w14:paraId="3FB3A16B">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组员</w:t>
            </w:r>
          </w:p>
        </w:tc>
        <w:tc>
          <w:tcPr>
            <w:tcW w:w="1620" w:type="dxa"/>
          </w:tcPr>
          <w:p w14:paraId="1D1DE4BC">
            <w:pPr>
              <w:spacing w:line="360" w:lineRule="auto"/>
              <w:jc w:val="center"/>
              <w:rPr>
                <w:rFonts w:hint="eastAsia"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lang w:val="zh-TW"/>
              </w:rPr>
              <w:t>和娟</w:t>
            </w:r>
          </w:p>
        </w:tc>
        <w:tc>
          <w:tcPr>
            <w:tcW w:w="1753" w:type="dxa"/>
          </w:tcPr>
          <w:p w14:paraId="244DD408">
            <w:pPr>
              <w:spacing w:line="360" w:lineRule="auto"/>
              <w:jc w:val="center"/>
              <w:rPr>
                <w:rFonts w:hint="eastAsia"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主任</w:t>
            </w:r>
          </w:p>
        </w:tc>
        <w:tc>
          <w:tcPr>
            <w:tcW w:w="1488" w:type="dxa"/>
          </w:tcPr>
          <w:p w14:paraId="38F85F20">
            <w:pPr>
              <w:spacing w:line="360" w:lineRule="auto"/>
              <w:jc w:val="center"/>
              <w:rPr>
                <w:rFonts w:hint="eastAsia"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办公室</w:t>
            </w:r>
          </w:p>
        </w:tc>
        <w:tc>
          <w:tcPr>
            <w:tcW w:w="1621" w:type="dxa"/>
          </w:tcPr>
          <w:p w14:paraId="0B53C5E5">
            <w:pPr>
              <w:spacing w:line="360" w:lineRule="auto"/>
              <w:rPr>
                <w:rFonts w:ascii="Times New Roman" w:hAnsi="Times New Roman" w:eastAsia="黑体" w:cs="黑体"/>
                <w:color w:val="000000"/>
                <w:sz w:val="24"/>
                <w:szCs w:val="24"/>
                <w:u w:color="000000"/>
                <w:lang w:val="zh-TW" w:eastAsia="zh-TW"/>
              </w:rPr>
            </w:pPr>
          </w:p>
        </w:tc>
      </w:tr>
      <w:tr w14:paraId="04DCC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620" w:type="dxa"/>
            <w:vAlign w:val="center"/>
          </w:tcPr>
          <w:p w14:paraId="3B14A75A">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组员</w:t>
            </w:r>
          </w:p>
        </w:tc>
        <w:tc>
          <w:tcPr>
            <w:tcW w:w="1620" w:type="dxa"/>
          </w:tcPr>
          <w:p w14:paraId="2FE366B7">
            <w:pPr>
              <w:spacing w:line="360" w:lineRule="auto"/>
              <w:jc w:val="center"/>
              <w:rPr>
                <w:rFonts w:hint="eastAsia"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rPr>
              <w:t>杜云新</w:t>
            </w:r>
          </w:p>
        </w:tc>
        <w:tc>
          <w:tcPr>
            <w:tcW w:w="1753" w:type="dxa"/>
          </w:tcPr>
          <w:p w14:paraId="1099072B">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科长</w:t>
            </w:r>
          </w:p>
        </w:tc>
        <w:tc>
          <w:tcPr>
            <w:tcW w:w="1488" w:type="dxa"/>
          </w:tcPr>
          <w:p w14:paraId="4189466E">
            <w:pPr>
              <w:spacing w:line="360" w:lineRule="auto"/>
              <w:jc w:val="center"/>
              <w:rPr>
                <w:rFonts w:hint="eastAsia"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保卫科</w:t>
            </w:r>
          </w:p>
        </w:tc>
        <w:tc>
          <w:tcPr>
            <w:tcW w:w="1621" w:type="dxa"/>
          </w:tcPr>
          <w:p w14:paraId="40D32B70">
            <w:pPr>
              <w:spacing w:line="360" w:lineRule="auto"/>
              <w:rPr>
                <w:rFonts w:ascii="Times New Roman" w:hAnsi="Times New Roman" w:eastAsia="黑体" w:cs="黑体"/>
                <w:color w:val="000000"/>
                <w:sz w:val="24"/>
                <w:szCs w:val="24"/>
                <w:u w:color="000000"/>
                <w:lang w:val="zh-TW" w:eastAsia="zh-TW"/>
              </w:rPr>
            </w:pPr>
          </w:p>
        </w:tc>
      </w:tr>
      <w:tr w14:paraId="730F4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620" w:type="dxa"/>
            <w:vAlign w:val="center"/>
          </w:tcPr>
          <w:p w14:paraId="218EFBED">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组员</w:t>
            </w:r>
          </w:p>
        </w:tc>
        <w:tc>
          <w:tcPr>
            <w:tcW w:w="1620" w:type="dxa"/>
          </w:tcPr>
          <w:p w14:paraId="15B94CF0">
            <w:pPr>
              <w:spacing w:line="360" w:lineRule="auto"/>
              <w:jc w:val="center"/>
              <w:rPr>
                <w:rFonts w:hint="eastAsia" w:ascii="仿宋_GB2312" w:hAnsi="Times New Roman" w:eastAsia="仿宋_GB2312" w:cs="黑体"/>
                <w:color w:val="000000"/>
                <w:sz w:val="24"/>
                <w:szCs w:val="24"/>
                <w:u w:color="000000"/>
              </w:rPr>
            </w:pPr>
            <w:r>
              <w:rPr>
                <w:rFonts w:hint="eastAsia" w:ascii="仿宋_GB2312" w:hAnsi="Times New Roman" w:eastAsia="仿宋_GB2312" w:cs="黑体"/>
                <w:color w:val="000000"/>
                <w:sz w:val="24"/>
                <w:szCs w:val="24"/>
                <w:u w:color="000000"/>
              </w:rPr>
              <w:t>刘荣地</w:t>
            </w:r>
          </w:p>
        </w:tc>
        <w:tc>
          <w:tcPr>
            <w:tcW w:w="1753" w:type="dxa"/>
          </w:tcPr>
          <w:p w14:paraId="4E2CED11">
            <w:pPr>
              <w:spacing w:line="360" w:lineRule="auto"/>
              <w:jc w:val="center"/>
              <w:rPr>
                <w:rFonts w:hint="eastAsia" w:ascii="仿宋_GB2312" w:hAnsi="Times New Roman" w:eastAsia="仿宋_GB2312" w:cs="黑体"/>
                <w:color w:val="000000"/>
                <w:sz w:val="24"/>
                <w:szCs w:val="24"/>
                <w:u w:color="000000"/>
                <w:lang w:val="zh-TW"/>
              </w:rPr>
            </w:pPr>
            <w:r>
              <w:rPr>
                <w:rFonts w:hint="eastAsia" w:ascii="仿宋_GB2312" w:hAnsi="Times New Roman" w:eastAsia="仿宋_GB2312" w:cs="黑体"/>
                <w:color w:val="000000"/>
                <w:sz w:val="24"/>
                <w:szCs w:val="24"/>
                <w:u w:color="000000"/>
                <w:lang w:val="zh-TW"/>
              </w:rPr>
              <w:t>主任</w:t>
            </w:r>
          </w:p>
        </w:tc>
        <w:tc>
          <w:tcPr>
            <w:tcW w:w="1488" w:type="dxa"/>
          </w:tcPr>
          <w:p w14:paraId="10FDD7F3">
            <w:pPr>
              <w:spacing w:line="360" w:lineRule="auto"/>
              <w:jc w:val="center"/>
              <w:rPr>
                <w:rFonts w:hint="eastAsia" w:ascii="仿宋_GB2312" w:hAnsi="Times New Roman" w:eastAsia="仿宋_GB2312" w:cs="黑体"/>
                <w:color w:val="000000"/>
                <w:sz w:val="24"/>
                <w:szCs w:val="24"/>
                <w:u w:color="000000"/>
                <w:lang w:val="zh-TW" w:eastAsia="zh-TW"/>
              </w:rPr>
            </w:pPr>
            <w:r>
              <w:rPr>
                <w:rFonts w:hint="eastAsia" w:ascii="仿宋_GB2312" w:hAnsi="Times New Roman" w:eastAsia="仿宋_GB2312" w:cs="黑体"/>
                <w:color w:val="000000"/>
                <w:sz w:val="24"/>
                <w:szCs w:val="24"/>
                <w:u w:color="000000"/>
                <w:lang w:val="zh-TW"/>
              </w:rPr>
              <w:t>会务中心</w:t>
            </w:r>
          </w:p>
        </w:tc>
        <w:tc>
          <w:tcPr>
            <w:tcW w:w="1621" w:type="dxa"/>
          </w:tcPr>
          <w:p w14:paraId="1DB9D4E5">
            <w:pPr>
              <w:spacing w:line="360" w:lineRule="auto"/>
              <w:rPr>
                <w:rFonts w:ascii="Times New Roman" w:hAnsi="Times New Roman" w:eastAsia="黑体" w:cs="黑体"/>
                <w:color w:val="000000"/>
                <w:sz w:val="24"/>
                <w:szCs w:val="24"/>
                <w:u w:color="000000"/>
                <w:lang w:val="zh-TW" w:eastAsia="zh-TW"/>
              </w:rPr>
            </w:pPr>
          </w:p>
        </w:tc>
      </w:tr>
      <w:tr w14:paraId="43FEE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tcPr>
          <w:p w14:paraId="44E870C7">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报告撰写人（签字）：</w:t>
            </w:r>
          </w:p>
          <w:p w14:paraId="5CEA1C19">
            <w:pPr>
              <w:spacing w:line="360" w:lineRule="auto"/>
              <w:rPr>
                <w:rFonts w:ascii="Times New Roman" w:hAnsi="Times New Roman" w:eastAsia="黑体" w:cs="黑体"/>
                <w:color w:val="000000"/>
                <w:sz w:val="24"/>
                <w:szCs w:val="24"/>
                <w:u w:color="000000"/>
                <w:lang w:val="zh-TW"/>
              </w:rPr>
            </w:pPr>
          </w:p>
          <w:p w14:paraId="75D45E65">
            <w:pPr>
              <w:spacing w:line="360" w:lineRule="auto"/>
              <w:rPr>
                <w:rFonts w:ascii="Times New Roman" w:hAnsi="Times New Roman" w:eastAsia="黑体" w:cs="黑体"/>
                <w:color w:val="000000"/>
                <w:sz w:val="24"/>
                <w:szCs w:val="24"/>
                <w:u w:color="000000"/>
                <w:lang w:val="zh-TW"/>
              </w:rPr>
            </w:pPr>
          </w:p>
          <w:p w14:paraId="3EF46093">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r w14:paraId="26D00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tcPr>
          <w:p w14:paraId="6406A600">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评价工作负责人（签字）：</w:t>
            </w:r>
          </w:p>
          <w:p w14:paraId="000B6A89">
            <w:pPr>
              <w:spacing w:line="360" w:lineRule="auto"/>
              <w:rPr>
                <w:rFonts w:ascii="Times New Roman" w:hAnsi="Times New Roman" w:eastAsia="黑体" w:cs="黑体"/>
                <w:color w:val="000000"/>
                <w:sz w:val="24"/>
                <w:szCs w:val="24"/>
                <w:u w:color="000000"/>
                <w:lang w:val="zh-TW"/>
              </w:rPr>
            </w:pPr>
          </w:p>
          <w:p w14:paraId="51E4147A">
            <w:pPr>
              <w:spacing w:line="360" w:lineRule="auto"/>
              <w:rPr>
                <w:rFonts w:ascii="Times New Roman" w:hAnsi="Times New Roman" w:eastAsia="黑体" w:cs="黑体"/>
                <w:color w:val="000000"/>
                <w:sz w:val="24"/>
                <w:szCs w:val="24"/>
                <w:u w:color="000000"/>
                <w:lang w:val="zh-TW"/>
              </w:rPr>
            </w:pPr>
          </w:p>
          <w:p w14:paraId="70B75458">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bl>
    <w:p w14:paraId="329401BA">
      <w:pPr>
        <w:widowControl/>
        <w:shd w:val="clear" w:color="auto" w:fill="FFFFFF"/>
        <w:jc w:val="center"/>
        <w:rPr>
          <w:rFonts w:ascii="宋体" w:hAnsi="宋体" w:eastAsia="宋体" w:cs="宋体"/>
          <w:color w:val="333333"/>
          <w:kern w:val="0"/>
          <w:szCs w:val="21"/>
        </w:rPr>
      </w:pPr>
    </w:p>
    <w:p w14:paraId="5288DE08">
      <w:pPr>
        <w:widowControl/>
        <w:shd w:val="clear" w:color="auto" w:fill="FFFFFF"/>
        <w:jc w:val="center"/>
        <w:rPr>
          <w:rFonts w:ascii="宋体" w:hAnsi="宋体" w:eastAsia="宋体" w:cs="宋体"/>
          <w:color w:val="333333"/>
          <w:kern w:val="0"/>
          <w:szCs w:val="21"/>
        </w:rPr>
      </w:pPr>
    </w:p>
    <w:p w14:paraId="1190D428">
      <w:pPr>
        <w:widowControl/>
        <w:shd w:val="clear" w:color="auto" w:fill="FFFFFF"/>
        <w:jc w:val="center"/>
        <w:rPr>
          <w:rFonts w:ascii="宋体" w:hAnsi="宋体" w:eastAsia="宋体" w:cs="宋体"/>
          <w:color w:val="333333"/>
          <w:kern w:val="0"/>
          <w:szCs w:val="21"/>
        </w:rPr>
      </w:pPr>
    </w:p>
    <w:p w14:paraId="24A93869">
      <w:pPr>
        <w:widowControl/>
        <w:shd w:val="clear" w:color="auto" w:fill="FFFFFF"/>
        <w:jc w:val="center"/>
        <w:rPr>
          <w:rFonts w:ascii="宋体" w:hAnsi="宋体" w:eastAsia="宋体" w:cs="宋体"/>
          <w:color w:val="333333"/>
          <w:kern w:val="0"/>
          <w:szCs w:val="21"/>
        </w:rPr>
      </w:pPr>
    </w:p>
    <w:p w14:paraId="427565FB">
      <w:pPr>
        <w:widowControl/>
        <w:shd w:val="clear" w:color="auto" w:fill="FFFFFF"/>
        <w:jc w:val="center"/>
        <w:rPr>
          <w:rFonts w:ascii="宋体" w:hAnsi="宋体" w:eastAsia="宋体" w:cs="宋体"/>
          <w:color w:val="333333"/>
          <w:kern w:val="0"/>
          <w:szCs w:val="21"/>
        </w:rPr>
      </w:pPr>
    </w:p>
    <w:p w14:paraId="1E98B672">
      <w:pPr>
        <w:widowControl/>
        <w:shd w:val="clear" w:color="auto" w:fill="FFFFFF"/>
        <w:jc w:val="center"/>
        <w:rPr>
          <w:rFonts w:ascii="宋体" w:hAnsi="宋体" w:eastAsia="宋体" w:cs="宋体"/>
          <w:color w:val="333333"/>
          <w:kern w:val="0"/>
          <w:szCs w:val="21"/>
        </w:rPr>
      </w:pPr>
    </w:p>
    <w:p w14:paraId="2CAFD988">
      <w:pPr>
        <w:widowControl/>
        <w:shd w:val="clear" w:color="auto" w:fill="FFFFFF"/>
        <w:jc w:val="center"/>
        <w:rPr>
          <w:rFonts w:ascii="宋体" w:hAnsi="宋体" w:eastAsia="宋体" w:cs="宋体"/>
          <w:color w:val="333333"/>
          <w:kern w:val="0"/>
          <w:szCs w:val="21"/>
        </w:rPr>
      </w:pPr>
    </w:p>
    <w:p w14:paraId="0630CD95">
      <w:pPr>
        <w:widowControl/>
        <w:shd w:val="clear" w:color="auto" w:fill="FFFFFF"/>
        <w:jc w:val="center"/>
        <w:rPr>
          <w:rFonts w:ascii="宋体" w:hAnsi="宋体" w:eastAsia="宋体" w:cs="宋体"/>
          <w:color w:val="333333"/>
          <w:kern w:val="0"/>
          <w:szCs w:val="21"/>
        </w:rPr>
      </w:pPr>
    </w:p>
    <w:p w14:paraId="6D3170C6">
      <w:pPr>
        <w:widowControl/>
        <w:shd w:val="clear" w:color="auto" w:fill="FFFFFF"/>
        <w:jc w:val="center"/>
        <w:rPr>
          <w:rFonts w:ascii="宋体" w:hAnsi="宋体" w:eastAsia="宋体" w:cs="宋体"/>
          <w:color w:val="333333"/>
          <w:kern w:val="0"/>
          <w:szCs w:val="21"/>
        </w:rPr>
      </w:pPr>
    </w:p>
    <w:p w14:paraId="63C1B62B">
      <w:pPr>
        <w:widowControl/>
        <w:shd w:val="clear" w:color="auto" w:fill="FFFFFF"/>
        <w:jc w:val="center"/>
        <w:rPr>
          <w:rFonts w:ascii="宋体" w:hAnsi="宋体" w:eastAsia="宋体" w:cs="宋体"/>
          <w:color w:val="333333"/>
          <w:kern w:val="0"/>
          <w:szCs w:val="21"/>
        </w:rPr>
      </w:pPr>
    </w:p>
    <w:p w14:paraId="4F5DD24B">
      <w:pPr>
        <w:widowControl/>
        <w:shd w:val="clear" w:color="auto" w:fill="FFFFFF"/>
        <w:jc w:val="center"/>
        <w:rPr>
          <w:rFonts w:ascii="宋体" w:hAnsi="宋体" w:eastAsia="宋体" w:cs="宋体"/>
          <w:color w:val="333333"/>
          <w:kern w:val="0"/>
          <w:szCs w:val="21"/>
        </w:rPr>
      </w:pPr>
    </w:p>
    <w:p w14:paraId="51072016">
      <w:pPr>
        <w:widowControl/>
        <w:shd w:val="clear" w:color="auto" w:fill="FFFFFF"/>
        <w:jc w:val="center"/>
        <w:rPr>
          <w:rFonts w:ascii="宋体" w:hAnsi="宋体" w:eastAsia="宋体" w:cs="宋体"/>
          <w:color w:val="333333"/>
          <w:kern w:val="0"/>
          <w:szCs w:val="21"/>
        </w:rPr>
      </w:pPr>
    </w:p>
    <w:p w14:paraId="0371FB12">
      <w:pPr>
        <w:widowControl/>
        <w:shd w:val="clear" w:color="auto" w:fill="FFFFFF"/>
        <w:jc w:val="center"/>
        <w:rPr>
          <w:rFonts w:ascii="宋体" w:hAnsi="宋体" w:eastAsia="宋体" w:cs="宋体"/>
          <w:color w:val="333333"/>
          <w:kern w:val="0"/>
          <w:szCs w:val="21"/>
        </w:rPr>
      </w:pPr>
    </w:p>
    <w:p w14:paraId="764A5A98">
      <w:pPr>
        <w:widowControl/>
        <w:shd w:val="clear" w:color="auto" w:fill="FFFFFF"/>
        <w:jc w:val="center"/>
        <w:rPr>
          <w:rFonts w:ascii="宋体" w:hAnsi="宋体" w:eastAsia="宋体" w:cs="宋体"/>
          <w:color w:val="333333"/>
          <w:kern w:val="0"/>
          <w:szCs w:val="21"/>
        </w:rPr>
      </w:pPr>
    </w:p>
    <w:p w14:paraId="763E6B0D">
      <w:pPr>
        <w:widowControl/>
        <w:shd w:val="clear" w:color="auto" w:fill="FFFFFF"/>
        <w:jc w:val="center"/>
        <w:rPr>
          <w:rFonts w:ascii="宋体" w:hAnsi="宋体" w:eastAsia="宋体" w:cs="宋体"/>
          <w:color w:val="333333"/>
          <w:kern w:val="0"/>
          <w:szCs w:val="21"/>
        </w:rPr>
      </w:pPr>
    </w:p>
    <w:p w14:paraId="1856ABD5">
      <w:pPr>
        <w:pStyle w:val="7"/>
        <w:spacing w:line="400" w:lineRule="exact"/>
        <w:rPr>
          <w:rStyle w:val="13"/>
          <w:rFonts w:ascii="黑体" w:hAnsi="黑体" w:cs="黑体"/>
          <w:color w:val="auto"/>
          <w:sz w:val="44"/>
          <w:szCs w:val="44"/>
          <w:u w:val="none"/>
        </w:rPr>
      </w:pPr>
      <w:r>
        <w:rPr>
          <w:rStyle w:val="13"/>
          <w:rFonts w:hint="eastAsia" w:ascii="黑体" w:hAnsi="黑体" w:cs="黑体"/>
          <w:color w:val="auto"/>
          <w:sz w:val="44"/>
          <w:szCs w:val="44"/>
          <w:u w:val="none"/>
        </w:rPr>
        <w:t>目录</w:t>
      </w:r>
    </w:p>
    <w:p w14:paraId="5C950B36">
      <w:pPr>
        <w:spacing w:line="400" w:lineRule="exact"/>
        <w:rPr>
          <w:rFonts w:ascii="黑体" w:hAnsi="黑体" w:eastAsia="黑体" w:cs="黑体"/>
          <w:sz w:val="28"/>
          <w:szCs w:val="28"/>
        </w:rPr>
      </w:pPr>
    </w:p>
    <w:p w14:paraId="1C97D418">
      <w:pPr>
        <w:pStyle w:val="7"/>
        <w:spacing w:line="400" w:lineRule="exact"/>
        <w:rPr>
          <w:rStyle w:val="13"/>
          <w:rFonts w:ascii="黑体" w:hAnsi="黑体" w:cs="黑体"/>
          <w:color w:val="auto"/>
          <w:sz w:val="28"/>
          <w:szCs w:val="28"/>
          <w:u w:val="none"/>
        </w:rPr>
      </w:pPr>
      <w:r>
        <w:rPr>
          <w:rStyle w:val="13"/>
          <w:rFonts w:hint="eastAsia" w:ascii="黑体" w:hAnsi="黑体" w:cs="黑体"/>
          <w:color w:val="auto"/>
          <w:sz w:val="28"/>
          <w:szCs w:val="28"/>
          <w:u w:val="none"/>
        </w:rPr>
        <w:t>摘要</w:t>
      </w:r>
    </w:p>
    <w:p w14:paraId="06F0BBDD">
      <w:pPr>
        <w:pStyle w:val="7"/>
        <w:tabs>
          <w:tab w:val="right" w:leader="dot" w:pos="8306"/>
          <w:tab w:val="clear" w:pos="8296"/>
        </w:tabs>
        <w:spacing w:line="400" w:lineRule="exact"/>
        <w:rPr>
          <w:rFonts w:ascii="黑体" w:hAnsi="黑体" w:cs="黑体"/>
          <w:sz w:val="28"/>
          <w:szCs w:val="28"/>
        </w:rPr>
      </w:pPr>
      <w:r>
        <w:rPr>
          <w:rStyle w:val="13"/>
          <w:rFonts w:hint="eastAsia"/>
        </w:rPr>
        <w:fldChar w:fldCharType="begin"/>
      </w:r>
      <w:r>
        <w:rPr>
          <w:rStyle w:val="13"/>
          <w:rFonts w:hint="eastAsia" w:ascii="黑体" w:hAnsi="黑体" w:cs="黑体"/>
          <w:sz w:val="28"/>
          <w:szCs w:val="28"/>
        </w:rPr>
        <w:instrText xml:space="preserve">TOC \o "1-2" \h \z \u</w:instrText>
      </w:r>
      <w:r>
        <w:rPr>
          <w:rStyle w:val="13"/>
          <w:rFonts w:hint="eastAsia"/>
        </w:rPr>
        <w:fldChar w:fldCharType="separate"/>
      </w:r>
      <w:r>
        <w:fldChar w:fldCharType="begin"/>
      </w:r>
      <w:r>
        <w:instrText xml:space="preserve"> HYPERLINK \l "_Toc30665" </w:instrText>
      </w:r>
      <w:r>
        <w:fldChar w:fldCharType="separate"/>
      </w:r>
      <w:r>
        <w:rPr>
          <w:rFonts w:hint="eastAsia" w:ascii="黑体" w:hAnsi="黑体" w:cs="黑体"/>
          <w:kern w:val="44"/>
          <w:sz w:val="28"/>
          <w:szCs w:val="28"/>
        </w:rPr>
        <w:t>一、项目概况</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_Toc30665 </w:instrText>
      </w:r>
      <w:r>
        <w:rPr>
          <w:rFonts w:hint="eastAsia" w:ascii="黑体" w:hAnsi="黑体" w:cs="黑体"/>
          <w:sz w:val="28"/>
          <w:szCs w:val="28"/>
        </w:rPr>
        <w:fldChar w:fldCharType="separate"/>
      </w:r>
      <w:r>
        <w:rPr>
          <w:rFonts w:hint="eastAsia" w:ascii="黑体" w:hAnsi="黑体" w:cs="黑体"/>
          <w:sz w:val="28"/>
          <w:szCs w:val="28"/>
        </w:rPr>
        <w:t>4</w:t>
      </w:r>
      <w:r>
        <w:rPr>
          <w:rFonts w:hint="eastAsia" w:ascii="黑体" w:hAnsi="黑体" w:cs="黑体"/>
          <w:sz w:val="28"/>
          <w:szCs w:val="28"/>
        </w:rPr>
        <w:fldChar w:fldCharType="end"/>
      </w:r>
      <w:r>
        <w:rPr>
          <w:rFonts w:hint="eastAsia" w:ascii="黑体" w:hAnsi="黑体" w:cs="黑体"/>
          <w:sz w:val="28"/>
          <w:szCs w:val="28"/>
        </w:rPr>
        <w:fldChar w:fldCharType="end"/>
      </w:r>
    </w:p>
    <w:p w14:paraId="4521C6D1">
      <w:pPr>
        <w:pStyle w:val="8"/>
        <w:tabs>
          <w:tab w:val="right" w:leader="dot" w:pos="8306"/>
        </w:tabs>
        <w:spacing w:line="400" w:lineRule="exact"/>
        <w:rPr>
          <w:rFonts w:ascii="黑体" w:hAnsi="黑体" w:eastAsia="黑体" w:cs="黑体"/>
          <w:sz w:val="28"/>
          <w:szCs w:val="28"/>
        </w:rPr>
      </w:pPr>
      <w:r>
        <w:fldChar w:fldCharType="begin"/>
      </w:r>
      <w:r>
        <w:instrText xml:space="preserve"> HYPERLINK \l "_Toc31959" </w:instrText>
      </w:r>
      <w:r>
        <w:fldChar w:fldCharType="separate"/>
      </w:r>
      <w:r>
        <w:rPr>
          <w:rFonts w:hint="eastAsia" w:ascii="黑体" w:hAnsi="黑体" w:eastAsia="黑体" w:cs="黑体"/>
          <w:sz w:val="28"/>
          <w:szCs w:val="28"/>
        </w:rPr>
        <w:t>（一）项目立项背景及目的</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_Toc31959 </w:instrText>
      </w:r>
      <w:r>
        <w:rPr>
          <w:rFonts w:hint="eastAsia" w:ascii="黑体" w:hAnsi="黑体" w:eastAsia="黑体" w:cs="黑体"/>
          <w:sz w:val="28"/>
          <w:szCs w:val="28"/>
        </w:rPr>
        <w:fldChar w:fldCharType="separate"/>
      </w:r>
      <w:r>
        <w:rPr>
          <w:rFonts w:hint="eastAsia" w:ascii="黑体" w:hAnsi="黑体" w:eastAsia="黑体" w:cs="黑体"/>
          <w:sz w:val="28"/>
          <w:szCs w:val="28"/>
        </w:rPr>
        <w:t>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0C7439C8">
      <w:pPr>
        <w:pStyle w:val="8"/>
        <w:tabs>
          <w:tab w:val="right" w:leader="dot" w:pos="8306"/>
        </w:tabs>
        <w:spacing w:line="400" w:lineRule="exact"/>
        <w:rPr>
          <w:rFonts w:ascii="黑体" w:hAnsi="黑体" w:eastAsia="黑体" w:cs="黑体"/>
          <w:sz w:val="28"/>
          <w:szCs w:val="28"/>
        </w:rPr>
      </w:pPr>
      <w:r>
        <w:fldChar w:fldCharType="begin"/>
      </w:r>
      <w:r>
        <w:instrText xml:space="preserve"> HYPERLINK \l "_Toc19279" </w:instrText>
      </w:r>
      <w:r>
        <w:fldChar w:fldCharType="separate"/>
      </w:r>
      <w:r>
        <w:rPr>
          <w:rFonts w:hint="eastAsia" w:ascii="黑体" w:hAnsi="黑体" w:eastAsia="黑体" w:cs="黑体"/>
          <w:sz w:val="28"/>
          <w:szCs w:val="28"/>
        </w:rPr>
        <w:t>（二）预算收支情况</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_Toc19279 </w:instrText>
      </w:r>
      <w:r>
        <w:rPr>
          <w:rFonts w:hint="eastAsia" w:ascii="黑体" w:hAnsi="黑体" w:eastAsia="黑体" w:cs="黑体"/>
          <w:sz w:val="28"/>
          <w:szCs w:val="28"/>
        </w:rPr>
        <w:fldChar w:fldCharType="separate"/>
      </w:r>
      <w:r>
        <w:rPr>
          <w:rFonts w:hint="eastAsia" w:ascii="黑体" w:hAnsi="黑体" w:eastAsia="黑体" w:cs="黑体"/>
          <w:sz w:val="28"/>
          <w:szCs w:val="28"/>
        </w:rPr>
        <w:t>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5C487470">
      <w:pPr>
        <w:pStyle w:val="7"/>
        <w:tabs>
          <w:tab w:val="right" w:leader="dot" w:pos="8306"/>
          <w:tab w:val="clear" w:pos="8296"/>
        </w:tabs>
        <w:spacing w:line="400" w:lineRule="exact"/>
        <w:rPr>
          <w:rFonts w:ascii="黑体" w:hAnsi="黑体" w:cs="黑体"/>
          <w:sz w:val="28"/>
          <w:szCs w:val="28"/>
        </w:rPr>
      </w:pPr>
      <w:r>
        <w:fldChar w:fldCharType="begin"/>
      </w:r>
      <w:r>
        <w:instrText xml:space="preserve"> HYPERLINK \l "_Toc29612" </w:instrText>
      </w:r>
      <w:r>
        <w:fldChar w:fldCharType="separate"/>
      </w:r>
      <w:r>
        <w:rPr>
          <w:rFonts w:hint="eastAsia" w:ascii="黑体" w:hAnsi="黑体" w:cs="黑体"/>
          <w:kern w:val="44"/>
          <w:sz w:val="28"/>
          <w:szCs w:val="28"/>
        </w:rPr>
        <w:t>二、评价结论</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_Toc29612 </w:instrText>
      </w:r>
      <w:r>
        <w:rPr>
          <w:rFonts w:hint="eastAsia" w:ascii="黑体" w:hAnsi="黑体" w:cs="黑体"/>
          <w:sz w:val="28"/>
          <w:szCs w:val="28"/>
        </w:rPr>
        <w:fldChar w:fldCharType="separate"/>
      </w:r>
      <w:r>
        <w:rPr>
          <w:rFonts w:hint="eastAsia" w:ascii="黑体" w:hAnsi="黑体" w:cs="黑体"/>
          <w:sz w:val="28"/>
          <w:szCs w:val="28"/>
        </w:rPr>
        <w:t>5</w:t>
      </w:r>
      <w:r>
        <w:rPr>
          <w:rFonts w:hint="eastAsia" w:ascii="黑体" w:hAnsi="黑体" w:cs="黑体"/>
          <w:sz w:val="28"/>
          <w:szCs w:val="28"/>
        </w:rPr>
        <w:fldChar w:fldCharType="end"/>
      </w:r>
      <w:r>
        <w:rPr>
          <w:rFonts w:hint="eastAsia" w:ascii="黑体" w:hAnsi="黑体" w:cs="黑体"/>
          <w:sz w:val="28"/>
          <w:szCs w:val="28"/>
        </w:rPr>
        <w:fldChar w:fldCharType="end"/>
      </w:r>
    </w:p>
    <w:p w14:paraId="2CC5C0BA">
      <w:pPr>
        <w:pStyle w:val="7"/>
        <w:tabs>
          <w:tab w:val="right" w:leader="dot" w:pos="8306"/>
          <w:tab w:val="clear" w:pos="8296"/>
        </w:tabs>
        <w:spacing w:line="400" w:lineRule="exact"/>
        <w:rPr>
          <w:rFonts w:ascii="黑体" w:hAnsi="黑体" w:cs="黑体"/>
          <w:sz w:val="28"/>
          <w:szCs w:val="28"/>
        </w:rPr>
      </w:pPr>
      <w:r>
        <w:fldChar w:fldCharType="begin"/>
      </w:r>
      <w:r>
        <w:instrText xml:space="preserve"> HYPERLINK \l "_Toc31029" </w:instrText>
      </w:r>
      <w:r>
        <w:fldChar w:fldCharType="separate"/>
      </w:r>
      <w:r>
        <w:rPr>
          <w:rFonts w:hint="eastAsia" w:ascii="黑体" w:hAnsi="黑体" w:cs="黑体"/>
          <w:kern w:val="0"/>
          <w:sz w:val="28"/>
          <w:szCs w:val="28"/>
        </w:rPr>
        <w:t>1.评分结果</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_Toc31029 </w:instrText>
      </w:r>
      <w:r>
        <w:rPr>
          <w:rFonts w:hint="eastAsia" w:ascii="黑体" w:hAnsi="黑体" w:cs="黑体"/>
          <w:sz w:val="28"/>
          <w:szCs w:val="28"/>
        </w:rPr>
        <w:fldChar w:fldCharType="separate"/>
      </w:r>
      <w:r>
        <w:rPr>
          <w:rFonts w:hint="eastAsia" w:ascii="黑体" w:hAnsi="黑体" w:cs="黑体"/>
          <w:sz w:val="28"/>
          <w:szCs w:val="28"/>
        </w:rPr>
        <w:t>5</w:t>
      </w:r>
      <w:r>
        <w:rPr>
          <w:rFonts w:hint="eastAsia" w:ascii="黑体" w:hAnsi="黑体" w:cs="黑体"/>
          <w:sz w:val="28"/>
          <w:szCs w:val="28"/>
        </w:rPr>
        <w:fldChar w:fldCharType="end"/>
      </w:r>
      <w:r>
        <w:rPr>
          <w:rFonts w:hint="eastAsia" w:ascii="黑体" w:hAnsi="黑体" w:cs="黑体"/>
          <w:sz w:val="28"/>
          <w:szCs w:val="28"/>
        </w:rPr>
        <w:fldChar w:fldCharType="end"/>
      </w:r>
    </w:p>
    <w:p w14:paraId="2897172B">
      <w:pPr>
        <w:pStyle w:val="7"/>
        <w:tabs>
          <w:tab w:val="right" w:leader="dot" w:pos="8306"/>
          <w:tab w:val="clear" w:pos="8296"/>
        </w:tabs>
        <w:spacing w:line="400" w:lineRule="exact"/>
        <w:rPr>
          <w:rFonts w:ascii="黑体" w:hAnsi="黑体" w:cs="黑体"/>
          <w:sz w:val="28"/>
          <w:szCs w:val="28"/>
        </w:rPr>
      </w:pPr>
      <w:r>
        <w:fldChar w:fldCharType="begin"/>
      </w:r>
      <w:r>
        <w:instrText xml:space="preserve"> HYPERLINK \l "_Toc32494" </w:instrText>
      </w:r>
      <w:r>
        <w:fldChar w:fldCharType="separate"/>
      </w:r>
      <w:r>
        <w:rPr>
          <w:rFonts w:hint="eastAsia" w:ascii="黑体" w:hAnsi="黑体" w:cs="黑体"/>
          <w:kern w:val="44"/>
          <w:sz w:val="28"/>
          <w:szCs w:val="28"/>
        </w:rPr>
        <w:t>三、经验、问题和建议</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_Toc32494 </w:instrText>
      </w:r>
      <w:r>
        <w:rPr>
          <w:rFonts w:hint="eastAsia" w:ascii="黑体" w:hAnsi="黑体" w:cs="黑体"/>
          <w:sz w:val="28"/>
          <w:szCs w:val="28"/>
        </w:rPr>
        <w:fldChar w:fldCharType="separate"/>
      </w:r>
      <w:r>
        <w:rPr>
          <w:rFonts w:hint="eastAsia" w:ascii="黑体" w:hAnsi="黑体" w:cs="黑体"/>
          <w:sz w:val="28"/>
          <w:szCs w:val="28"/>
        </w:rPr>
        <w:t>5</w:t>
      </w:r>
      <w:r>
        <w:rPr>
          <w:rFonts w:hint="eastAsia" w:ascii="黑体" w:hAnsi="黑体" w:cs="黑体"/>
          <w:sz w:val="28"/>
          <w:szCs w:val="28"/>
        </w:rPr>
        <w:fldChar w:fldCharType="end"/>
      </w:r>
      <w:r>
        <w:rPr>
          <w:rFonts w:hint="eastAsia" w:ascii="黑体" w:hAnsi="黑体" w:cs="黑体"/>
          <w:sz w:val="28"/>
          <w:szCs w:val="28"/>
        </w:rPr>
        <w:fldChar w:fldCharType="end"/>
      </w:r>
    </w:p>
    <w:p w14:paraId="29F3340E">
      <w:pPr>
        <w:pStyle w:val="8"/>
        <w:tabs>
          <w:tab w:val="right" w:leader="dot" w:pos="8306"/>
        </w:tabs>
        <w:spacing w:line="400" w:lineRule="exact"/>
        <w:rPr>
          <w:rFonts w:ascii="黑体" w:hAnsi="黑体" w:eastAsia="黑体" w:cs="黑体"/>
          <w:sz w:val="28"/>
          <w:szCs w:val="28"/>
        </w:rPr>
      </w:pPr>
      <w:r>
        <w:fldChar w:fldCharType="begin"/>
      </w:r>
      <w:r>
        <w:instrText xml:space="preserve"> HYPERLINK \l "_Toc13368" </w:instrText>
      </w:r>
      <w:r>
        <w:fldChar w:fldCharType="separate"/>
      </w:r>
      <w:r>
        <w:rPr>
          <w:rFonts w:hint="eastAsia" w:ascii="黑体" w:hAnsi="黑体" w:eastAsia="黑体" w:cs="黑体"/>
          <w:sz w:val="28"/>
          <w:szCs w:val="28"/>
        </w:rPr>
        <w:t>（一）主要经验及做法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_Toc13368 </w:instrText>
      </w:r>
      <w:r>
        <w:rPr>
          <w:rFonts w:hint="eastAsia" w:ascii="黑体" w:hAnsi="黑体" w:eastAsia="黑体" w:cs="黑体"/>
          <w:sz w:val="28"/>
          <w:szCs w:val="28"/>
        </w:rPr>
        <w:fldChar w:fldCharType="separate"/>
      </w:r>
      <w:r>
        <w:rPr>
          <w:rFonts w:hint="eastAsia" w:ascii="黑体" w:hAnsi="黑体" w:eastAsia="黑体" w:cs="黑体"/>
          <w:sz w:val="28"/>
          <w:szCs w:val="28"/>
        </w:rPr>
        <w:t>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22C1288">
      <w:pPr>
        <w:pStyle w:val="8"/>
        <w:tabs>
          <w:tab w:val="right" w:leader="dot" w:pos="8306"/>
        </w:tabs>
        <w:spacing w:line="400" w:lineRule="exact"/>
        <w:rPr>
          <w:rFonts w:ascii="黑体" w:hAnsi="黑体" w:eastAsia="黑体" w:cs="黑体"/>
          <w:sz w:val="28"/>
          <w:szCs w:val="28"/>
        </w:rPr>
      </w:pPr>
      <w:r>
        <w:fldChar w:fldCharType="begin"/>
      </w:r>
      <w:r>
        <w:instrText xml:space="preserve"> HYPERLINK \l "_Toc25769" </w:instrText>
      </w:r>
      <w:r>
        <w:fldChar w:fldCharType="separate"/>
      </w:r>
      <w:r>
        <w:rPr>
          <w:rFonts w:hint="eastAsia" w:ascii="黑体" w:hAnsi="黑体" w:eastAsia="黑体" w:cs="黑体"/>
          <w:sz w:val="28"/>
          <w:szCs w:val="28"/>
        </w:rPr>
        <w:t>（二）存在的问题</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_Toc25769 </w:instrText>
      </w:r>
      <w:r>
        <w:rPr>
          <w:rFonts w:hint="eastAsia" w:ascii="黑体" w:hAnsi="黑体" w:eastAsia="黑体" w:cs="黑体"/>
          <w:sz w:val="28"/>
          <w:szCs w:val="28"/>
        </w:rPr>
        <w:fldChar w:fldCharType="separate"/>
      </w:r>
      <w:r>
        <w:rPr>
          <w:rFonts w:hint="eastAsia" w:ascii="黑体" w:hAnsi="黑体" w:eastAsia="黑体" w:cs="黑体"/>
          <w:sz w:val="28"/>
          <w:szCs w:val="28"/>
        </w:rPr>
        <w:t>6</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44C7990E">
      <w:pPr>
        <w:pStyle w:val="8"/>
        <w:tabs>
          <w:tab w:val="right" w:leader="dot" w:pos="8306"/>
        </w:tabs>
        <w:spacing w:line="400" w:lineRule="exact"/>
        <w:rPr>
          <w:rFonts w:ascii="黑体" w:hAnsi="黑体" w:eastAsia="黑体" w:cs="黑体"/>
          <w:sz w:val="28"/>
          <w:szCs w:val="28"/>
        </w:rPr>
      </w:pPr>
      <w:r>
        <w:fldChar w:fldCharType="begin"/>
      </w:r>
      <w:r>
        <w:instrText xml:space="preserve"> HYPERLINK \l "_Toc14165" </w:instrText>
      </w:r>
      <w:r>
        <w:fldChar w:fldCharType="separate"/>
      </w:r>
      <w:r>
        <w:rPr>
          <w:rFonts w:hint="eastAsia" w:ascii="黑体" w:hAnsi="黑体" w:eastAsia="黑体" w:cs="黑体"/>
          <w:sz w:val="28"/>
          <w:szCs w:val="28"/>
        </w:rPr>
        <w:t>（三）建议和改进措施</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_Toc14165 </w:instrText>
      </w:r>
      <w:r>
        <w:rPr>
          <w:rFonts w:hint="eastAsia" w:ascii="黑体" w:hAnsi="黑体" w:eastAsia="黑体" w:cs="黑体"/>
          <w:sz w:val="28"/>
          <w:szCs w:val="28"/>
        </w:rPr>
        <w:fldChar w:fldCharType="separate"/>
      </w:r>
      <w:r>
        <w:rPr>
          <w:rFonts w:hint="eastAsia" w:ascii="黑体" w:hAnsi="黑体" w:eastAsia="黑体" w:cs="黑体"/>
          <w:sz w:val="28"/>
          <w:szCs w:val="28"/>
        </w:rPr>
        <w:t>6</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486D10B4">
      <w:pPr>
        <w:spacing w:line="400" w:lineRule="exact"/>
        <w:jc w:val="center"/>
        <w:rPr>
          <w:rFonts w:ascii="黑体" w:hAnsi="黑体" w:eastAsia="黑体" w:cs="黑体"/>
          <w:sz w:val="28"/>
          <w:szCs w:val="28"/>
        </w:rPr>
      </w:pPr>
      <w:r>
        <w:rPr>
          <w:rFonts w:hint="eastAsia" w:ascii="黑体" w:hAnsi="黑体" w:eastAsia="黑体" w:cs="黑体"/>
          <w:sz w:val="28"/>
          <w:szCs w:val="28"/>
        </w:rPr>
        <w:t>正文</w:t>
      </w:r>
    </w:p>
    <w:p w14:paraId="6B7F0B6C">
      <w:pPr>
        <w:pStyle w:val="7"/>
        <w:tabs>
          <w:tab w:val="right" w:leader="dot" w:pos="8306"/>
          <w:tab w:val="clear" w:pos="8296"/>
        </w:tabs>
        <w:spacing w:line="400" w:lineRule="exact"/>
        <w:rPr>
          <w:rFonts w:ascii="黑体" w:hAnsi="黑体" w:cs="黑体"/>
          <w:sz w:val="28"/>
          <w:szCs w:val="28"/>
        </w:rPr>
      </w:pPr>
      <w:r>
        <w:fldChar w:fldCharType="begin"/>
      </w:r>
      <w:r>
        <w:instrText xml:space="preserve"> HYPERLINK \l "_Toc21638" </w:instrText>
      </w:r>
      <w:r>
        <w:fldChar w:fldCharType="separate"/>
      </w:r>
      <w:r>
        <w:rPr>
          <w:rFonts w:hint="eastAsia" w:ascii="黑体" w:hAnsi="黑体" w:cs="黑体"/>
          <w:kern w:val="44"/>
          <w:sz w:val="28"/>
          <w:szCs w:val="28"/>
        </w:rPr>
        <w:t>一、项目基本情况</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_Toc21638 </w:instrText>
      </w:r>
      <w:r>
        <w:rPr>
          <w:rFonts w:hint="eastAsia" w:ascii="黑体" w:hAnsi="黑体" w:cs="黑体"/>
          <w:sz w:val="28"/>
          <w:szCs w:val="28"/>
        </w:rPr>
        <w:fldChar w:fldCharType="separate"/>
      </w:r>
      <w:r>
        <w:rPr>
          <w:rFonts w:hint="eastAsia" w:ascii="黑体" w:hAnsi="黑体" w:cs="黑体"/>
          <w:sz w:val="28"/>
          <w:szCs w:val="28"/>
        </w:rPr>
        <w:t>8</w:t>
      </w:r>
      <w:r>
        <w:rPr>
          <w:rFonts w:hint="eastAsia" w:ascii="黑体" w:hAnsi="黑体" w:cs="黑体"/>
          <w:sz w:val="28"/>
          <w:szCs w:val="28"/>
        </w:rPr>
        <w:fldChar w:fldCharType="end"/>
      </w:r>
      <w:r>
        <w:rPr>
          <w:rFonts w:hint="eastAsia" w:ascii="黑体" w:hAnsi="黑体" w:cs="黑体"/>
          <w:sz w:val="28"/>
          <w:szCs w:val="28"/>
        </w:rPr>
        <w:fldChar w:fldCharType="end"/>
      </w:r>
    </w:p>
    <w:p w14:paraId="4904DCF1">
      <w:pPr>
        <w:pStyle w:val="8"/>
        <w:tabs>
          <w:tab w:val="right" w:leader="dot" w:pos="8306"/>
        </w:tabs>
        <w:spacing w:line="400" w:lineRule="exact"/>
        <w:rPr>
          <w:rFonts w:ascii="黑体" w:hAnsi="黑体" w:eastAsia="黑体" w:cs="黑体"/>
          <w:sz w:val="28"/>
          <w:szCs w:val="28"/>
        </w:rPr>
      </w:pPr>
      <w:r>
        <w:fldChar w:fldCharType="begin"/>
      </w:r>
      <w:r>
        <w:instrText xml:space="preserve"> HYPERLINK \l "_Toc14789" </w:instrText>
      </w:r>
      <w:r>
        <w:fldChar w:fldCharType="separate"/>
      </w:r>
      <w:r>
        <w:rPr>
          <w:rFonts w:hint="eastAsia" w:ascii="黑体" w:hAnsi="黑体" w:eastAsia="黑体" w:cs="黑体"/>
          <w:sz w:val="28"/>
          <w:szCs w:val="28"/>
        </w:rPr>
        <w:t>（一）项目概况</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_Toc14789 </w:instrText>
      </w:r>
      <w:r>
        <w:rPr>
          <w:rFonts w:hint="eastAsia" w:ascii="黑体" w:hAnsi="黑体" w:eastAsia="黑体" w:cs="黑体"/>
          <w:sz w:val="28"/>
          <w:szCs w:val="28"/>
        </w:rPr>
        <w:fldChar w:fldCharType="separate"/>
      </w:r>
      <w:r>
        <w:rPr>
          <w:rFonts w:hint="eastAsia" w:ascii="黑体" w:hAnsi="黑体" w:eastAsia="黑体" w:cs="黑体"/>
          <w:sz w:val="28"/>
          <w:szCs w:val="28"/>
        </w:rPr>
        <w:t>8</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2AED576F">
      <w:pPr>
        <w:pStyle w:val="8"/>
        <w:tabs>
          <w:tab w:val="right" w:leader="dot" w:pos="8306"/>
        </w:tabs>
        <w:spacing w:line="400" w:lineRule="exact"/>
        <w:rPr>
          <w:rFonts w:ascii="黑体" w:hAnsi="黑体" w:eastAsia="黑体" w:cs="黑体"/>
          <w:sz w:val="28"/>
          <w:szCs w:val="28"/>
        </w:rPr>
      </w:pPr>
      <w:r>
        <w:fldChar w:fldCharType="begin"/>
      </w:r>
      <w:r>
        <w:instrText xml:space="preserve"> HYPERLINK \l "_Toc7744" </w:instrText>
      </w:r>
      <w:r>
        <w:fldChar w:fldCharType="separate"/>
      </w:r>
      <w:r>
        <w:rPr>
          <w:rFonts w:hint="eastAsia" w:ascii="黑体" w:hAnsi="黑体" w:eastAsia="黑体" w:cs="黑体"/>
          <w:sz w:val="28"/>
          <w:szCs w:val="28"/>
        </w:rPr>
        <w:t>（二）项目绩效目标</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_Toc7744 </w:instrText>
      </w:r>
      <w:r>
        <w:rPr>
          <w:rFonts w:hint="eastAsia" w:ascii="黑体" w:hAnsi="黑体" w:eastAsia="黑体" w:cs="黑体"/>
          <w:sz w:val="28"/>
          <w:szCs w:val="28"/>
        </w:rPr>
        <w:fldChar w:fldCharType="separate"/>
      </w:r>
      <w:r>
        <w:rPr>
          <w:rFonts w:hint="eastAsia" w:ascii="黑体" w:hAnsi="黑体" w:eastAsia="黑体" w:cs="黑体"/>
          <w:sz w:val="28"/>
          <w:szCs w:val="28"/>
        </w:rPr>
        <w:t>12</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4A27331">
      <w:pPr>
        <w:pStyle w:val="7"/>
        <w:tabs>
          <w:tab w:val="right" w:leader="dot" w:pos="8306"/>
          <w:tab w:val="clear" w:pos="8296"/>
        </w:tabs>
        <w:spacing w:line="400" w:lineRule="exact"/>
        <w:rPr>
          <w:rFonts w:ascii="黑体" w:hAnsi="黑体" w:cs="黑体"/>
          <w:sz w:val="28"/>
          <w:szCs w:val="28"/>
        </w:rPr>
      </w:pPr>
      <w:r>
        <w:fldChar w:fldCharType="begin"/>
      </w:r>
      <w:r>
        <w:instrText xml:space="preserve"> HYPERLINK \l "_Toc26845" </w:instrText>
      </w:r>
      <w:r>
        <w:fldChar w:fldCharType="separate"/>
      </w:r>
      <w:r>
        <w:rPr>
          <w:rFonts w:hint="eastAsia" w:ascii="黑体" w:hAnsi="黑体" w:cs="黑体"/>
          <w:kern w:val="44"/>
          <w:sz w:val="28"/>
          <w:szCs w:val="28"/>
        </w:rPr>
        <w:t>二、绩效评价工作情况</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_Toc26845 </w:instrText>
      </w:r>
      <w:r>
        <w:rPr>
          <w:rFonts w:hint="eastAsia" w:ascii="黑体" w:hAnsi="黑体" w:cs="黑体"/>
          <w:sz w:val="28"/>
          <w:szCs w:val="28"/>
        </w:rPr>
        <w:fldChar w:fldCharType="separate"/>
      </w:r>
      <w:r>
        <w:rPr>
          <w:rFonts w:hint="eastAsia" w:ascii="黑体" w:hAnsi="黑体" w:cs="黑体"/>
          <w:sz w:val="28"/>
          <w:szCs w:val="28"/>
        </w:rPr>
        <w:t>13</w:t>
      </w:r>
      <w:r>
        <w:rPr>
          <w:rFonts w:hint="eastAsia" w:ascii="黑体" w:hAnsi="黑体" w:cs="黑体"/>
          <w:sz w:val="28"/>
          <w:szCs w:val="28"/>
        </w:rPr>
        <w:fldChar w:fldCharType="end"/>
      </w:r>
      <w:r>
        <w:rPr>
          <w:rFonts w:hint="eastAsia" w:ascii="黑体" w:hAnsi="黑体" w:cs="黑体"/>
          <w:sz w:val="28"/>
          <w:szCs w:val="28"/>
        </w:rPr>
        <w:fldChar w:fldCharType="end"/>
      </w:r>
    </w:p>
    <w:p w14:paraId="7FA0A7D3">
      <w:pPr>
        <w:pStyle w:val="8"/>
        <w:tabs>
          <w:tab w:val="right" w:leader="dot" w:pos="8306"/>
        </w:tabs>
        <w:spacing w:line="400" w:lineRule="exact"/>
        <w:rPr>
          <w:rFonts w:ascii="黑体" w:hAnsi="黑体" w:eastAsia="黑体" w:cs="黑体"/>
          <w:sz w:val="28"/>
          <w:szCs w:val="28"/>
        </w:rPr>
      </w:pPr>
      <w:r>
        <w:fldChar w:fldCharType="begin"/>
      </w:r>
      <w:r>
        <w:instrText xml:space="preserve"> HYPERLINK \l "_Toc9999" </w:instrText>
      </w:r>
      <w:r>
        <w:fldChar w:fldCharType="separate"/>
      </w:r>
      <w:r>
        <w:rPr>
          <w:rFonts w:hint="eastAsia" w:ascii="黑体" w:hAnsi="黑体" w:eastAsia="黑体" w:cs="黑体"/>
          <w:sz w:val="28"/>
          <w:szCs w:val="28"/>
        </w:rPr>
        <w:t>(一)评价的目的和依据</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_Toc9999 </w:instrText>
      </w:r>
      <w:r>
        <w:rPr>
          <w:rFonts w:hint="eastAsia" w:ascii="黑体" w:hAnsi="黑体" w:eastAsia="黑体" w:cs="黑体"/>
          <w:sz w:val="28"/>
          <w:szCs w:val="28"/>
        </w:rPr>
        <w:fldChar w:fldCharType="separate"/>
      </w:r>
      <w:r>
        <w:rPr>
          <w:rFonts w:hint="eastAsia" w:ascii="黑体" w:hAnsi="黑体" w:eastAsia="黑体" w:cs="黑体"/>
          <w:sz w:val="28"/>
          <w:szCs w:val="28"/>
        </w:rPr>
        <w:t>13</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113CF70">
      <w:pPr>
        <w:pStyle w:val="8"/>
        <w:tabs>
          <w:tab w:val="right" w:leader="dot" w:pos="8306"/>
        </w:tabs>
        <w:spacing w:line="400" w:lineRule="exact"/>
        <w:rPr>
          <w:rFonts w:ascii="黑体" w:hAnsi="黑体" w:eastAsia="黑体" w:cs="黑体"/>
          <w:sz w:val="28"/>
          <w:szCs w:val="28"/>
        </w:rPr>
      </w:pPr>
      <w:r>
        <w:fldChar w:fldCharType="begin"/>
      </w:r>
      <w:r>
        <w:instrText xml:space="preserve"> HYPERLINK \l "_Toc22709" </w:instrText>
      </w:r>
      <w:r>
        <w:fldChar w:fldCharType="separate"/>
      </w:r>
      <w:r>
        <w:rPr>
          <w:rFonts w:hint="eastAsia" w:ascii="黑体" w:hAnsi="黑体" w:eastAsia="黑体" w:cs="黑体"/>
          <w:sz w:val="28"/>
          <w:szCs w:val="28"/>
        </w:rPr>
        <w:t>（二）绩效评价工作方案制定过程</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_Toc22709 </w:instrText>
      </w:r>
      <w:r>
        <w:rPr>
          <w:rFonts w:hint="eastAsia" w:ascii="黑体" w:hAnsi="黑体" w:eastAsia="黑体" w:cs="黑体"/>
          <w:sz w:val="28"/>
          <w:szCs w:val="28"/>
        </w:rPr>
        <w:fldChar w:fldCharType="separate"/>
      </w:r>
      <w:r>
        <w:rPr>
          <w:rFonts w:hint="eastAsia" w:ascii="黑体" w:hAnsi="黑体" w:eastAsia="黑体" w:cs="黑体"/>
          <w:sz w:val="28"/>
          <w:szCs w:val="28"/>
        </w:rPr>
        <w:t>14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6B62AE13">
      <w:pPr>
        <w:pStyle w:val="8"/>
        <w:tabs>
          <w:tab w:val="right" w:leader="dot" w:pos="8306"/>
        </w:tabs>
        <w:spacing w:line="400" w:lineRule="exact"/>
        <w:rPr>
          <w:rFonts w:ascii="黑体" w:hAnsi="黑体" w:eastAsia="黑体" w:cs="黑体"/>
          <w:sz w:val="28"/>
          <w:szCs w:val="28"/>
        </w:rPr>
      </w:pPr>
      <w:r>
        <w:fldChar w:fldCharType="begin"/>
      </w:r>
      <w:r>
        <w:instrText xml:space="preserve"> HYPERLINK \l "_Toc23046" </w:instrText>
      </w:r>
      <w:r>
        <w:fldChar w:fldCharType="separate"/>
      </w:r>
      <w:r>
        <w:rPr>
          <w:rFonts w:hint="eastAsia" w:ascii="黑体" w:hAnsi="黑体" w:eastAsia="黑体" w:cs="黑体"/>
          <w:sz w:val="28"/>
          <w:szCs w:val="28"/>
        </w:rPr>
        <w:t>（三）绩效评价原则及评价方法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_Toc23046 </w:instrText>
      </w:r>
      <w:r>
        <w:rPr>
          <w:rFonts w:hint="eastAsia" w:ascii="黑体" w:hAnsi="黑体" w:eastAsia="黑体" w:cs="黑体"/>
          <w:sz w:val="28"/>
          <w:szCs w:val="28"/>
        </w:rPr>
        <w:fldChar w:fldCharType="separate"/>
      </w:r>
      <w:r>
        <w:rPr>
          <w:rFonts w:hint="eastAsia" w:ascii="黑体" w:hAnsi="黑体" w:eastAsia="黑体" w:cs="黑体"/>
          <w:sz w:val="28"/>
          <w:szCs w:val="28"/>
        </w:rPr>
        <w:t>14</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17DD3A5">
      <w:pPr>
        <w:pStyle w:val="8"/>
        <w:tabs>
          <w:tab w:val="right" w:leader="dot" w:pos="8306"/>
        </w:tabs>
        <w:spacing w:line="400" w:lineRule="exact"/>
        <w:rPr>
          <w:rFonts w:ascii="黑体" w:hAnsi="黑体" w:eastAsia="黑体" w:cs="黑体"/>
          <w:sz w:val="28"/>
          <w:szCs w:val="28"/>
        </w:rPr>
      </w:pPr>
      <w:r>
        <w:fldChar w:fldCharType="begin"/>
      </w:r>
      <w:r>
        <w:instrText xml:space="preserve"> HYPERLINK \l "_Toc17021" </w:instrText>
      </w:r>
      <w:r>
        <w:fldChar w:fldCharType="separate"/>
      </w:r>
      <w:r>
        <w:rPr>
          <w:rFonts w:hint="eastAsia" w:ascii="黑体" w:hAnsi="黑体" w:eastAsia="黑体" w:cs="黑体"/>
          <w:sz w:val="28"/>
          <w:szCs w:val="28"/>
        </w:rPr>
        <w:t>(四) 绩效评价实施过程</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_Toc17021 </w:instrText>
      </w:r>
      <w:r>
        <w:rPr>
          <w:rFonts w:hint="eastAsia" w:ascii="黑体" w:hAnsi="黑体" w:eastAsia="黑体" w:cs="黑体"/>
          <w:sz w:val="28"/>
          <w:szCs w:val="28"/>
        </w:rPr>
        <w:fldChar w:fldCharType="separate"/>
      </w:r>
      <w:r>
        <w:rPr>
          <w:rFonts w:hint="eastAsia" w:ascii="黑体" w:hAnsi="黑体" w:eastAsia="黑体" w:cs="黑体"/>
          <w:sz w:val="28"/>
          <w:szCs w:val="28"/>
        </w:rPr>
        <w:t>15</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CA1E993">
      <w:pPr>
        <w:pStyle w:val="8"/>
        <w:tabs>
          <w:tab w:val="right" w:leader="dot" w:pos="8306"/>
        </w:tabs>
        <w:spacing w:line="400" w:lineRule="exact"/>
        <w:rPr>
          <w:rFonts w:ascii="黑体" w:hAnsi="黑体" w:eastAsia="黑体" w:cs="黑体"/>
          <w:sz w:val="28"/>
          <w:szCs w:val="28"/>
        </w:rPr>
      </w:pPr>
      <w:r>
        <w:fldChar w:fldCharType="begin"/>
      </w:r>
      <w:r>
        <w:instrText xml:space="preserve"> HYPERLINK \l "_Toc30282" </w:instrText>
      </w:r>
      <w:r>
        <w:fldChar w:fldCharType="separate"/>
      </w:r>
      <w:r>
        <w:rPr>
          <w:rFonts w:hint="eastAsia" w:ascii="黑体" w:hAnsi="黑体" w:eastAsia="黑体" w:cs="黑体"/>
          <w:sz w:val="28"/>
          <w:szCs w:val="28"/>
        </w:rPr>
        <w:t>（五）绩效评价的局限性</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_Toc30282 </w:instrText>
      </w:r>
      <w:r>
        <w:rPr>
          <w:rFonts w:hint="eastAsia" w:ascii="黑体" w:hAnsi="黑体" w:eastAsia="黑体" w:cs="黑体"/>
          <w:sz w:val="28"/>
          <w:szCs w:val="28"/>
        </w:rPr>
        <w:fldChar w:fldCharType="separate"/>
      </w:r>
      <w:r>
        <w:rPr>
          <w:rFonts w:hint="eastAsia" w:ascii="黑体" w:hAnsi="黑体" w:eastAsia="黑体" w:cs="黑体"/>
          <w:sz w:val="28"/>
          <w:szCs w:val="28"/>
        </w:rPr>
        <w:t>16</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7AE2D16E">
      <w:pPr>
        <w:pStyle w:val="7"/>
        <w:tabs>
          <w:tab w:val="right" w:leader="dot" w:pos="8306"/>
          <w:tab w:val="clear" w:pos="8296"/>
        </w:tabs>
        <w:spacing w:line="400" w:lineRule="exact"/>
        <w:rPr>
          <w:rFonts w:ascii="黑体" w:hAnsi="黑体" w:cs="黑体"/>
          <w:sz w:val="28"/>
          <w:szCs w:val="28"/>
        </w:rPr>
      </w:pPr>
      <w:r>
        <w:fldChar w:fldCharType="begin"/>
      </w:r>
      <w:r>
        <w:instrText xml:space="preserve"> HYPERLINK \l "_Toc15354" </w:instrText>
      </w:r>
      <w:r>
        <w:fldChar w:fldCharType="separate"/>
      </w:r>
      <w:r>
        <w:rPr>
          <w:rFonts w:hint="eastAsia" w:ascii="黑体" w:hAnsi="黑体" w:cs="黑体"/>
          <w:kern w:val="44"/>
          <w:sz w:val="28"/>
          <w:szCs w:val="28"/>
        </w:rPr>
        <w:t>三、评价结论和绩效分析</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_Toc15354 </w:instrText>
      </w:r>
      <w:r>
        <w:rPr>
          <w:rFonts w:hint="eastAsia" w:ascii="黑体" w:hAnsi="黑体" w:cs="黑体"/>
          <w:sz w:val="28"/>
          <w:szCs w:val="28"/>
        </w:rPr>
        <w:fldChar w:fldCharType="separate"/>
      </w:r>
      <w:r>
        <w:rPr>
          <w:rFonts w:hint="eastAsia" w:ascii="黑体" w:hAnsi="黑体" w:cs="黑体"/>
          <w:sz w:val="28"/>
          <w:szCs w:val="28"/>
        </w:rPr>
        <w:t>16</w:t>
      </w:r>
      <w:r>
        <w:rPr>
          <w:rFonts w:hint="eastAsia" w:ascii="黑体" w:hAnsi="黑体" w:cs="黑体"/>
          <w:sz w:val="28"/>
          <w:szCs w:val="28"/>
        </w:rPr>
        <w:fldChar w:fldCharType="end"/>
      </w:r>
      <w:r>
        <w:rPr>
          <w:rFonts w:hint="eastAsia" w:ascii="黑体" w:hAnsi="黑体" w:cs="黑体"/>
          <w:sz w:val="28"/>
          <w:szCs w:val="28"/>
        </w:rPr>
        <w:fldChar w:fldCharType="end"/>
      </w:r>
    </w:p>
    <w:p w14:paraId="1548BE04">
      <w:pPr>
        <w:pStyle w:val="8"/>
        <w:tabs>
          <w:tab w:val="right" w:leader="dot" w:pos="8306"/>
        </w:tabs>
        <w:spacing w:line="400" w:lineRule="exact"/>
        <w:rPr>
          <w:rFonts w:ascii="黑体" w:hAnsi="黑体" w:eastAsia="黑体" w:cs="黑体"/>
          <w:sz w:val="28"/>
          <w:szCs w:val="28"/>
        </w:rPr>
      </w:pPr>
      <w:r>
        <w:fldChar w:fldCharType="begin"/>
      </w:r>
      <w:r>
        <w:instrText xml:space="preserve"> HYPERLINK \l "_Toc3472" </w:instrText>
      </w:r>
      <w:r>
        <w:fldChar w:fldCharType="separate"/>
      </w:r>
      <w:r>
        <w:rPr>
          <w:rFonts w:hint="eastAsia" w:ascii="黑体" w:hAnsi="黑体" w:eastAsia="黑体" w:cs="黑体"/>
          <w:sz w:val="28"/>
          <w:szCs w:val="28"/>
        </w:rPr>
        <w:t>(一)评价结论</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_Toc3472 </w:instrText>
      </w:r>
      <w:r>
        <w:rPr>
          <w:rFonts w:hint="eastAsia" w:ascii="黑体" w:hAnsi="黑体" w:eastAsia="黑体" w:cs="黑体"/>
          <w:sz w:val="28"/>
          <w:szCs w:val="28"/>
        </w:rPr>
        <w:fldChar w:fldCharType="separate"/>
      </w:r>
      <w:r>
        <w:rPr>
          <w:rFonts w:hint="eastAsia" w:ascii="黑体" w:hAnsi="黑体" w:eastAsia="黑体" w:cs="黑体"/>
          <w:sz w:val="28"/>
          <w:szCs w:val="28"/>
        </w:rPr>
        <w:t>16</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17B88432">
      <w:pPr>
        <w:pStyle w:val="8"/>
        <w:tabs>
          <w:tab w:val="right" w:leader="dot" w:pos="8306"/>
        </w:tabs>
        <w:spacing w:line="400" w:lineRule="exact"/>
        <w:rPr>
          <w:rFonts w:ascii="黑体" w:hAnsi="黑体" w:eastAsia="黑体" w:cs="黑体"/>
          <w:sz w:val="28"/>
          <w:szCs w:val="28"/>
        </w:rPr>
      </w:pPr>
      <w:r>
        <w:fldChar w:fldCharType="begin"/>
      </w:r>
      <w:r>
        <w:instrText xml:space="preserve"> HYPERLINK \l "_Toc7949" </w:instrText>
      </w:r>
      <w:r>
        <w:fldChar w:fldCharType="separate"/>
      </w:r>
      <w:r>
        <w:rPr>
          <w:rFonts w:hint="eastAsia" w:ascii="黑体" w:hAnsi="黑体" w:eastAsia="黑体" w:cs="黑体"/>
          <w:sz w:val="28"/>
          <w:szCs w:val="28"/>
        </w:rPr>
        <w:t>（二）具体绩效分析</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_Toc7949 </w:instrText>
      </w:r>
      <w:r>
        <w:rPr>
          <w:rFonts w:hint="eastAsia" w:ascii="黑体" w:hAnsi="黑体" w:eastAsia="黑体" w:cs="黑体"/>
          <w:sz w:val="28"/>
          <w:szCs w:val="28"/>
        </w:rPr>
        <w:fldChar w:fldCharType="separate"/>
      </w:r>
      <w:r>
        <w:rPr>
          <w:rFonts w:hint="eastAsia" w:ascii="黑体" w:hAnsi="黑体" w:eastAsia="黑体" w:cs="黑体"/>
          <w:sz w:val="28"/>
          <w:szCs w:val="28"/>
        </w:rPr>
        <w:t>17</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43CE662B">
      <w:pPr>
        <w:pStyle w:val="7"/>
        <w:tabs>
          <w:tab w:val="right" w:leader="dot" w:pos="8306"/>
          <w:tab w:val="clear" w:pos="8296"/>
        </w:tabs>
        <w:spacing w:line="400" w:lineRule="exact"/>
        <w:rPr>
          <w:rFonts w:ascii="黑体" w:hAnsi="黑体" w:cs="黑体"/>
          <w:sz w:val="28"/>
          <w:szCs w:val="28"/>
        </w:rPr>
      </w:pPr>
      <w:r>
        <w:fldChar w:fldCharType="begin"/>
      </w:r>
      <w:r>
        <w:instrText xml:space="preserve"> HYPERLINK \l "_Toc19786" </w:instrText>
      </w:r>
      <w:r>
        <w:fldChar w:fldCharType="separate"/>
      </w:r>
      <w:r>
        <w:rPr>
          <w:rFonts w:hint="eastAsia" w:ascii="黑体" w:hAnsi="黑体" w:cs="黑体"/>
          <w:kern w:val="44"/>
          <w:sz w:val="28"/>
          <w:szCs w:val="28"/>
        </w:rPr>
        <w:t>四、成本效益分析</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_Toc19786 </w:instrText>
      </w:r>
      <w:r>
        <w:rPr>
          <w:rFonts w:hint="eastAsia" w:ascii="黑体" w:hAnsi="黑体" w:cs="黑体"/>
          <w:sz w:val="28"/>
          <w:szCs w:val="28"/>
        </w:rPr>
        <w:fldChar w:fldCharType="separate"/>
      </w:r>
      <w:r>
        <w:rPr>
          <w:rFonts w:hint="eastAsia" w:ascii="黑体" w:hAnsi="黑体" w:cs="黑体"/>
          <w:sz w:val="28"/>
          <w:szCs w:val="28"/>
        </w:rPr>
        <w:t>17</w:t>
      </w:r>
      <w:r>
        <w:rPr>
          <w:rFonts w:hint="eastAsia" w:ascii="黑体" w:hAnsi="黑体" w:cs="黑体"/>
          <w:sz w:val="28"/>
          <w:szCs w:val="28"/>
        </w:rPr>
        <w:fldChar w:fldCharType="end"/>
      </w:r>
      <w:r>
        <w:rPr>
          <w:rFonts w:hint="eastAsia" w:ascii="黑体" w:hAnsi="黑体" w:cs="黑体"/>
          <w:sz w:val="28"/>
          <w:szCs w:val="28"/>
        </w:rPr>
        <w:fldChar w:fldCharType="end"/>
      </w:r>
    </w:p>
    <w:p w14:paraId="78E2A209">
      <w:pPr>
        <w:pStyle w:val="8"/>
        <w:tabs>
          <w:tab w:val="right" w:leader="dot" w:pos="8306"/>
        </w:tabs>
        <w:spacing w:line="400" w:lineRule="exact"/>
        <w:rPr>
          <w:rFonts w:ascii="黑体" w:hAnsi="黑体" w:eastAsia="黑体" w:cs="黑体"/>
          <w:sz w:val="28"/>
          <w:szCs w:val="28"/>
        </w:rPr>
      </w:pPr>
      <w:r>
        <w:fldChar w:fldCharType="begin"/>
      </w:r>
      <w:r>
        <w:instrText xml:space="preserve"> HYPERLINK \l "_Toc31269" </w:instrText>
      </w:r>
      <w:r>
        <w:fldChar w:fldCharType="separate"/>
      </w:r>
      <w:r>
        <w:rPr>
          <w:rFonts w:hint="eastAsia" w:ascii="黑体" w:hAnsi="黑体" w:eastAsia="黑体" w:cs="黑体"/>
          <w:sz w:val="28"/>
          <w:szCs w:val="28"/>
        </w:rPr>
        <w:t>（一）项目经济性分析</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_Toc31269 </w:instrText>
      </w:r>
      <w:r>
        <w:rPr>
          <w:rFonts w:hint="eastAsia" w:ascii="黑体" w:hAnsi="黑体" w:eastAsia="黑体" w:cs="黑体"/>
          <w:sz w:val="28"/>
          <w:szCs w:val="28"/>
        </w:rPr>
        <w:fldChar w:fldCharType="separate"/>
      </w:r>
      <w:r>
        <w:rPr>
          <w:rFonts w:hint="eastAsia" w:ascii="黑体" w:hAnsi="黑体" w:eastAsia="黑体" w:cs="黑体"/>
          <w:sz w:val="28"/>
          <w:szCs w:val="28"/>
        </w:rPr>
        <w:t>17</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5A8A4554">
      <w:pPr>
        <w:pStyle w:val="8"/>
        <w:tabs>
          <w:tab w:val="right" w:leader="dot" w:pos="8306"/>
        </w:tabs>
        <w:spacing w:line="400" w:lineRule="exact"/>
        <w:rPr>
          <w:rFonts w:ascii="黑体" w:hAnsi="黑体" w:eastAsia="黑体" w:cs="黑体"/>
          <w:sz w:val="28"/>
          <w:szCs w:val="28"/>
        </w:rPr>
      </w:pPr>
      <w:r>
        <w:fldChar w:fldCharType="begin"/>
      </w:r>
      <w:r>
        <w:instrText xml:space="preserve"> HYPERLINK \l "_Toc28106" </w:instrText>
      </w:r>
      <w:r>
        <w:fldChar w:fldCharType="separate"/>
      </w:r>
      <w:r>
        <w:rPr>
          <w:rFonts w:hint="eastAsia" w:ascii="黑体" w:hAnsi="黑体" w:eastAsia="黑体" w:cs="黑体"/>
          <w:sz w:val="28"/>
          <w:szCs w:val="28"/>
        </w:rPr>
        <w:t>（二）项目的效益性分析</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_Toc28106 </w:instrText>
      </w:r>
      <w:r>
        <w:rPr>
          <w:rFonts w:hint="eastAsia" w:ascii="黑体" w:hAnsi="黑体" w:eastAsia="黑体" w:cs="黑体"/>
          <w:sz w:val="28"/>
          <w:szCs w:val="28"/>
        </w:rPr>
        <w:fldChar w:fldCharType="separate"/>
      </w:r>
      <w:r>
        <w:rPr>
          <w:rFonts w:hint="eastAsia" w:ascii="黑体" w:hAnsi="黑体" w:eastAsia="黑体" w:cs="黑体"/>
          <w:sz w:val="28"/>
          <w:szCs w:val="28"/>
        </w:rPr>
        <w:t>17</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30C2C486">
      <w:pPr>
        <w:pStyle w:val="7"/>
        <w:tabs>
          <w:tab w:val="right" w:leader="dot" w:pos="8306"/>
          <w:tab w:val="clear" w:pos="8296"/>
        </w:tabs>
        <w:spacing w:line="400" w:lineRule="exact"/>
        <w:rPr>
          <w:rFonts w:ascii="黑体" w:hAnsi="黑体" w:cs="黑体"/>
          <w:sz w:val="28"/>
          <w:szCs w:val="28"/>
        </w:rPr>
      </w:pPr>
      <w:r>
        <w:fldChar w:fldCharType="begin"/>
      </w:r>
      <w:r>
        <w:instrText xml:space="preserve"> HYPERLINK \l "_Toc364" </w:instrText>
      </w:r>
      <w:r>
        <w:fldChar w:fldCharType="separate"/>
      </w:r>
      <w:r>
        <w:rPr>
          <w:rFonts w:hint="eastAsia" w:ascii="黑体" w:hAnsi="黑体" w:cs="黑体"/>
          <w:kern w:val="44"/>
          <w:sz w:val="28"/>
          <w:szCs w:val="28"/>
        </w:rPr>
        <w:t>五、项目主要经验及做法、存在的问题和建议</w:t>
      </w:r>
      <w:r>
        <w:rPr>
          <w:rFonts w:hint="eastAsia" w:ascii="黑体" w:hAnsi="黑体" w:cs="黑体"/>
          <w:sz w:val="28"/>
          <w:szCs w:val="28"/>
        </w:rPr>
        <w:tab/>
      </w:r>
      <w:r>
        <w:rPr>
          <w:rFonts w:hint="eastAsia" w:ascii="黑体" w:hAnsi="黑体" w:cs="黑体"/>
          <w:sz w:val="28"/>
          <w:szCs w:val="28"/>
        </w:rPr>
        <w:fldChar w:fldCharType="begin"/>
      </w:r>
      <w:r>
        <w:rPr>
          <w:rFonts w:hint="eastAsia" w:ascii="黑体" w:hAnsi="黑体" w:cs="黑体"/>
          <w:sz w:val="28"/>
          <w:szCs w:val="28"/>
        </w:rPr>
        <w:instrText xml:space="preserve"> PAGEREF _Toc364 </w:instrText>
      </w:r>
      <w:r>
        <w:rPr>
          <w:rFonts w:hint="eastAsia" w:ascii="黑体" w:hAnsi="黑体" w:cs="黑体"/>
          <w:sz w:val="28"/>
          <w:szCs w:val="28"/>
        </w:rPr>
        <w:fldChar w:fldCharType="separate"/>
      </w:r>
      <w:r>
        <w:rPr>
          <w:rFonts w:hint="eastAsia" w:ascii="黑体" w:hAnsi="黑体" w:cs="黑体"/>
          <w:sz w:val="28"/>
          <w:szCs w:val="28"/>
        </w:rPr>
        <w:t>20</w:t>
      </w:r>
      <w:r>
        <w:rPr>
          <w:rFonts w:hint="eastAsia" w:ascii="黑体" w:hAnsi="黑体" w:cs="黑体"/>
          <w:sz w:val="28"/>
          <w:szCs w:val="28"/>
        </w:rPr>
        <w:fldChar w:fldCharType="end"/>
      </w:r>
      <w:r>
        <w:rPr>
          <w:rFonts w:hint="eastAsia" w:ascii="黑体" w:hAnsi="黑体" w:cs="黑体"/>
          <w:sz w:val="28"/>
          <w:szCs w:val="28"/>
        </w:rPr>
        <w:fldChar w:fldCharType="end"/>
      </w:r>
    </w:p>
    <w:p w14:paraId="1BDEFA25">
      <w:pPr>
        <w:pStyle w:val="8"/>
        <w:tabs>
          <w:tab w:val="right" w:leader="dot" w:pos="8306"/>
        </w:tabs>
        <w:spacing w:line="400" w:lineRule="exact"/>
        <w:rPr>
          <w:rFonts w:ascii="黑体" w:hAnsi="黑体" w:eastAsia="黑体" w:cs="黑体"/>
          <w:sz w:val="28"/>
          <w:szCs w:val="28"/>
        </w:rPr>
      </w:pPr>
      <w:r>
        <w:fldChar w:fldCharType="begin"/>
      </w:r>
      <w:r>
        <w:instrText xml:space="preserve"> HYPERLINK \l "_Toc9030" </w:instrText>
      </w:r>
      <w:r>
        <w:fldChar w:fldCharType="separate"/>
      </w:r>
      <w:r>
        <w:rPr>
          <w:rFonts w:hint="eastAsia" w:ascii="黑体" w:hAnsi="黑体" w:eastAsia="黑体" w:cs="黑体"/>
          <w:sz w:val="28"/>
          <w:szCs w:val="28"/>
        </w:rPr>
        <w:t>（一）主要经验及做法</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_Toc9030 </w:instrText>
      </w:r>
      <w:r>
        <w:rPr>
          <w:rFonts w:hint="eastAsia" w:ascii="黑体" w:hAnsi="黑体" w:eastAsia="黑体" w:cs="黑体"/>
          <w:sz w:val="28"/>
          <w:szCs w:val="28"/>
        </w:rPr>
        <w:fldChar w:fldCharType="separate"/>
      </w:r>
      <w:r>
        <w:rPr>
          <w:rFonts w:hint="eastAsia" w:ascii="黑体" w:hAnsi="黑体" w:eastAsia="黑体" w:cs="黑体"/>
          <w:sz w:val="28"/>
          <w:szCs w:val="28"/>
        </w:rPr>
        <w:t>20</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54122C24">
      <w:pPr>
        <w:pStyle w:val="8"/>
        <w:tabs>
          <w:tab w:val="right" w:leader="dot" w:pos="8306"/>
        </w:tabs>
        <w:spacing w:line="400" w:lineRule="exact"/>
        <w:rPr>
          <w:rFonts w:ascii="黑体" w:hAnsi="黑体" w:eastAsia="黑体" w:cs="黑体"/>
          <w:sz w:val="28"/>
          <w:szCs w:val="28"/>
        </w:rPr>
      </w:pPr>
      <w:r>
        <w:fldChar w:fldCharType="begin"/>
      </w:r>
      <w:r>
        <w:instrText xml:space="preserve"> HYPERLINK \l "_Toc28194" </w:instrText>
      </w:r>
      <w:r>
        <w:fldChar w:fldCharType="separate"/>
      </w:r>
      <w:r>
        <w:rPr>
          <w:rFonts w:hint="eastAsia" w:ascii="黑体" w:hAnsi="黑体" w:eastAsia="黑体" w:cs="黑体"/>
          <w:sz w:val="28"/>
          <w:szCs w:val="28"/>
        </w:rPr>
        <w:t>（二）存在的问题</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_Toc28194 </w:instrText>
      </w:r>
      <w:r>
        <w:rPr>
          <w:rFonts w:hint="eastAsia" w:ascii="黑体" w:hAnsi="黑体" w:eastAsia="黑体" w:cs="黑体"/>
          <w:sz w:val="28"/>
          <w:szCs w:val="28"/>
        </w:rPr>
        <w:fldChar w:fldCharType="separate"/>
      </w:r>
      <w:r>
        <w:rPr>
          <w:rFonts w:hint="eastAsia" w:ascii="黑体" w:hAnsi="黑体" w:eastAsia="黑体" w:cs="黑体"/>
          <w:sz w:val="28"/>
          <w:szCs w:val="28"/>
        </w:rPr>
        <w:t>21</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791BE0B9">
      <w:pPr>
        <w:pStyle w:val="8"/>
        <w:tabs>
          <w:tab w:val="right" w:leader="dot" w:pos="8306"/>
        </w:tabs>
        <w:spacing w:line="400" w:lineRule="exact"/>
        <w:rPr>
          <w:rFonts w:ascii="黑体" w:hAnsi="黑体" w:eastAsia="黑体" w:cs="黑体"/>
          <w:sz w:val="28"/>
          <w:szCs w:val="28"/>
        </w:rPr>
      </w:pPr>
      <w:r>
        <w:fldChar w:fldCharType="begin"/>
      </w:r>
      <w:r>
        <w:instrText xml:space="preserve"> HYPERLINK \l "_Toc26689" </w:instrText>
      </w:r>
      <w:r>
        <w:fldChar w:fldCharType="separate"/>
      </w:r>
      <w:r>
        <w:rPr>
          <w:rFonts w:hint="eastAsia" w:ascii="黑体" w:hAnsi="黑体" w:eastAsia="黑体" w:cs="黑体"/>
          <w:sz w:val="28"/>
          <w:szCs w:val="28"/>
        </w:rPr>
        <w:t>（三）建议和改进措施</w:t>
      </w:r>
      <w:r>
        <w:rPr>
          <w:rFonts w:hint="eastAsia" w:ascii="黑体" w:hAnsi="黑体" w:eastAsia="黑体" w:cs="黑体"/>
          <w:sz w:val="28"/>
          <w:szCs w:val="28"/>
        </w:rPr>
        <w:tab/>
      </w:r>
      <w:r>
        <w:rPr>
          <w:rFonts w:hint="eastAsia" w:ascii="黑体" w:hAnsi="黑体" w:eastAsia="黑体" w:cs="黑体"/>
          <w:sz w:val="28"/>
          <w:szCs w:val="28"/>
        </w:rPr>
        <w:fldChar w:fldCharType="begin"/>
      </w:r>
      <w:r>
        <w:rPr>
          <w:rFonts w:hint="eastAsia" w:ascii="黑体" w:hAnsi="黑体" w:eastAsia="黑体" w:cs="黑体"/>
          <w:sz w:val="28"/>
          <w:szCs w:val="28"/>
        </w:rPr>
        <w:instrText xml:space="preserve"> PAGEREF _Toc26689 </w:instrText>
      </w:r>
      <w:r>
        <w:rPr>
          <w:rFonts w:hint="eastAsia" w:ascii="黑体" w:hAnsi="黑体" w:eastAsia="黑体" w:cs="黑体"/>
          <w:sz w:val="28"/>
          <w:szCs w:val="28"/>
        </w:rPr>
        <w:fldChar w:fldCharType="separate"/>
      </w:r>
      <w:r>
        <w:rPr>
          <w:rFonts w:hint="eastAsia" w:ascii="黑体" w:hAnsi="黑体" w:eastAsia="黑体" w:cs="黑体"/>
          <w:sz w:val="28"/>
          <w:szCs w:val="28"/>
        </w:rPr>
        <w:t>21</w:t>
      </w:r>
      <w:r>
        <w:rPr>
          <w:rFonts w:hint="eastAsia" w:ascii="黑体" w:hAnsi="黑体" w:eastAsia="黑体" w:cs="黑体"/>
          <w:sz w:val="28"/>
          <w:szCs w:val="28"/>
        </w:rPr>
        <w:fldChar w:fldCharType="end"/>
      </w:r>
      <w:r>
        <w:rPr>
          <w:rFonts w:hint="eastAsia" w:ascii="黑体" w:hAnsi="黑体" w:eastAsia="黑体" w:cs="黑体"/>
          <w:sz w:val="28"/>
          <w:szCs w:val="28"/>
        </w:rPr>
        <w:fldChar w:fldCharType="end"/>
      </w:r>
    </w:p>
    <w:p w14:paraId="73543E95">
      <w:pPr>
        <w:pStyle w:val="7"/>
        <w:spacing w:line="400" w:lineRule="exact"/>
      </w:pPr>
      <w:r>
        <w:rPr>
          <w:rFonts w:hint="eastAsia" w:ascii="黑体" w:hAnsi="黑体" w:cs="黑体"/>
          <w:sz w:val="28"/>
          <w:szCs w:val="28"/>
        </w:rPr>
        <w:fldChar w:fldCharType="end"/>
      </w:r>
    </w:p>
    <w:p w14:paraId="32E76EF5">
      <w:pPr>
        <w:tabs>
          <w:tab w:val="left" w:pos="1215"/>
        </w:tabs>
        <w:spacing w:line="560" w:lineRule="exact"/>
        <w:jc w:val="center"/>
        <w:rPr>
          <w:rFonts w:asciiTheme="minorEastAsia" w:hAnsiTheme="minorEastAsia"/>
          <w:b/>
          <w:sz w:val="44"/>
          <w:szCs w:val="44"/>
        </w:rPr>
      </w:pPr>
      <w:r>
        <w:rPr>
          <w:rFonts w:hint="eastAsia" w:asciiTheme="minorEastAsia" w:hAnsiTheme="minorEastAsia"/>
          <w:b/>
          <w:sz w:val="44"/>
          <w:szCs w:val="44"/>
        </w:rPr>
        <w:t>昆明市盘龙区机关事务管理服务中心</w:t>
      </w:r>
    </w:p>
    <w:p w14:paraId="370A7EED">
      <w:pPr>
        <w:tabs>
          <w:tab w:val="left" w:pos="1215"/>
        </w:tabs>
        <w:spacing w:line="560" w:lineRule="exact"/>
        <w:jc w:val="center"/>
        <w:rPr>
          <w:rFonts w:cs="Calibri" w:asciiTheme="minorEastAsia" w:hAnsiTheme="minorEastAsia"/>
          <w:b/>
          <w:bCs/>
          <w:sz w:val="44"/>
          <w:szCs w:val="44"/>
        </w:rPr>
      </w:pPr>
      <w:r>
        <w:rPr>
          <w:rFonts w:hint="eastAsia" w:cs="Calibri" w:asciiTheme="minorEastAsia" w:hAnsiTheme="minorEastAsia"/>
          <w:b/>
          <w:bCs/>
          <w:sz w:val="44"/>
          <w:szCs w:val="44"/>
        </w:rPr>
        <w:t>机关后勤服务综合管理费</w:t>
      </w:r>
    </w:p>
    <w:p w14:paraId="37850830">
      <w:pPr>
        <w:tabs>
          <w:tab w:val="left" w:pos="1215"/>
        </w:tabs>
        <w:spacing w:line="560" w:lineRule="exact"/>
        <w:jc w:val="center"/>
        <w:rPr>
          <w:rFonts w:asciiTheme="minorEastAsia" w:hAnsiTheme="minorEastAsia"/>
          <w:b/>
          <w:sz w:val="44"/>
          <w:szCs w:val="44"/>
        </w:rPr>
      </w:pPr>
      <w:r>
        <w:rPr>
          <w:rFonts w:hint="eastAsia" w:asciiTheme="minorEastAsia" w:hAnsiTheme="minorEastAsia"/>
          <w:b/>
          <w:sz w:val="44"/>
          <w:szCs w:val="44"/>
        </w:rPr>
        <w:t>项目支出绩效自评报告</w:t>
      </w:r>
    </w:p>
    <w:p w14:paraId="32345FA9">
      <w:pPr>
        <w:widowControl/>
        <w:shd w:val="clear" w:color="auto" w:fill="FFFFFF"/>
        <w:spacing w:line="560" w:lineRule="exact"/>
        <w:rPr>
          <w:rFonts w:ascii="仿宋" w:hAnsi="仿宋" w:eastAsia="仿宋" w:cs="宋体"/>
          <w:b/>
          <w:bCs/>
          <w:color w:val="333333"/>
          <w:kern w:val="0"/>
          <w:sz w:val="36"/>
          <w:szCs w:val="36"/>
        </w:rPr>
      </w:pPr>
    </w:p>
    <w:p w14:paraId="525EFD9D">
      <w:pPr>
        <w:spacing w:line="560" w:lineRule="exact"/>
        <w:ind w:firstLine="560" w:firstLineChars="200"/>
        <w:jc w:val="center"/>
        <w:rPr>
          <w:rFonts w:ascii="方正小标宋_GBK" w:hAnsi="黑体" w:eastAsia="方正小标宋_GBK" w:cs="Times New Roman"/>
          <w:sz w:val="28"/>
          <w:szCs w:val="32"/>
        </w:rPr>
      </w:pPr>
      <w:r>
        <w:rPr>
          <w:rFonts w:hint="eastAsia" w:ascii="方正小标宋_GBK" w:hAnsi="黑体" w:eastAsia="方正小标宋_GBK" w:cs="Times New Roman"/>
          <w:sz w:val="28"/>
          <w:szCs w:val="32"/>
        </w:rPr>
        <w:t>摘要</w:t>
      </w:r>
    </w:p>
    <w:p w14:paraId="59EF644B">
      <w:pPr>
        <w:pStyle w:val="2"/>
        <w:keepNext/>
        <w:keepLines/>
        <w:widowControl w:val="0"/>
        <w:spacing w:before="340" w:after="330" w:line="560" w:lineRule="exact"/>
        <w:ind w:firstLine="643" w:firstLineChars="200"/>
        <w:jc w:val="both"/>
        <w:rPr>
          <w:rFonts w:ascii="黑体" w:hAnsi="黑体" w:eastAsia="黑体" w:cstheme="minorBidi"/>
          <w:kern w:val="44"/>
          <w:sz w:val="32"/>
          <w:szCs w:val="32"/>
        </w:rPr>
      </w:pPr>
      <w:bookmarkStart w:id="0" w:name="_Toc30665"/>
      <w:r>
        <w:rPr>
          <w:rFonts w:hint="eastAsia" w:ascii="黑体" w:hAnsi="黑体" w:eastAsia="黑体" w:cstheme="minorBidi"/>
          <w:kern w:val="44"/>
          <w:sz w:val="32"/>
          <w:szCs w:val="32"/>
        </w:rPr>
        <w:t>一、项目概况</w:t>
      </w:r>
      <w:bookmarkEnd w:id="0"/>
    </w:p>
    <w:p w14:paraId="269B9FBC">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1" w:name="_Toc31959"/>
      <w:r>
        <w:rPr>
          <w:rFonts w:hint="eastAsia" w:ascii="楷体_GB2312" w:eastAsia="楷体_GB2312" w:hAnsiTheme="majorHAnsi" w:cstheme="majorBidi"/>
          <w:kern w:val="2"/>
          <w:sz w:val="32"/>
          <w:szCs w:val="32"/>
        </w:rPr>
        <w:t>（一）项目立项背景及目的</w:t>
      </w:r>
      <w:bookmarkEnd w:id="1"/>
    </w:p>
    <w:p w14:paraId="67BBB76F">
      <w:pPr>
        <w:tabs>
          <w:tab w:val="center" w:pos="3742"/>
        </w:tabs>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color w:val="333333"/>
          <w:kern w:val="0"/>
          <w:sz w:val="32"/>
          <w:szCs w:val="32"/>
        </w:rPr>
        <w:t>为贯彻党的十九大精神以及习近平总书记系列重要讲话精神，围绕区委、区政府中心工作，切实履行各项职责，高效服务，保障区委、区政府的各项工作高效有序运转。根据《中共昆明市盘龙区委机构编制委员会关于撤销盘龙区政府采购中心并调整盘龙区机关事务管理服务中心机构编制相关事项的批复》（</w:t>
      </w:r>
      <w:r>
        <w:rPr>
          <w:rFonts w:ascii="Times New Roman" w:hAnsi="Times New Roman" w:eastAsia="仿宋_GB2312" w:cs="Times New Roman"/>
          <w:sz w:val="32"/>
          <w:szCs w:val="32"/>
        </w:rPr>
        <w:t>盘机编复〔2020〕1号</w:t>
      </w:r>
      <w:r>
        <w:rPr>
          <w:rFonts w:ascii="Times New Roman" w:hAnsi="Times New Roman" w:eastAsia="仿宋_GB2312" w:cs="Times New Roman"/>
          <w:color w:val="333333"/>
          <w:kern w:val="0"/>
          <w:sz w:val="32"/>
          <w:szCs w:val="32"/>
        </w:rPr>
        <w:t>）文件精神，区机关事务管理服务中心主要承担区级机关后勤保障服务。</w:t>
      </w:r>
    </w:p>
    <w:p w14:paraId="62AD25F5">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2" w:name="_Toc19279"/>
      <w:r>
        <w:rPr>
          <w:rFonts w:hint="eastAsia" w:ascii="楷体_GB2312" w:eastAsia="楷体_GB2312" w:hAnsiTheme="majorHAnsi" w:cstheme="majorBidi"/>
          <w:kern w:val="2"/>
          <w:sz w:val="32"/>
          <w:szCs w:val="32"/>
        </w:rPr>
        <w:t>（二）预算收支情况</w:t>
      </w:r>
      <w:bookmarkEnd w:id="2"/>
    </w:p>
    <w:p w14:paraId="6F1904CD">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为确保区级机关后勤保障工作到位，需申请业务经费8913800元，具体项目预算明细如下： </w:t>
      </w:r>
    </w:p>
    <w:tbl>
      <w:tblPr>
        <w:tblStyle w:val="10"/>
        <w:tblW w:w="9498" w:type="dxa"/>
        <w:tblInd w:w="-411"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852"/>
        <w:gridCol w:w="6237"/>
        <w:gridCol w:w="2409"/>
      </w:tblGrid>
      <w:tr w14:paraId="6920911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490" w:hRule="atLeast"/>
        </w:trPr>
        <w:tc>
          <w:tcPr>
            <w:tcW w:w="852"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0F45CD05">
            <w:pPr>
              <w:widowControl/>
              <w:spacing w:line="560" w:lineRule="exact"/>
              <w:jc w:val="center"/>
              <w:rPr>
                <w:rFonts w:ascii="Times New Roman" w:hAnsi="Times New Roman" w:eastAsia="仿宋_GB2312" w:cs="Times New Roman"/>
                <w:b/>
                <w:color w:val="333333"/>
                <w:kern w:val="0"/>
                <w:sz w:val="24"/>
                <w:szCs w:val="24"/>
              </w:rPr>
            </w:pPr>
            <w:r>
              <w:rPr>
                <w:rFonts w:ascii="Times New Roman" w:hAnsi="Times New Roman" w:eastAsia="仿宋_GB2312" w:cs="Times New Roman"/>
                <w:b/>
                <w:color w:val="333333"/>
                <w:kern w:val="0"/>
                <w:sz w:val="24"/>
                <w:szCs w:val="24"/>
              </w:rPr>
              <w:t>序号</w:t>
            </w:r>
          </w:p>
        </w:tc>
        <w:tc>
          <w:tcPr>
            <w:tcW w:w="6237" w:type="dxa"/>
            <w:tcBorders>
              <w:top w:val="single" w:color="000000" w:sz="6" w:space="0"/>
              <w:left w:val="nil"/>
              <w:bottom w:val="single" w:color="000000" w:sz="6" w:space="0"/>
              <w:right w:val="single" w:color="000000" w:sz="6" w:space="0"/>
            </w:tcBorders>
            <w:shd w:val="clear" w:color="auto" w:fill="FFFFFF"/>
            <w:vAlign w:val="center"/>
          </w:tcPr>
          <w:p w14:paraId="3594987E">
            <w:pPr>
              <w:widowControl/>
              <w:spacing w:line="560" w:lineRule="exact"/>
              <w:jc w:val="center"/>
              <w:rPr>
                <w:rFonts w:ascii="Times New Roman" w:hAnsi="Times New Roman" w:eastAsia="仿宋_GB2312" w:cs="Times New Roman"/>
                <w:b/>
                <w:color w:val="333333"/>
                <w:kern w:val="0"/>
                <w:sz w:val="24"/>
                <w:szCs w:val="24"/>
              </w:rPr>
            </w:pPr>
            <w:r>
              <w:rPr>
                <w:rFonts w:ascii="Times New Roman" w:hAnsi="Times New Roman" w:eastAsia="仿宋_GB2312" w:cs="Times New Roman"/>
                <w:b/>
                <w:color w:val="333333"/>
                <w:kern w:val="0"/>
                <w:sz w:val="24"/>
                <w:szCs w:val="24"/>
              </w:rPr>
              <w:t>项目明细</w:t>
            </w:r>
          </w:p>
        </w:tc>
        <w:tc>
          <w:tcPr>
            <w:tcW w:w="2409" w:type="dxa"/>
            <w:tcBorders>
              <w:top w:val="single" w:color="000000" w:sz="6" w:space="0"/>
              <w:left w:val="nil"/>
              <w:bottom w:val="single" w:color="000000" w:sz="6" w:space="0"/>
              <w:right w:val="single" w:color="000000" w:sz="6" w:space="0"/>
            </w:tcBorders>
            <w:shd w:val="clear" w:color="auto" w:fill="FFFFFF"/>
            <w:vAlign w:val="center"/>
          </w:tcPr>
          <w:p w14:paraId="0F4AB444">
            <w:pPr>
              <w:widowControl/>
              <w:spacing w:line="560" w:lineRule="exact"/>
              <w:jc w:val="center"/>
              <w:rPr>
                <w:rFonts w:ascii="Times New Roman" w:hAnsi="Times New Roman" w:eastAsia="仿宋_GB2312" w:cs="Times New Roman"/>
                <w:b/>
                <w:color w:val="333333"/>
                <w:kern w:val="0"/>
                <w:sz w:val="24"/>
                <w:szCs w:val="24"/>
              </w:rPr>
            </w:pPr>
            <w:r>
              <w:rPr>
                <w:rFonts w:ascii="Times New Roman" w:hAnsi="Times New Roman" w:eastAsia="仿宋_GB2312" w:cs="Times New Roman"/>
                <w:b/>
                <w:color w:val="333333"/>
                <w:kern w:val="0"/>
                <w:sz w:val="24"/>
                <w:szCs w:val="24"/>
              </w:rPr>
              <w:t>财政拨款(元）</w:t>
            </w:r>
          </w:p>
        </w:tc>
      </w:tr>
      <w:tr w14:paraId="4D9F4B8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852" w:type="dxa"/>
            <w:tcBorders>
              <w:top w:val="nil"/>
              <w:left w:val="single" w:color="000000" w:sz="6" w:space="0"/>
              <w:bottom w:val="single" w:color="000000" w:sz="6" w:space="0"/>
              <w:right w:val="single" w:color="000000" w:sz="6" w:space="0"/>
            </w:tcBorders>
            <w:shd w:val="clear" w:color="auto" w:fill="FFFFFF"/>
            <w:vAlign w:val="center"/>
          </w:tcPr>
          <w:p w14:paraId="38E551EC">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1</w:t>
            </w:r>
          </w:p>
        </w:tc>
        <w:tc>
          <w:tcPr>
            <w:tcW w:w="6237" w:type="dxa"/>
            <w:tcBorders>
              <w:top w:val="nil"/>
              <w:left w:val="nil"/>
              <w:bottom w:val="single" w:color="000000" w:sz="6" w:space="0"/>
              <w:right w:val="single" w:color="000000" w:sz="6" w:space="0"/>
            </w:tcBorders>
            <w:shd w:val="clear" w:color="auto" w:fill="FFFFFF"/>
            <w:vAlign w:val="center"/>
          </w:tcPr>
          <w:p w14:paraId="2141ADFD">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食堂、水电工、会议服务、音响师、采购办、节能办、办公区管理员、办公文员等编外临时劳务派遣人员工资</w:t>
            </w:r>
          </w:p>
        </w:tc>
        <w:tc>
          <w:tcPr>
            <w:tcW w:w="2409" w:type="dxa"/>
            <w:tcBorders>
              <w:top w:val="nil"/>
              <w:left w:val="nil"/>
              <w:bottom w:val="single" w:color="000000" w:sz="6" w:space="0"/>
              <w:right w:val="single" w:color="000000" w:sz="6" w:space="0"/>
            </w:tcBorders>
            <w:shd w:val="clear" w:color="auto" w:fill="FFFFFF"/>
            <w:vAlign w:val="center"/>
          </w:tcPr>
          <w:p w14:paraId="726A40AF">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 xml:space="preserve">5979000 </w:t>
            </w:r>
          </w:p>
        </w:tc>
      </w:tr>
      <w:tr w14:paraId="60548A9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852" w:type="dxa"/>
            <w:tcBorders>
              <w:top w:val="nil"/>
              <w:left w:val="single" w:color="000000" w:sz="6" w:space="0"/>
              <w:bottom w:val="single" w:color="auto" w:sz="4" w:space="0"/>
              <w:right w:val="single" w:color="000000" w:sz="6" w:space="0"/>
            </w:tcBorders>
            <w:shd w:val="clear" w:color="auto" w:fill="FFFFFF"/>
            <w:vAlign w:val="center"/>
          </w:tcPr>
          <w:p w14:paraId="28B2E7AF">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2</w:t>
            </w:r>
          </w:p>
        </w:tc>
        <w:tc>
          <w:tcPr>
            <w:tcW w:w="6237" w:type="dxa"/>
            <w:tcBorders>
              <w:top w:val="nil"/>
              <w:left w:val="nil"/>
              <w:bottom w:val="single" w:color="auto" w:sz="4" w:space="0"/>
              <w:right w:val="single" w:color="000000" w:sz="6" w:space="0"/>
            </w:tcBorders>
            <w:shd w:val="clear" w:color="auto" w:fill="FFFFFF"/>
            <w:vAlign w:val="center"/>
          </w:tcPr>
          <w:p w14:paraId="60E7B4AA">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办公区安保服务费</w:t>
            </w:r>
          </w:p>
        </w:tc>
        <w:tc>
          <w:tcPr>
            <w:tcW w:w="2409" w:type="dxa"/>
            <w:tcBorders>
              <w:top w:val="nil"/>
              <w:left w:val="nil"/>
              <w:bottom w:val="single" w:color="auto" w:sz="4" w:space="0"/>
              <w:right w:val="single" w:color="000000" w:sz="6" w:space="0"/>
            </w:tcBorders>
            <w:shd w:val="clear" w:color="auto" w:fill="FFFFFF"/>
            <w:vAlign w:val="center"/>
          </w:tcPr>
          <w:p w14:paraId="037469A4">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633200</w:t>
            </w:r>
          </w:p>
        </w:tc>
      </w:tr>
      <w:tr w14:paraId="635CA88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852" w:type="dxa"/>
            <w:tcBorders>
              <w:top w:val="nil"/>
              <w:left w:val="single" w:color="000000" w:sz="6" w:space="0"/>
              <w:bottom w:val="single" w:color="auto" w:sz="4" w:space="0"/>
              <w:right w:val="single" w:color="000000" w:sz="6" w:space="0"/>
            </w:tcBorders>
            <w:shd w:val="clear" w:color="auto" w:fill="FFFFFF"/>
            <w:vAlign w:val="center"/>
          </w:tcPr>
          <w:p w14:paraId="0D35DC5C">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3</w:t>
            </w:r>
          </w:p>
        </w:tc>
        <w:tc>
          <w:tcPr>
            <w:tcW w:w="6237" w:type="dxa"/>
            <w:tcBorders>
              <w:top w:val="nil"/>
              <w:left w:val="nil"/>
              <w:bottom w:val="single" w:color="auto" w:sz="4" w:space="0"/>
              <w:right w:val="single" w:color="000000" w:sz="6" w:space="0"/>
            </w:tcBorders>
            <w:shd w:val="clear" w:color="auto" w:fill="FFFFFF"/>
            <w:vAlign w:val="center"/>
          </w:tcPr>
          <w:p w14:paraId="405D1779">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物业保洁绿化费</w:t>
            </w:r>
          </w:p>
        </w:tc>
        <w:tc>
          <w:tcPr>
            <w:tcW w:w="2409" w:type="dxa"/>
            <w:tcBorders>
              <w:top w:val="nil"/>
              <w:left w:val="nil"/>
              <w:bottom w:val="single" w:color="auto" w:sz="4" w:space="0"/>
              <w:right w:val="single" w:color="000000" w:sz="6" w:space="0"/>
            </w:tcBorders>
            <w:shd w:val="clear" w:color="auto" w:fill="FFFFFF"/>
            <w:vAlign w:val="center"/>
          </w:tcPr>
          <w:p w14:paraId="6C618D99">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1967600</w:t>
            </w:r>
          </w:p>
        </w:tc>
      </w:tr>
      <w:tr w14:paraId="44033D8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trPr>
        <w:tc>
          <w:tcPr>
            <w:tcW w:w="852" w:type="dxa"/>
            <w:tcBorders>
              <w:top w:val="nil"/>
              <w:left w:val="single" w:color="000000" w:sz="6" w:space="0"/>
              <w:bottom w:val="single" w:color="auto" w:sz="4" w:space="0"/>
              <w:right w:val="single" w:color="000000" w:sz="6" w:space="0"/>
            </w:tcBorders>
            <w:shd w:val="clear" w:color="auto" w:fill="FFFFFF"/>
            <w:vAlign w:val="center"/>
          </w:tcPr>
          <w:p w14:paraId="598913B3">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4</w:t>
            </w:r>
          </w:p>
        </w:tc>
        <w:tc>
          <w:tcPr>
            <w:tcW w:w="6237" w:type="dxa"/>
            <w:tcBorders>
              <w:top w:val="nil"/>
              <w:left w:val="nil"/>
              <w:bottom w:val="single" w:color="auto" w:sz="4" w:space="0"/>
              <w:right w:val="single" w:color="000000" w:sz="6" w:space="0"/>
            </w:tcBorders>
            <w:shd w:val="clear" w:color="auto" w:fill="FFFFFF"/>
            <w:vAlign w:val="center"/>
          </w:tcPr>
          <w:p w14:paraId="5914A8BC">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维修（护）费</w:t>
            </w:r>
          </w:p>
        </w:tc>
        <w:tc>
          <w:tcPr>
            <w:tcW w:w="2409" w:type="dxa"/>
            <w:tcBorders>
              <w:top w:val="nil"/>
              <w:left w:val="nil"/>
              <w:bottom w:val="single" w:color="auto" w:sz="4" w:space="0"/>
              <w:right w:val="single" w:color="000000" w:sz="6" w:space="0"/>
            </w:tcBorders>
            <w:shd w:val="clear" w:color="auto" w:fill="FFFFFF"/>
            <w:vAlign w:val="center"/>
          </w:tcPr>
          <w:p w14:paraId="0075E9ED">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334000</w:t>
            </w:r>
          </w:p>
        </w:tc>
      </w:tr>
      <w:tr w14:paraId="5121E7B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70" w:hRule="atLeast"/>
        </w:trPr>
        <w:tc>
          <w:tcPr>
            <w:tcW w:w="852" w:type="dxa"/>
            <w:tcBorders>
              <w:top w:val="single" w:color="auto" w:sz="4" w:space="0"/>
              <w:left w:val="single" w:color="000000" w:sz="6" w:space="0"/>
              <w:bottom w:val="single" w:color="000000" w:sz="6" w:space="0"/>
              <w:right w:val="single" w:color="000000" w:sz="6" w:space="0"/>
            </w:tcBorders>
            <w:shd w:val="clear" w:color="auto" w:fill="FFFFFF"/>
            <w:vAlign w:val="center"/>
          </w:tcPr>
          <w:p w14:paraId="6C8E4692">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5</w:t>
            </w:r>
          </w:p>
        </w:tc>
        <w:tc>
          <w:tcPr>
            <w:tcW w:w="6237" w:type="dxa"/>
            <w:tcBorders>
              <w:top w:val="single" w:color="auto" w:sz="4" w:space="0"/>
              <w:left w:val="nil"/>
              <w:bottom w:val="single" w:color="000000" w:sz="6" w:space="0"/>
              <w:right w:val="single" w:color="000000" w:sz="6" w:space="0"/>
            </w:tcBorders>
            <w:shd w:val="clear" w:color="auto" w:fill="FFFFFF"/>
            <w:vAlign w:val="center"/>
          </w:tcPr>
          <w:p w14:paraId="65995F58">
            <w:pPr>
              <w:widowControl/>
              <w:spacing w:line="560" w:lineRule="exact"/>
              <w:jc w:val="center"/>
              <w:rPr>
                <w:rFonts w:ascii="Times New Roman" w:hAnsi="Times New Roman" w:eastAsia="仿宋_GB2312" w:cs="Times New Roman"/>
                <w:b/>
                <w:color w:val="333333"/>
                <w:kern w:val="0"/>
                <w:sz w:val="24"/>
                <w:szCs w:val="24"/>
              </w:rPr>
            </w:pPr>
            <w:r>
              <w:rPr>
                <w:rFonts w:ascii="Times New Roman" w:hAnsi="Times New Roman" w:eastAsia="仿宋_GB2312" w:cs="Times New Roman"/>
                <w:b/>
                <w:color w:val="333333"/>
                <w:kern w:val="0"/>
                <w:sz w:val="24"/>
                <w:szCs w:val="24"/>
              </w:rPr>
              <w:t>合计</w:t>
            </w:r>
          </w:p>
        </w:tc>
        <w:tc>
          <w:tcPr>
            <w:tcW w:w="2409" w:type="dxa"/>
            <w:tcBorders>
              <w:top w:val="single" w:color="auto" w:sz="4" w:space="0"/>
              <w:left w:val="nil"/>
              <w:bottom w:val="single" w:color="000000" w:sz="6" w:space="0"/>
              <w:right w:val="single" w:color="000000" w:sz="6" w:space="0"/>
            </w:tcBorders>
            <w:shd w:val="clear" w:color="auto" w:fill="FFFFFF"/>
            <w:vAlign w:val="center"/>
          </w:tcPr>
          <w:p w14:paraId="73F6F80A">
            <w:pPr>
              <w:widowControl/>
              <w:spacing w:line="560" w:lineRule="exact"/>
              <w:jc w:val="center"/>
              <w:rPr>
                <w:rFonts w:ascii="Times New Roman" w:hAnsi="Times New Roman" w:eastAsia="仿宋_GB2312" w:cs="Times New Roman"/>
                <w:color w:val="333333"/>
                <w:kern w:val="0"/>
                <w:sz w:val="24"/>
                <w:szCs w:val="24"/>
              </w:rPr>
            </w:pPr>
            <w:r>
              <w:rPr>
                <w:rFonts w:ascii="Times New Roman" w:hAnsi="Times New Roman" w:eastAsia="仿宋_GB2312" w:cs="Times New Roman"/>
                <w:color w:val="333333"/>
                <w:kern w:val="0"/>
                <w:sz w:val="24"/>
                <w:szCs w:val="24"/>
              </w:rPr>
              <w:t>8913800</w:t>
            </w:r>
          </w:p>
        </w:tc>
      </w:tr>
    </w:tbl>
    <w:p w14:paraId="7EF39030">
      <w:pPr>
        <w:widowControl/>
        <w:shd w:val="clear" w:color="auto" w:fill="FFFFFF"/>
        <w:spacing w:line="560" w:lineRule="exact"/>
        <w:ind w:firstLine="705"/>
        <w:jc w:val="left"/>
        <w:rPr>
          <w:rFonts w:ascii="Times New Roman" w:hAnsi="Times New Roman" w:eastAsia="仿宋_GB2312" w:cs="Times New Roman"/>
          <w:kern w:val="44"/>
          <w:sz w:val="32"/>
          <w:szCs w:val="32"/>
        </w:rPr>
      </w:pPr>
      <w:r>
        <w:rPr>
          <w:rFonts w:ascii="Times New Roman" w:hAnsi="Times New Roman" w:eastAsia="仿宋_GB2312" w:cs="Times New Roman"/>
          <w:color w:val="333333"/>
          <w:kern w:val="0"/>
          <w:sz w:val="32"/>
          <w:szCs w:val="32"/>
        </w:rPr>
        <w:t>2020年实际收到财政拨款8913800元，实际支出8913800元。 </w:t>
      </w:r>
    </w:p>
    <w:p w14:paraId="6BC779C7">
      <w:pPr>
        <w:pStyle w:val="2"/>
        <w:keepNext/>
        <w:keepLines/>
        <w:widowControl w:val="0"/>
        <w:spacing w:before="340" w:after="330" w:line="560" w:lineRule="exact"/>
        <w:ind w:firstLine="643" w:firstLineChars="200"/>
        <w:jc w:val="both"/>
        <w:rPr>
          <w:rFonts w:ascii="黑体" w:hAnsi="黑体" w:eastAsia="黑体" w:cstheme="minorBidi"/>
          <w:kern w:val="44"/>
          <w:sz w:val="32"/>
          <w:szCs w:val="32"/>
        </w:rPr>
      </w:pPr>
      <w:bookmarkStart w:id="3" w:name="_Toc29612"/>
      <w:r>
        <w:rPr>
          <w:rFonts w:hint="eastAsia" w:ascii="黑体" w:hAnsi="黑体" w:eastAsia="黑体" w:cstheme="minorBidi"/>
          <w:kern w:val="44"/>
          <w:sz w:val="32"/>
          <w:szCs w:val="32"/>
        </w:rPr>
        <w:t>二、评价结论</w:t>
      </w:r>
      <w:bookmarkEnd w:id="3"/>
    </w:p>
    <w:p w14:paraId="7E5BB58A">
      <w:pPr>
        <w:pStyle w:val="2"/>
        <w:keepNext/>
        <w:keepLines/>
        <w:widowControl w:val="0"/>
        <w:spacing w:before="340" w:after="330" w:line="560" w:lineRule="exact"/>
        <w:ind w:firstLine="643" w:firstLineChars="200"/>
        <w:jc w:val="both"/>
        <w:rPr>
          <w:rFonts w:ascii="Times New Roman" w:hAnsi="Times New Roman" w:eastAsia="仿宋_GB2312" w:cs="Times New Roman"/>
          <w:color w:val="333333"/>
          <w:kern w:val="0"/>
          <w:sz w:val="32"/>
          <w:szCs w:val="32"/>
        </w:rPr>
      </w:pPr>
      <w:bookmarkStart w:id="4" w:name="_Toc31029"/>
      <w:r>
        <w:rPr>
          <w:rFonts w:ascii="Times New Roman" w:hAnsi="Times New Roman" w:eastAsia="仿宋_GB2312" w:cs="Times New Roman"/>
          <w:color w:val="333333"/>
          <w:kern w:val="0"/>
          <w:sz w:val="32"/>
          <w:szCs w:val="32"/>
        </w:rPr>
        <w:t>1.评分结果</w:t>
      </w:r>
      <w:bookmarkEnd w:id="4"/>
    </w:p>
    <w:p w14:paraId="7D55D798">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根据制定的绩效指标考评体系，本次绩效考核得分97分，绩效评价等级为优秀。</w:t>
      </w:r>
    </w:p>
    <w:p w14:paraId="58C8CB3C">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2.主要结论</w:t>
      </w:r>
    </w:p>
    <w:p w14:paraId="7EBE3F7E">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本项目不属于投资建设类项目，主要内容为我单位管理的集中办公区、住宅区的安保、保洁、绿化人员费用及机关食堂、会议服务、水电维修等劳务派遣人员的工资、社保、加班、管理费用等支出。机关事务管理服务中心2020年度完成工作效益较好，保证了区委、区政府各项工作的顺利开展。</w:t>
      </w:r>
    </w:p>
    <w:p w14:paraId="7BCF4E3D">
      <w:pPr>
        <w:pStyle w:val="2"/>
        <w:keepNext/>
        <w:keepLines/>
        <w:widowControl w:val="0"/>
        <w:spacing w:before="340" w:after="330" w:line="560" w:lineRule="exact"/>
        <w:ind w:firstLine="643" w:firstLineChars="200"/>
        <w:jc w:val="both"/>
        <w:rPr>
          <w:rFonts w:ascii="黑体" w:hAnsi="黑体" w:eastAsia="黑体" w:cstheme="minorBidi"/>
          <w:kern w:val="44"/>
          <w:sz w:val="32"/>
          <w:szCs w:val="32"/>
        </w:rPr>
      </w:pPr>
      <w:bookmarkStart w:id="5" w:name="_Toc32494"/>
      <w:r>
        <w:rPr>
          <w:rFonts w:hint="eastAsia" w:ascii="黑体" w:hAnsi="黑体" w:eastAsia="黑体" w:cstheme="minorBidi"/>
          <w:kern w:val="44"/>
          <w:sz w:val="32"/>
          <w:szCs w:val="32"/>
        </w:rPr>
        <w:t>三、经验、问题和建议</w:t>
      </w:r>
      <w:bookmarkEnd w:id="5"/>
    </w:p>
    <w:p w14:paraId="00CDEAE2">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6" w:name="_Toc13368"/>
      <w:r>
        <w:rPr>
          <w:rFonts w:hint="eastAsia" w:ascii="楷体_GB2312" w:eastAsia="楷体_GB2312" w:hAnsiTheme="majorHAnsi" w:cstheme="majorBidi"/>
          <w:kern w:val="2"/>
          <w:sz w:val="32"/>
          <w:szCs w:val="32"/>
        </w:rPr>
        <w:t>（一）主要经验及做法</w:t>
      </w:r>
      <w:bookmarkEnd w:id="6"/>
    </w:p>
    <w:p w14:paraId="70E2D615">
      <w:pPr>
        <w:widowControl/>
        <w:shd w:val="clear" w:color="auto" w:fill="FFFFFF"/>
        <w:spacing w:line="560" w:lineRule="exact"/>
        <w:ind w:firstLine="705"/>
        <w:jc w:val="left"/>
        <w:rPr>
          <w:rFonts w:ascii="Times New Roman" w:hAnsi="Times New Roman" w:eastAsia="仿宋_GB2312" w:cs="Times New Roman"/>
          <w:color w:val="333333"/>
          <w:kern w:val="0"/>
          <w:sz w:val="32"/>
          <w:szCs w:val="32"/>
        </w:rPr>
      </w:pPr>
      <w:r>
        <w:rPr>
          <w:rFonts w:ascii="Times New Roman" w:hAnsi="Times New Roman" w:eastAsia="仿宋_GB2312" w:cs="Times New Roman"/>
          <w:color w:val="000000" w:themeColor="text1"/>
          <w:kern w:val="0"/>
          <w:sz w:val="32"/>
          <w:szCs w:val="32"/>
        </w:rPr>
        <w:t>机关事务管理服务中心根据</w:t>
      </w:r>
      <w:r>
        <w:rPr>
          <w:rFonts w:ascii="Times New Roman" w:hAnsi="仿宋_GB2312" w:eastAsia="仿宋_GB2312" w:cs="Times New Roman"/>
          <w:color w:val="000000" w:themeColor="text1"/>
          <w:sz w:val="32"/>
          <w:szCs w:val="32"/>
        </w:rPr>
        <w:t>《昆明市盘龙区财政局关于开展</w:t>
      </w:r>
      <w:r>
        <w:rPr>
          <w:rFonts w:ascii="Times New Roman" w:hAnsi="Times New Roman" w:eastAsia="仿宋_GB2312" w:cs="Times New Roman"/>
          <w:color w:val="000000" w:themeColor="text1"/>
          <w:sz w:val="32"/>
          <w:szCs w:val="32"/>
        </w:rPr>
        <w:t>2020</w:t>
      </w:r>
      <w:r>
        <w:rPr>
          <w:rFonts w:ascii="Times New Roman" w:hAnsi="仿宋_GB2312" w:eastAsia="仿宋_GB2312" w:cs="Times New Roman"/>
          <w:color w:val="000000" w:themeColor="text1"/>
          <w:sz w:val="32"/>
          <w:szCs w:val="32"/>
        </w:rPr>
        <w:t>年度区级预算支出绩效自评工作的通知》（盘财绩</w:t>
      </w:r>
      <w:r>
        <w:rPr>
          <w:rFonts w:ascii="Times New Roman" w:hAnsi="Times New Roman" w:eastAsia="仿宋_GB2312" w:cs="Times New Roman"/>
          <w:color w:val="000000" w:themeColor="text1"/>
          <w:sz w:val="32"/>
          <w:szCs w:val="32"/>
        </w:rPr>
        <w:t>〔2021〕2号</w:t>
      </w:r>
      <w:r>
        <w:rPr>
          <w:rFonts w:ascii="Times New Roman" w:hAnsi="仿宋_GB2312" w:eastAsia="仿宋_GB2312" w:cs="Times New Roman"/>
          <w:color w:val="000000" w:themeColor="text1"/>
          <w:sz w:val="32"/>
          <w:szCs w:val="32"/>
        </w:rPr>
        <w:t>）</w:t>
      </w:r>
      <w:r>
        <w:rPr>
          <w:rFonts w:ascii="Times New Roman" w:hAnsi="Times New Roman" w:eastAsia="仿宋_GB2312" w:cs="Times New Roman"/>
          <w:color w:val="000000" w:themeColor="text1"/>
          <w:kern w:val="0"/>
          <w:sz w:val="32"/>
          <w:szCs w:val="32"/>
        </w:rPr>
        <w:t>精神，成立了自评小组，通过前期调研工</w:t>
      </w:r>
      <w:r>
        <w:rPr>
          <w:rFonts w:ascii="Times New Roman" w:hAnsi="Times New Roman" w:eastAsia="仿宋_GB2312" w:cs="Times New Roman"/>
          <w:color w:val="333333"/>
          <w:kern w:val="0"/>
          <w:sz w:val="32"/>
          <w:szCs w:val="32"/>
        </w:rPr>
        <w:t>作，充分了解评价项目有关情况；通过查看资金使用情况，核实2020年机关后勤服务综合管理费的各项支出的合法性、合规性；通过分析目标完成情况，查找存在的问题及总结好的经验方法，较好的完成了自评工作。</w:t>
      </w:r>
    </w:p>
    <w:p w14:paraId="62C51AE2">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7" w:name="_Toc25769"/>
      <w:r>
        <w:rPr>
          <w:rFonts w:hint="eastAsia" w:ascii="楷体_GB2312" w:eastAsia="楷体_GB2312" w:hAnsiTheme="majorHAnsi" w:cstheme="majorBidi"/>
          <w:kern w:val="2"/>
          <w:sz w:val="32"/>
          <w:szCs w:val="32"/>
        </w:rPr>
        <w:t>（二）存在的问题</w:t>
      </w:r>
      <w:bookmarkEnd w:id="7"/>
    </w:p>
    <w:p w14:paraId="7C61901B">
      <w:pPr>
        <w:widowControl/>
        <w:shd w:val="clear" w:color="auto" w:fill="FFFFFF"/>
        <w:spacing w:line="56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1.机关后勤服务综合管理费主要用于劳务派遣人员工资、安保服务费、物业管理费、综合管理等费用支出，目前我单位对这些人员和服务的监管相对薄弱，考核评价体系及相应制度欠缺。</w:t>
      </w:r>
    </w:p>
    <w:p w14:paraId="6F4DFC7E">
      <w:pPr>
        <w:widowControl/>
        <w:shd w:val="clear" w:color="auto" w:fill="FFFFFF"/>
        <w:spacing w:line="56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2.为避免工作中出现矛盾，大部分人员的工资水平差距不大，致使部分人员的薪资水平与社会平均工资差异较大，使得这部分人工作积极性难以提高。</w:t>
      </w:r>
    </w:p>
    <w:p w14:paraId="69C53C86">
      <w:pPr>
        <w:widowControl/>
        <w:shd w:val="clear" w:color="auto" w:fill="FFFFFF"/>
        <w:spacing w:line="56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3.因工资水平整体偏低，致使日常工作中人员流动性较大，部分人员的综合素质不高，在服务质量上和干部职工的要求还有差距。</w:t>
      </w:r>
    </w:p>
    <w:p w14:paraId="57B66578">
      <w:pPr>
        <w:widowControl/>
        <w:shd w:val="clear" w:color="auto" w:fill="FFFFFF"/>
        <w:spacing w:line="56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4.因种种特殊原因，向社会购买服务的范围有待进一步扩大。</w:t>
      </w:r>
    </w:p>
    <w:p w14:paraId="2936D562">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8" w:name="_Toc14165"/>
      <w:r>
        <w:rPr>
          <w:rFonts w:hint="eastAsia" w:ascii="楷体_GB2312" w:eastAsia="楷体_GB2312" w:hAnsiTheme="majorHAnsi" w:cstheme="majorBidi"/>
          <w:kern w:val="2"/>
          <w:sz w:val="32"/>
          <w:szCs w:val="32"/>
        </w:rPr>
        <w:t>（三）建议和改进措施</w:t>
      </w:r>
      <w:bookmarkEnd w:id="8"/>
    </w:p>
    <w:p w14:paraId="60873AB9">
      <w:pPr>
        <w:widowControl/>
        <w:shd w:val="clear" w:color="auto" w:fill="FFFFFF"/>
        <w:spacing w:line="56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1.根据不同的服务内容，制定更加科学、合理、细致的考核评价体系，强化对各类服务人员的日常监管，切实提高服务水平。</w:t>
      </w:r>
    </w:p>
    <w:p w14:paraId="6E44EAD8">
      <w:pPr>
        <w:widowControl/>
        <w:shd w:val="clear" w:color="auto" w:fill="FFFFFF"/>
        <w:spacing w:line="56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2.根据不同工作岗位的重要性、工作量、专业技术水平等，制定更加合理的薪资标准，不断激励并倡导所有人员新城必学赶超的良好工作氛围。</w:t>
      </w:r>
    </w:p>
    <w:p w14:paraId="4DC85CA0">
      <w:pPr>
        <w:widowControl/>
        <w:shd w:val="clear" w:color="auto" w:fill="FFFFFF"/>
        <w:spacing w:line="56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3.继续推行“减员增资”的工作方法，科学设置工作岗位的具体工作职责，压缩劳务派遣人员数量，不断提高劳务派遣人员的薪资收入，确保留得住人、干的成事。</w:t>
      </w:r>
    </w:p>
    <w:p w14:paraId="654845E6">
      <w:pPr>
        <w:widowControl/>
        <w:shd w:val="clear" w:color="auto" w:fill="FFFFFF"/>
        <w:spacing w:line="56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4.积极探索向社会购买服务的模式，继续扩大机关后勤服务社会化程度，由服务提供者向监管者转变。</w:t>
      </w:r>
    </w:p>
    <w:p w14:paraId="0004A059">
      <w:pPr>
        <w:widowControl/>
        <w:shd w:val="clear" w:color="auto" w:fill="FFFFFF"/>
        <w:spacing w:line="560" w:lineRule="exact"/>
        <w:ind w:firstLine="705"/>
        <w:jc w:val="left"/>
        <w:rPr>
          <w:rFonts w:ascii="仿宋_GB2312" w:hAnsi="仿宋" w:eastAsia="仿宋_GB2312" w:cs="宋体"/>
          <w:color w:val="333333"/>
          <w:kern w:val="0"/>
          <w:sz w:val="32"/>
          <w:szCs w:val="32"/>
        </w:rPr>
      </w:pPr>
    </w:p>
    <w:p w14:paraId="4853C812">
      <w:pPr>
        <w:spacing w:line="560" w:lineRule="exact"/>
        <w:jc w:val="center"/>
        <w:rPr>
          <w:rFonts w:ascii="方正小标宋_GBK" w:eastAsia="方正小标宋_GBK"/>
          <w:sz w:val="44"/>
          <w:szCs w:val="44"/>
        </w:rPr>
      </w:pPr>
    </w:p>
    <w:p w14:paraId="26DA4149">
      <w:pPr>
        <w:spacing w:line="560" w:lineRule="exact"/>
        <w:jc w:val="center"/>
        <w:rPr>
          <w:rFonts w:hint="eastAsia" w:ascii="方正小标宋_GBK" w:eastAsia="方正小标宋_GBK"/>
          <w:b/>
          <w:bCs/>
          <w:sz w:val="44"/>
          <w:szCs w:val="44"/>
        </w:rPr>
      </w:pPr>
    </w:p>
    <w:p w14:paraId="339A8C36">
      <w:pPr>
        <w:spacing w:line="560" w:lineRule="exact"/>
        <w:jc w:val="center"/>
        <w:rPr>
          <w:rFonts w:hint="eastAsia" w:ascii="方正小标宋_GBK" w:eastAsia="方正小标宋_GBK"/>
          <w:b/>
          <w:bCs/>
          <w:sz w:val="44"/>
          <w:szCs w:val="44"/>
        </w:rPr>
      </w:pPr>
    </w:p>
    <w:p w14:paraId="7C5844FE">
      <w:pPr>
        <w:spacing w:line="560" w:lineRule="exact"/>
        <w:jc w:val="center"/>
        <w:rPr>
          <w:rFonts w:hint="eastAsia" w:ascii="方正小标宋_GBK" w:eastAsia="方正小标宋_GBK"/>
          <w:b/>
          <w:bCs/>
          <w:sz w:val="44"/>
          <w:szCs w:val="44"/>
        </w:rPr>
      </w:pPr>
    </w:p>
    <w:p w14:paraId="31B18C8A">
      <w:pPr>
        <w:spacing w:line="560" w:lineRule="exact"/>
        <w:jc w:val="center"/>
        <w:rPr>
          <w:rFonts w:hint="eastAsia" w:ascii="方正小标宋_GBK" w:eastAsia="方正小标宋_GBK"/>
          <w:b/>
          <w:bCs/>
          <w:sz w:val="44"/>
          <w:szCs w:val="44"/>
        </w:rPr>
      </w:pPr>
    </w:p>
    <w:p w14:paraId="19ED66B0">
      <w:pPr>
        <w:spacing w:line="560" w:lineRule="exact"/>
        <w:jc w:val="center"/>
        <w:rPr>
          <w:rFonts w:hint="eastAsia" w:ascii="方正小标宋_GBK" w:eastAsia="方正小标宋_GBK"/>
          <w:b/>
          <w:bCs/>
          <w:sz w:val="44"/>
          <w:szCs w:val="44"/>
        </w:rPr>
      </w:pPr>
    </w:p>
    <w:p w14:paraId="4908BD41">
      <w:pPr>
        <w:spacing w:line="560" w:lineRule="exact"/>
        <w:jc w:val="center"/>
        <w:rPr>
          <w:rFonts w:hint="eastAsia" w:ascii="方正小标宋_GBK" w:eastAsia="方正小标宋_GBK"/>
          <w:b/>
          <w:bCs/>
          <w:sz w:val="44"/>
          <w:szCs w:val="44"/>
        </w:rPr>
      </w:pPr>
    </w:p>
    <w:p w14:paraId="754038F2">
      <w:pPr>
        <w:spacing w:line="560" w:lineRule="exact"/>
        <w:jc w:val="center"/>
        <w:rPr>
          <w:rFonts w:hint="eastAsia" w:ascii="方正小标宋_GBK" w:eastAsia="方正小标宋_GBK"/>
          <w:b/>
          <w:bCs/>
          <w:sz w:val="44"/>
          <w:szCs w:val="44"/>
        </w:rPr>
      </w:pPr>
    </w:p>
    <w:p w14:paraId="37C30224">
      <w:pPr>
        <w:spacing w:line="560" w:lineRule="exact"/>
        <w:jc w:val="center"/>
        <w:rPr>
          <w:rFonts w:hint="eastAsia" w:ascii="方正小标宋_GBK" w:eastAsia="方正小标宋_GBK"/>
          <w:b/>
          <w:bCs/>
          <w:sz w:val="44"/>
          <w:szCs w:val="44"/>
        </w:rPr>
      </w:pPr>
    </w:p>
    <w:p w14:paraId="1D1D42D2">
      <w:pPr>
        <w:spacing w:line="560" w:lineRule="exact"/>
        <w:jc w:val="center"/>
        <w:rPr>
          <w:rFonts w:hint="eastAsia" w:ascii="方正小标宋_GBK" w:eastAsia="方正小标宋_GBK"/>
          <w:b/>
          <w:bCs/>
          <w:sz w:val="44"/>
          <w:szCs w:val="44"/>
        </w:rPr>
      </w:pPr>
    </w:p>
    <w:p w14:paraId="2BD63DEF">
      <w:pPr>
        <w:spacing w:line="560" w:lineRule="exact"/>
        <w:jc w:val="center"/>
        <w:rPr>
          <w:rFonts w:hint="eastAsia" w:ascii="方正小标宋_GBK" w:eastAsia="方正小标宋_GBK"/>
          <w:b/>
          <w:bCs/>
          <w:sz w:val="44"/>
          <w:szCs w:val="44"/>
        </w:rPr>
      </w:pPr>
    </w:p>
    <w:p w14:paraId="67E7B339">
      <w:pPr>
        <w:spacing w:line="560" w:lineRule="exact"/>
        <w:jc w:val="center"/>
        <w:rPr>
          <w:rFonts w:hint="eastAsia" w:ascii="方正小标宋_GBK" w:eastAsia="方正小标宋_GBK"/>
          <w:b/>
          <w:bCs/>
          <w:sz w:val="44"/>
          <w:szCs w:val="44"/>
        </w:rPr>
      </w:pPr>
    </w:p>
    <w:p w14:paraId="1B660355">
      <w:pPr>
        <w:spacing w:line="560" w:lineRule="exact"/>
        <w:jc w:val="center"/>
        <w:rPr>
          <w:rFonts w:hint="eastAsia" w:ascii="方正小标宋_GBK" w:eastAsia="方正小标宋_GBK"/>
          <w:b/>
          <w:bCs/>
          <w:sz w:val="44"/>
          <w:szCs w:val="44"/>
        </w:rPr>
      </w:pPr>
    </w:p>
    <w:p w14:paraId="0AD1BC05">
      <w:pPr>
        <w:spacing w:line="560" w:lineRule="exact"/>
        <w:jc w:val="center"/>
        <w:rPr>
          <w:rFonts w:hint="eastAsia" w:ascii="方正小标宋_GBK" w:eastAsia="方正小标宋_GBK"/>
          <w:b/>
          <w:bCs/>
          <w:sz w:val="44"/>
          <w:szCs w:val="44"/>
        </w:rPr>
      </w:pPr>
    </w:p>
    <w:p w14:paraId="7431BDE9">
      <w:pPr>
        <w:spacing w:line="560" w:lineRule="exact"/>
        <w:jc w:val="center"/>
        <w:rPr>
          <w:rFonts w:hint="eastAsia" w:ascii="方正小标宋_GBK" w:eastAsia="方正小标宋_GBK"/>
          <w:b/>
          <w:bCs/>
          <w:sz w:val="44"/>
          <w:szCs w:val="44"/>
        </w:rPr>
      </w:pPr>
    </w:p>
    <w:p w14:paraId="66748BD9">
      <w:pPr>
        <w:spacing w:line="560" w:lineRule="exact"/>
        <w:jc w:val="center"/>
        <w:rPr>
          <w:rFonts w:hint="eastAsia" w:ascii="方正小标宋_GBK" w:eastAsia="方正小标宋_GBK"/>
          <w:b/>
          <w:bCs/>
          <w:sz w:val="44"/>
          <w:szCs w:val="44"/>
        </w:rPr>
      </w:pPr>
    </w:p>
    <w:p w14:paraId="5C87F4F9">
      <w:pPr>
        <w:spacing w:line="560" w:lineRule="exact"/>
        <w:jc w:val="center"/>
        <w:rPr>
          <w:rFonts w:ascii="方正小标宋_GBK" w:eastAsia="方正小标宋_GBK"/>
          <w:b/>
          <w:bCs/>
          <w:sz w:val="44"/>
          <w:szCs w:val="44"/>
        </w:rPr>
      </w:pPr>
      <w:r>
        <w:rPr>
          <w:rFonts w:hint="eastAsia" w:ascii="方正小标宋_GBK" w:eastAsia="方正小标宋_GBK"/>
          <w:b/>
          <w:bCs/>
          <w:sz w:val="44"/>
          <w:szCs w:val="44"/>
        </w:rPr>
        <w:t>正文：昆明市盘龙区机关事务管理服务中心</w:t>
      </w:r>
    </w:p>
    <w:p w14:paraId="35BFCC41">
      <w:pPr>
        <w:spacing w:line="560" w:lineRule="exact"/>
        <w:jc w:val="center"/>
        <w:rPr>
          <w:rFonts w:ascii="方正小标宋_GBK" w:eastAsia="方正小标宋_GBK"/>
          <w:b/>
          <w:bCs/>
          <w:sz w:val="44"/>
          <w:szCs w:val="44"/>
        </w:rPr>
      </w:pPr>
      <w:r>
        <w:rPr>
          <w:rFonts w:hint="eastAsia" w:ascii="方正小标宋_GBK" w:eastAsia="方正小标宋_GBK"/>
          <w:b/>
          <w:bCs/>
          <w:sz w:val="44"/>
          <w:szCs w:val="44"/>
        </w:rPr>
        <w:t>机关后勤服务综合管理费</w:t>
      </w:r>
    </w:p>
    <w:p w14:paraId="4C9A2124">
      <w:pPr>
        <w:spacing w:line="560" w:lineRule="exact"/>
        <w:jc w:val="center"/>
        <w:rPr>
          <w:rFonts w:ascii="方正小标宋_GBK" w:eastAsia="方正小标宋_GBK"/>
          <w:b/>
          <w:bCs/>
          <w:sz w:val="44"/>
          <w:szCs w:val="44"/>
        </w:rPr>
      </w:pPr>
      <w:r>
        <w:rPr>
          <w:rFonts w:hint="eastAsia" w:ascii="方正小标宋_GBK" w:eastAsia="方正小标宋_GBK"/>
          <w:b/>
          <w:bCs/>
          <w:sz w:val="44"/>
          <w:szCs w:val="44"/>
        </w:rPr>
        <w:t>项目支出绩效自评报告</w:t>
      </w:r>
    </w:p>
    <w:p w14:paraId="637B06A6">
      <w:pPr>
        <w:spacing w:line="560" w:lineRule="exact"/>
        <w:jc w:val="center"/>
        <w:rPr>
          <w:rFonts w:ascii="方正小标宋_GBK" w:eastAsia="方正小标宋_GBK"/>
          <w:sz w:val="44"/>
          <w:szCs w:val="44"/>
        </w:rPr>
      </w:pPr>
    </w:p>
    <w:p w14:paraId="50833411">
      <w:pPr>
        <w:pStyle w:val="2"/>
        <w:keepNext/>
        <w:keepLines/>
        <w:widowControl w:val="0"/>
        <w:spacing w:before="340" w:after="330" w:line="560" w:lineRule="exact"/>
        <w:ind w:firstLine="643" w:firstLineChars="200"/>
        <w:jc w:val="both"/>
        <w:rPr>
          <w:rFonts w:ascii="黑体" w:hAnsi="黑体" w:eastAsia="黑体" w:cstheme="minorBidi"/>
          <w:kern w:val="44"/>
          <w:sz w:val="32"/>
          <w:szCs w:val="32"/>
        </w:rPr>
      </w:pPr>
      <w:bookmarkStart w:id="9" w:name="_Toc21638"/>
      <w:r>
        <w:rPr>
          <w:rFonts w:hint="eastAsia" w:ascii="黑体" w:hAnsi="黑体" w:eastAsia="黑体" w:cstheme="minorBidi"/>
          <w:kern w:val="44"/>
          <w:sz w:val="32"/>
          <w:szCs w:val="32"/>
        </w:rPr>
        <w:t>一、项目基本情况</w:t>
      </w:r>
      <w:bookmarkEnd w:id="9"/>
    </w:p>
    <w:p w14:paraId="7F9C6E65">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10" w:name="_Toc14789"/>
      <w:bookmarkStart w:id="11" w:name="_Toc531033281"/>
      <w:r>
        <w:rPr>
          <w:rFonts w:hint="eastAsia" w:ascii="楷体_GB2312" w:eastAsia="楷体_GB2312" w:hAnsiTheme="majorHAnsi" w:cstheme="majorBidi"/>
          <w:kern w:val="2"/>
          <w:sz w:val="32"/>
          <w:szCs w:val="32"/>
        </w:rPr>
        <w:t>（一）项目概况</w:t>
      </w:r>
      <w:bookmarkEnd w:id="10"/>
      <w:bookmarkEnd w:id="11"/>
    </w:p>
    <w:p w14:paraId="6B697920">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1.项目立项背景及目的</w:t>
      </w:r>
    </w:p>
    <w:p w14:paraId="1EAE6D32">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机关事务管理服务中心的主要工作职责是为区委、区政府及区级国家机关各部委办局提供机关后勤综合服务。为贯彻党的十九大精神以及习近平总书记系列重要讲话精神，我单位紧紧围绕区委、区政府中心工作，切实履行各项职责，高效服务，力促发展，保障了区委、区政府各项工作高效有序运转。通过完善安全保卫、绿化保洁、车辆管理、水电维修、机关食堂、会议服务等各项工作职责及服务流</w:t>
      </w:r>
      <w:bookmarkStart w:id="32" w:name="_GoBack"/>
      <w:bookmarkEnd w:id="32"/>
      <w:r>
        <w:rPr>
          <w:rFonts w:hint="eastAsia" w:ascii="仿宋_GB2312" w:hAnsi="Times New Roman" w:eastAsia="仿宋_GB2312" w:cs="Times New Roman"/>
          <w:color w:val="333333"/>
          <w:kern w:val="0"/>
          <w:sz w:val="32"/>
          <w:szCs w:val="32"/>
        </w:rPr>
        <w:t>程，狠抓日常工作落实及服务监管，为区委、区政府提供了坚强有力的后勤保障服务。</w:t>
      </w:r>
    </w:p>
    <w:p w14:paraId="7183FFCA">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为确保区委、区政府后勤服务正常开展，上级机关交办事项办理到位，需申请业务经费891.38万元，用于机关食堂、会议服务、水电维修等劳务派遣人员的工资、社保、管理费、加班费等支出；各办公区、住宅区安全保卫、保洁、绿化等物业服务支出；用于服务工作中的综合费用，包括员工办公费、服装费、体检费、学习培训费；安保装备、消防器材补充及维护费用；办公区监控、门禁系统维护费；消防系统维护费；机关办公楼住宅区水池清洗、化粪池清理、垃圾清运、卫生清扫费；电梯、配电室、发电机等系统维保费以及保障后勤工作正常运转的其它支出。</w:t>
      </w:r>
    </w:p>
    <w:p w14:paraId="4EC95279">
      <w:pPr>
        <w:spacing w:line="560" w:lineRule="exact"/>
        <w:ind w:firstLine="640" w:firstLineChars="200"/>
        <w:rPr>
          <w:rFonts w:hint="eastAsia"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2.项目实施情况</w:t>
      </w:r>
    </w:p>
    <w:p w14:paraId="29B49747">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在区委、区政府的正确领导下，机关事务管理服务中心2020年充分调动工作人员的积极性，全年安保人员在完成日常工作的基础上综合训练95次，来访人员登记2460次，维持信访秩序80次，完成了243次重要会议及活动的安保服务；保洁绿化人员在完成日常工作的基础上为会议时提供清洁服务3260场次，</w:t>
      </w:r>
      <w:r>
        <w:rPr>
          <w:rFonts w:hint="eastAsia" w:ascii="仿宋_GB2312" w:hAnsi="仿宋" w:eastAsia="仿宋_GB2312" w:cs="Times New Roman"/>
          <w:sz w:val="32"/>
          <w:szCs w:val="32"/>
        </w:rPr>
        <w:t>平台及电梯清洁</w:t>
      </w:r>
      <w:r>
        <w:rPr>
          <w:rFonts w:hint="eastAsia" w:ascii="仿宋_GB2312" w:hAnsi="Times New Roman" w:eastAsia="仿宋_GB2312" w:cs="Times New Roman"/>
          <w:sz w:val="32"/>
          <w:szCs w:val="32"/>
        </w:rPr>
        <w:t>16</w:t>
      </w:r>
      <w:r>
        <w:rPr>
          <w:rFonts w:hint="eastAsia" w:ascii="仿宋_GB2312" w:hAnsi="仿宋" w:eastAsia="仿宋_GB2312" w:cs="Times New Roman"/>
          <w:sz w:val="32"/>
          <w:szCs w:val="32"/>
        </w:rPr>
        <w:t>次，卫生大扫除</w:t>
      </w:r>
      <w:r>
        <w:rPr>
          <w:rFonts w:hint="eastAsia" w:ascii="仿宋_GB2312" w:hAnsi="Times New Roman" w:eastAsia="仿宋_GB2312" w:cs="Times New Roman"/>
          <w:sz w:val="32"/>
          <w:szCs w:val="32"/>
        </w:rPr>
        <w:t>20</w:t>
      </w:r>
      <w:r>
        <w:rPr>
          <w:rFonts w:hint="eastAsia" w:ascii="仿宋_GB2312" w:hAnsi="仿宋" w:eastAsia="仿宋_GB2312" w:cs="Times New Roman"/>
          <w:sz w:val="32"/>
          <w:szCs w:val="32"/>
        </w:rPr>
        <w:t>次；覆盖遮阴网</w:t>
      </w:r>
      <w:r>
        <w:rPr>
          <w:rFonts w:hint="eastAsia" w:ascii="仿宋_GB2312" w:hAnsi="Times New Roman" w:eastAsia="仿宋_GB2312" w:cs="Times New Roman"/>
          <w:sz w:val="32"/>
          <w:szCs w:val="32"/>
        </w:rPr>
        <w:t>3000</w:t>
      </w:r>
      <w:r>
        <w:rPr>
          <w:rFonts w:hint="eastAsia" w:ascii="仿宋_GB2312" w:hAnsi="仿宋" w:eastAsia="仿宋_GB2312" w:cs="Times New Roman"/>
          <w:sz w:val="32"/>
          <w:szCs w:val="32"/>
        </w:rPr>
        <w:t>余米，防冻保暖护苗</w:t>
      </w:r>
      <w:r>
        <w:rPr>
          <w:rFonts w:hint="eastAsia" w:ascii="仿宋_GB2312" w:hAnsi="Times New Roman" w:eastAsia="仿宋_GB2312" w:cs="Times New Roman"/>
          <w:sz w:val="32"/>
          <w:szCs w:val="32"/>
        </w:rPr>
        <w:t>960</w:t>
      </w:r>
      <w:r>
        <w:rPr>
          <w:rFonts w:hint="eastAsia" w:ascii="仿宋_GB2312" w:hAnsi="仿宋" w:eastAsia="仿宋_GB2312" w:cs="Times New Roman"/>
          <w:sz w:val="32"/>
          <w:szCs w:val="32"/>
        </w:rPr>
        <w:t>余盆。全年花卉植株分苗、移栽、翻种</w:t>
      </w:r>
      <w:r>
        <w:rPr>
          <w:rFonts w:hint="eastAsia" w:ascii="仿宋_GB2312" w:hAnsi="Times New Roman" w:eastAsia="仿宋_GB2312" w:cs="Times New Roman"/>
          <w:sz w:val="32"/>
          <w:szCs w:val="32"/>
        </w:rPr>
        <w:t>150</w:t>
      </w:r>
      <w:r>
        <w:rPr>
          <w:rFonts w:hint="eastAsia" w:ascii="仿宋_GB2312" w:hAnsi="仿宋" w:eastAsia="仿宋_GB2312" w:cs="Times New Roman"/>
          <w:sz w:val="32"/>
          <w:szCs w:val="32"/>
        </w:rPr>
        <w:t>余盆，施肥</w:t>
      </w:r>
      <w:r>
        <w:rPr>
          <w:rFonts w:hint="eastAsia" w:ascii="仿宋_GB2312" w:hAnsi="Times New Roman" w:eastAsia="仿宋_GB2312" w:cs="Times New Roman"/>
          <w:sz w:val="32"/>
          <w:szCs w:val="32"/>
        </w:rPr>
        <w:t>9</w:t>
      </w:r>
      <w:r>
        <w:rPr>
          <w:rFonts w:hint="eastAsia" w:ascii="仿宋_GB2312" w:hAnsi="仿宋" w:eastAsia="仿宋_GB2312" w:cs="Times New Roman"/>
          <w:sz w:val="32"/>
          <w:szCs w:val="32"/>
        </w:rPr>
        <w:t>次，打药</w:t>
      </w:r>
      <w:r>
        <w:rPr>
          <w:rFonts w:hint="eastAsia" w:ascii="仿宋_GB2312" w:hAnsi="Times New Roman" w:eastAsia="仿宋_GB2312" w:cs="Times New Roman"/>
          <w:sz w:val="32"/>
          <w:szCs w:val="32"/>
        </w:rPr>
        <w:t>6</w:t>
      </w:r>
      <w:r>
        <w:rPr>
          <w:rFonts w:hint="eastAsia" w:ascii="仿宋_GB2312" w:hAnsi="仿宋" w:eastAsia="仿宋_GB2312" w:cs="Times New Roman"/>
          <w:sz w:val="32"/>
          <w:szCs w:val="32"/>
        </w:rPr>
        <w:t>次，修枝</w:t>
      </w:r>
      <w:r>
        <w:rPr>
          <w:rFonts w:hint="eastAsia" w:ascii="仿宋_GB2312" w:hAnsi="Times New Roman" w:eastAsia="仿宋_GB2312" w:cs="Times New Roman"/>
          <w:sz w:val="32"/>
          <w:szCs w:val="32"/>
        </w:rPr>
        <w:t>30</w:t>
      </w:r>
      <w:r>
        <w:rPr>
          <w:rFonts w:hint="eastAsia" w:ascii="仿宋_GB2312" w:hAnsi="仿宋" w:eastAsia="仿宋_GB2312" w:cs="Times New Roman"/>
          <w:sz w:val="32"/>
          <w:szCs w:val="32"/>
        </w:rPr>
        <w:t>次、</w:t>
      </w:r>
      <w:r>
        <w:rPr>
          <w:rFonts w:hint="eastAsia" w:ascii="仿宋_GB2312" w:hAnsi="Times New Roman" w:eastAsia="仿宋_GB2312" w:cs="Times New Roman"/>
          <w:sz w:val="32"/>
          <w:szCs w:val="32"/>
        </w:rPr>
        <w:t>2580</w:t>
      </w:r>
      <w:r>
        <w:rPr>
          <w:rFonts w:hint="eastAsia" w:ascii="仿宋_GB2312" w:hAnsi="仿宋" w:eastAsia="仿宋_GB2312" w:cs="Times New Roman"/>
          <w:sz w:val="32"/>
          <w:szCs w:val="32"/>
        </w:rPr>
        <w:t>余盆（株）</w:t>
      </w:r>
      <w:r>
        <w:rPr>
          <w:rFonts w:hint="eastAsia" w:ascii="仿宋_GB2312" w:hAnsi="Times New Roman" w:eastAsia="仿宋_GB2312" w:cs="Times New Roman"/>
          <w:color w:val="333333"/>
          <w:kern w:val="0"/>
          <w:sz w:val="32"/>
          <w:szCs w:val="32"/>
        </w:rPr>
        <w:t>；交换文件</w:t>
      </w:r>
      <w:r>
        <w:rPr>
          <w:rFonts w:hint="eastAsia" w:ascii="仿宋_GB2312" w:hAnsi="Times New Roman" w:eastAsia="仿宋_GB2312" w:cs="Times New Roman"/>
          <w:sz w:val="32"/>
          <w:szCs w:val="32"/>
        </w:rPr>
        <w:t>8.2</w:t>
      </w:r>
      <w:r>
        <w:rPr>
          <w:rFonts w:hint="eastAsia" w:ascii="仿宋_GB2312" w:hAnsi="仿宋" w:eastAsia="仿宋_GB2312" w:cs="Times New Roman"/>
          <w:sz w:val="32"/>
          <w:szCs w:val="32"/>
        </w:rPr>
        <w:t>万份，报刊邮件收</w:t>
      </w:r>
      <w:r>
        <w:rPr>
          <w:rFonts w:hint="eastAsia" w:ascii="仿宋_GB2312" w:hAnsi="Times New Roman" w:eastAsia="仿宋_GB2312" w:cs="Times New Roman"/>
          <w:sz w:val="32"/>
          <w:szCs w:val="32"/>
        </w:rPr>
        <w:t>46</w:t>
      </w:r>
      <w:r>
        <w:rPr>
          <w:rFonts w:hint="eastAsia" w:ascii="仿宋_GB2312" w:hAnsi="仿宋" w:eastAsia="仿宋_GB2312" w:cs="Times New Roman"/>
          <w:sz w:val="32"/>
          <w:szCs w:val="32"/>
        </w:rPr>
        <w:t>万份；</w:t>
      </w:r>
      <w:r>
        <w:rPr>
          <w:rFonts w:hint="eastAsia" w:ascii="仿宋_GB2312" w:hAnsi="Times New Roman" w:eastAsia="仿宋_GB2312" w:cs="Times New Roman"/>
          <w:color w:val="333333"/>
          <w:kern w:val="0"/>
          <w:sz w:val="32"/>
          <w:szCs w:val="32"/>
        </w:rPr>
        <w:t>提供会议服务1976场90572人次，提供餐饮服务281108人次，</w:t>
      </w:r>
      <w:r>
        <w:rPr>
          <w:rFonts w:hint="eastAsia" w:ascii="仿宋_GB2312" w:hAnsi="仿宋" w:eastAsia="仿宋_GB2312" w:cs="Times New Roman"/>
          <w:sz w:val="32"/>
          <w:szCs w:val="32"/>
        </w:rPr>
        <w:t>接待用餐</w:t>
      </w:r>
      <w:r>
        <w:rPr>
          <w:rFonts w:hint="eastAsia" w:ascii="仿宋_GB2312" w:hAnsi="Times New Roman" w:eastAsia="仿宋_GB2312" w:cs="Times New Roman"/>
          <w:sz w:val="32"/>
          <w:szCs w:val="32"/>
        </w:rPr>
        <w:t>157</w:t>
      </w:r>
      <w:r>
        <w:rPr>
          <w:rFonts w:hint="eastAsia" w:ascii="仿宋_GB2312" w:hAnsi="仿宋" w:eastAsia="仿宋_GB2312" w:cs="Times New Roman"/>
          <w:sz w:val="32"/>
          <w:szCs w:val="32"/>
        </w:rPr>
        <w:t>桌次</w:t>
      </w:r>
      <w:r>
        <w:rPr>
          <w:rFonts w:hint="eastAsia" w:ascii="仿宋_GB2312" w:hAnsi="Times New Roman" w:eastAsia="仿宋_GB2312" w:cs="Times New Roman"/>
          <w:color w:val="333333"/>
          <w:kern w:val="0"/>
          <w:sz w:val="32"/>
          <w:szCs w:val="32"/>
        </w:rPr>
        <w:t>；完成水电维修330余次。</w:t>
      </w:r>
    </w:p>
    <w:p w14:paraId="260B871B">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 xml:space="preserve">3.项目资金来源及使用情况 </w:t>
      </w:r>
    </w:p>
    <w:p w14:paraId="5E10BEDC">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（1）项目经费来源</w:t>
      </w:r>
    </w:p>
    <w:p w14:paraId="24E208AC">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根据昆明市盘龙区财政局《关于下达盘龙区2020年部门预算的批复》（盘财〔202</w:t>
      </w:r>
      <w:r>
        <w:rPr>
          <w:rFonts w:hint="eastAsia" w:ascii="仿宋_GB2312" w:hAnsi="Times New Roman" w:eastAsia="仿宋_GB2312" w:cs="Times New Roman"/>
          <w:color w:val="333333"/>
          <w:kern w:val="0"/>
          <w:sz w:val="32"/>
          <w:szCs w:val="32"/>
          <w:lang w:val="en-US" w:eastAsia="zh-CN"/>
        </w:rPr>
        <w:t>0</w:t>
      </w:r>
      <w:r>
        <w:rPr>
          <w:rFonts w:hint="eastAsia" w:ascii="仿宋_GB2312" w:hAnsi="Times New Roman" w:eastAsia="仿宋_GB2312" w:cs="Times New Roman"/>
          <w:color w:val="333333"/>
          <w:kern w:val="0"/>
          <w:sz w:val="32"/>
          <w:szCs w:val="32"/>
        </w:rPr>
        <w:t>〕1号）文件安排项目资金891.38万元，资金来源全部为区级财政拨款。</w:t>
      </w:r>
    </w:p>
    <w:p w14:paraId="4223EA2D">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（2）项目经费使用情况</w:t>
      </w:r>
    </w:p>
    <w:p w14:paraId="19C2C57A">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截至2020年12月31日，业务经费891.38万元已全部支出，主要用于支付物业管理费、劳务费、维修费、材料费、委托业务费、设备购置费等，具体详见下表：</w:t>
      </w:r>
    </w:p>
    <w:p w14:paraId="12DE5C75">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p>
    <w:p w14:paraId="3EB16A8A">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p>
    <w:p w14:paraId="17FD1BDC">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p>
    <w:p w14:paraId="78B87D4E">
      <w:pPr>
        <w:widowControl/>
        <w:shd w:val="clear" w:color="auto" w:fill="FFFFFF"/>
        <w:spacing w:line="560" w:lineRule="exact"/>
        <w:ind w:firstLine="705"/>
        <w:jc w:val="right"/>
        <w:rPr>
          <w:rFonts w:hint="eastAsia" w:ascii="仿宋_GB2312" w:hAnsi="Times New Roman" w:eastAsia="仿宋_GB2312" w:cs="Times New Roman"/>
          <w:color w:val="333333"/>
          <w:kern w:val="0"/>
          <w:szCs w:val="24"/>
        </w:rPr>
      </w:pPr>
      <w:r>
        <w:rPr>
          <w:rFonts w:hint="eastAsia" w:ascii="仿宋_GB2312" w:hAnsi="Times New Roman" w:eastAsia="仿宋_GB2312" w:cs="Times New Roman"/>
          <w:color w:val="333333"/>
          <w:kern w:val="0"/>
          <w:sz w:val="24"/>
          <w:szCs w:val="29"/>
        </w:rPr>
        <w:t>单位：元</w:t>
      </w:r>
    </w:p>
    <w:tbl>
      <w:tblPr>
        <w:tblStyle w:val="10"/>
        <w:tblW w:w="8791"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2433"/>
        <w:gridCol w:w="2541"/>
        <w:gridCol w:w="2083"/>
        <w:gridCol w:w="1734"/>
      </w:tblGrid>
      <w:tr w14:paraId="16A11C3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00"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2FAE9FDE">
            <w:pPr>
              <w:widowControl/>
              <w:spacing w:line="560" w:lineRule="exact"/>
              <w:jc w:val="center"/>
              <w:textAlignment w:val="bottom"/>
              <w:rPr>
                <w:rFonts w:hint="eastAsia" w:ascii="仿宋_GB2312" w:hAnsi="Times New Roman" w:eastAsia="仿宋_GB2312" w:cs="Times New Roman"/>
                <w:b/>
                <w:color w:val="333333"/>
                <w:kern w:val="0"/>
                <w:sz w:val="24"/>
                <w:szCs w:val="24"/>
              </w:rPr>
            </w:pPr>
            <w:r>
              <w:rPr>
                <w:rFonts w:hint="eastAsia" w:ascii="仿宋_GB2312" w:hAnsi="Times New Roman" w:eastAsia="仿宋_GB2312" w:cs="Times New Roman"/>
                <w:b/>
                <w:color w:val="333333"/>
                <w:kern w:val="0"/>
                <w:sz w:val="24"/>
                <w:szCs w:val="24"/>
              </w:rPr>
              <w:t>项目内容</w:t>
            </w:r>
          </w:p>
        </w:tc>
        <w:tc>
          <w:tcPr>
            <w:tcW w:w="2541" w:type="dxa"/>
            <w:tcBorders>
              <w:top w:val="single" w:color="auto" w:sz="4" w:space="0"/>
              <w:left w:val="single" w:color="auto" w:sz="4" w:space="0"/>
              <w:bottom w:val="single" w:color="auto" w:sz="4" w:space="0"/>
              <w:right w:val="single" w:color="auto" w:sz="4" w:space="0"/>
            </w:tcBorders>
            <w:shd w:val="clear" w:color="auto" w:fill="FFFFFF"/>
            <w:vAlign w:val="center"/>
          </w:tcPr>
          <w:p w14:paraId="3E1867AB">
            <w:pPr>
              <w:widowControl/>
              <w:spacing w:line="560" w:lineRule="exact"/>
              <w:jc w:val="center"/>
              <w:textAlignment w:val="bottom"/>
              <w:rPr>
                <w:rFonts w:hint="eastAsia" w:ascii="仿宋_GB2312" w:hAnsi="Times New Roman" w:eastAsia="仿宋_GB2312" w:cs="Times New Roman"/>
                <w:b/>
                <w:color w:val="333333"/>
                <w:kern w:val="0"/>
                <w:sz w:val="24"/>
                <w:szCs w:val="24"/>
              </w:rPr>
            </w:pPr>
            <w:r>
              <w:rPr>
                <w:rFonts w:hint="eastAsia" w:ascii="仿宋_GB2312" w:hAnsi="Times New Roman" w:eastAsia="仿宋_GB2312" w:cs="Times New Roman"/>
                <w:b/>
                <w:color w:val="333333"/>
                <w:kern w:val="0"/>
                <w:sz w:val="24"/>
                <w:szCs w:val="24"/>
              </w:rPr>
              <w:t>年初预算资金安排</w:t>
            </w:r>
          </w:p>
        </w:tc>
        <w:tc>
          <w:tcPr>
            <w:tcW w:w="2083" w:type="dxa"/>
            <w:tcBorders>
              <w:top w:val="single" w:color="auto" w:sz="4" w:space="0"/>
              <w:left w:val="single" w:color="auto" w:sz="4" w:space="0"/>
              <w:bottom w:val="single" w:color="auto" w:sz="4" w:space="0"/>
              <w:right w:val="single" w:color="auto" w:sz="4" w:space="0"/>
            </w:tcBorders>
            <w:shd w:val="clear" w:color="auto" w:fill="FFFFFF"/>
            <w:vAlign w:val="center"/>
          </w:tcPr>
          <w:p w14:paraId="37B27A0D">
            <w:pPr>
              <w:widowControl/>
              <w:spacing w:line="560" w:lineRule="exact"/>
              <w:jc w:val="center"/>
              <w:textAlignment w:val="bottom"/>
              <w:rPr>
                <w:rFonts w:hint="eastAsia" w:ascii="仿宋_GB2312" w:hAnsi="Times New Roman" w:eastAsia="仿宋_GB2312" w:cs="Times New Roman"/>
                <w:b/>
                <w:color w:val="333333"/>
                <w:kern w:val="0"/>
                <w:sz w:val="24"/>
                <w:szCs w:val="24"/>
              </w:rPr>
            </w:pPr>
            <w:r>
              <w:rPr>
                <w:rFonts w:hint="eastAsia" w:ascii="仿宋_GB2312" w:hAnsi="Times New Roman" w:eastAsia="仿宋_GB2312" w:cs="Times New Roman"/>
                <w:b/>
                <w:color w:val="333333"/>
                <w:kern w:val="0"/>
                <w:sz w:val="24"/>
                <w:szCs w:val="24"/>
              </w:rPr>
              <w:t>实际支出数</w:t>
            </w:r>
          </w:p>
        </w:tc>
        <w:tc>
          <w:tcPr>
            <w:tcW w:w="1734" w:type="dxa"/>
            <w:tcBorders>
              <w:top w:val="single" w:color="auto" w:sz="4" w:space="0"/>
              <w:left w:val="single" w:color="auto" w:sz="4" w:space="0"/>
              <w:bottom w:val="single" w:color="auto" w:sz="4" w:space="0"/>
              <w:right w:val="single" w:color="000000" w:sz="6" w:space="0"/>
            </w:tcBorders>
            <w:shd w:val="clear" w:color="auto" w:fill="FFFFFF"/>
            <w:vAlign w:val="center"/>
          </w:tcPr>
          <w:p w14:paraId="6F4E6B91">
            <w:pPr>
              <w:widowControl/>
              <w:spacing w:line="560" w:lineRule="exact"/>
              <w:jc w:val="center"/>
              <w:textAlignment w:val="bottom"/>
              <w:rPr>
                <w:rFonts w:hint="eastAsia" w:ascii="仿宋_GB2312" w:hAnsi="Times New Roman" w:eastAsia="仿宋_GB2312" w:cs="Times New Roman"/>
                <w:b/>
                <w:color w:val="333333"/>
                <w:kern w:val="0"/>
                <w:sz w:val="24"/>
                <w:szCs w:val="24"/>
              </w:rPr>
            </w:pPr>
            <w:r>
              <w:rPr>
                <w:rFonts w:hint="eastAsia" w:ascii="仿宋_GB2312" w:hAnsi="Times New Roman" w:eastAsia="仿宋_GB2312" w:cs="Times New Roman"/>
                <w:b/>
                <w:color w:val="333333"/>
                <w:kern w:val="0"/>
                <w:sz w:val="24"/>
                <w:szCs w:val="24"/>
              </w:rPr>
              <w:t>预算执行率</w:t>
            </w:r>
          </w:p>
        </w:tc>
      </w:tr>
      <w:tr w14:paraId="62ADCAC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62EF04B6">
            <w:pPr>
              <w:widowControl/>
              <w:spacing w:line="560" w:lineRule="exact"/>
              <w:jc w:val="center"/>
              <w:textAlignment w:val="center"/>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333333"/>
                <w:kern w:val="0"/>
                <w:sz w:val="24"/>
                <w:szCs w:val="24"/>
              </w:rPr>
              <w:t>物业管理费</w:t>
            </w:r>
          </w:p>
        </w:tc>
        <w:tc>
          <w:tcPr>
            <w:tcW w:w="2541" w:type="dxa"/>
            <w:tcBorders>
              <w:top w:val="nil"/>
              <w:left w:val="nil"/>
              <w:bottom w:val="single" w:color="000000" w:sz="6" w:space="0"/>
              <w:right w:val="single" w:color="000000" w:sz="6" w:space="0"/>
            </w:tcBorders>
            <w:shd w:val="clear" w:color="auto" w:fill="FFFFFF"/>
            <w:vAlign w:val="center"/>
          </w:tcPr>
          <w:p w14:paraId="0FCEB864">
            <w:pPr>
              <w:widowControl/>
              <w:spacing w:line="560" w:lineRule="exact"/>
              <w:jc w:val="center"/>
              <w:textAlignment w:val="center"/>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000000"/>
                <w:kern w:val="0"/>
                <w:sz w:val="24"/>
                <w:szCs w:val="24"/>
              </w:rPr>
              <w:t>1790000</w:t>
            </w:r>
          </w:p>
        </w:tc>
        <w:tc>
          <w:tcPr>
            <w:tcW w:w="2083" w:type="dxa"/>
            <w:tcBorders>
              <w:top w:val="nil"/>
              <w:left w:val="nil"/>
              <w:bottom w:val="single" w:color="000000" w:sz="6" w:space="0"/>
              <w:right w:val="single" w:color="000000" w:sz="6" w:space="0"/>
            </w:tcBorders>
            <w:shd w:val="clear" w:color="auto" w:fill="FFFFFF"/>
            <w:vAlign w:val="center"/>
          </w:tcPr>
          <w:p w14:paraId="7D388B57">
            <w:pPr>
              <w:widowControl/>
              <w:spacing w:line="560" w:lineRule="exact"/>
              <w:jc w:val="center"/>
              <w:textAlignment w:val="center"/>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000000"/>
                <w:kern w:val="0"/>
                <w:sz w:val="24"/>
                <w:szCs w:val="24"/>
              </w:rPr>
              <w:t>1790000</w:t>
            </w:r>
          </w:p>
        </w:tc>
        <w:tc>
          <w:tcPr>
            <w:tcW w:w="1734" w:type="dxa"/>
            <w:vMerge w:val="restart"/>
            <w:tcBorders>
              <w:top w:val="nil"/>
              <w:left w:val="nil"/>
              <w:right w:val="single" w:color="000000" w:sz="6" w:space="0"/>
            </w:tcBorders>
            <w:shd w:val="clear" w:color="auto" w:fill="FFFFFF"/>
            <w:vAlign w:val="center"/>
          </w:tcPr>
          <w:p w14:paraId="682861B1">
            <w:pPr>
              <w:widowControl/>
              <w:spacing w:line="560" w:lineRule="exact"/>
              <w:jc w:val="center"/>
              <w:textAlignment w:val="bottom"/>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333333"/>
                <w:kern w:val="0"/>
                <w:sz w:val="24"/>
                <w:szCs w:val="24"/>
              </w:rPr>
              <w:t>100%</w:t>
            </w:r>
          </w:p>
          <w:p w14:paraId="41DB63DB">
            <w:pPr>
              <w:widowControl/>
              <w:spacing w:line="560" w:lineRule="exact"/>
              <w:jc w:val="center"/>
              <w:textAlignment w:val="bottom"/>
              <w:rPr>
                <w:rFonts w:hint="eastAsia" w:ascii="仿宋_GB2312" w:hAnsi="Times New Roman" w:eastAsia="仿宋_GB2312" w:cs="Times New Roman"/>
                <w:color w:val="333333"/>
                <w:kern w:val="0"/>
                <w:sz w:val="24"/>
                <w:szCs w:val="24"/>
                <w:highlight w:val="yellow"/>
              </w:rPr>
            </w:pPr>
          </w:p>
        </w:tc>
      </w:tr>
      <w:tr w14:paraId="24BE7B0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1DB94021">
            <w:pPr>
              <w:widowControl/>
              <w:spacing w:line="560" w:lineRule="exact"/>
              <w:jc w:val="center"/>
              <w:textAlignment w:val="center"/>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333333"/>
                <w:kern w:val="0"/>
                <w:sz w:val="24"/>
                <w:szCs w:val="24"/>
              </w:rPr>
              <w:t>劳务费</w:t>
            </w:r>
          </w:p>
        </w:tc>
        <w:tc>
          <w:tcPr>
            <w:tcW w:w="2541" w:type="dxa"/>
            <w:tcBorders>
              <w:top w:val="nil"/>
              <w:left w:val="nil"/>
              <w:bottom w:val="single" w:color="000000" w:sz="6" w:space="0"/>
              <w:right w:val="single" w:color="000000" w:sz="6" w:space="0"/>
            </w:tcBorders>
            <w:shd w:val="clear" w:color="auto" w:fill="FFFFFF"/>
            <w:vAlign w:val="center"/>
          </w:tcPr>
          <w:p w14:paraId="4EADD8F0">
            <w:pPr>
              <w:widowControl/>
              <w:spacing w:line="560" w:lineRule="exact"/>
              <w:jc w:val="center"/>
              <w:textAlignment w:val="center"/>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000000"/>
                <w:kern w:val="0"/>
                <w:sz w:val="24"/>
                <w:szCs w:val="24"/>
              </w:rPr>
              <w:t>3737800</w:t>
            </w:r>
          </w:p>
        </w:tc>
        <w:tc>
          <w:tcPr>
            <w:tcW w:w="2083" w:type="dxa"/>
            <w:tcBorders>
              <w:top w:val="nil"/>
              <w:left w:val="nil"/>
              <w:bottom w:val="single" w:color="000000" w:sz="6" w:space="0"/>
              <w:right w:val="single" w:color="000000" w:sz="6" w:space="0"/>
            </w:tcBorders>
            <w:shd w:val="clear" w:color="auto" w:fill="FFFFFF"/>
            <w:vAlign w:val="center"/>
          </w:tcPr>
          <w:p w14:paraId="42A722B7">
            <w:pPr>
              <w:widowControl/>
              <w:spacing w:line="560" w:lineRule="exact"/>
              <w:jc w:val="center"/>
              <w:textAlignment w:val="center"/>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000000"/>
                <w:kern w:val="0"/>
                <w:sz w:val="24"/>
                <w:szCs w:val="24"/>
              </w:rPr>
              <w:t>3737800</w:t>
            </w:r>
          </w:p>
        </w:tc>
        <w:tc>
          <w:tcPr>
            <w:tcW w:w="1734" w:type="dxa"/>
            <w:vMerge w:val="continue"/>
            <w:tcBorders>
              <w:left w:val="nil"/>
              <w:right w:val="single" w:color="000000" w:sz="6" w:space="0"/>
            </w:tcBorders>
            <w:shd w:val="clear" w:color="auto" w:fill="FFFFFF"/>
            <w:vAlign w:val="center"/>
          </w:tcPr>
          <w:p w14:paraId="2747893E">
            <w:pPr>
              <w:widowControl/>
              <w:spacing w:line="560" w:lineRule="exact"/>
              <w:jc w:val="center"/>
              <w:textAlignment w:val="bottom"/>
              <w:rPr>
                <w:rFonts w:hint="eastAsia" w:ascii="仿宋_GB2312" w:hAnsi="Times New Roman" w:eastAsia="仿宋_GB2312" w:cs="Times New Roman"/>
                <w:color w:val="333333"/>
                <w:kern w:val="0"/>
                <w:sz w:val="24"/>
                <w:szCs w:val="24"/>
                <w:highlight w:val="yellow"/>
              </w:rPr>
            </w:pPr>
          </w:p>
        </w:tc>
      </w:tr>
      <w:tr w14:paraId="2007D41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82"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167FE2DF">
            <w:pPr>
              <w:widowControl/>
              <w:spacing w:line="560" w:lineRule="exact"/>
              <w:jc w:val="center"/>
              <w:textAlignment w:val="bottom"/>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333333"/>
                <w:kern w:val="0"/>
                <w:sz w:val="24"/>
                <w:szCs w:val="24"/>
              </w:rPr>
              <w:t>维修费</w:t>
            </w:r>
          </w:p>
        </w:tc>
        <w:tc>
          <w:tcPr>
            <w:tcW w:w="2541" w:type="dxa"/>
            <w:tcBorders>
              <w:top w:val="nil"/>
              <w:left w:val="nil"/>
              <w:bottom w:val="single" w:color="auto" w:sz="4" w:space="0"/>
              <w:right w:val="single" w:color="000000" w:sz="6" w:space="0"/>
            </w:tcBorders>
            <w:shd w:val="clear" w:color="auto" w:fill="FFFFFF"/>
            <w:vAlign w:val="center"/>
          </w:tcPr>
          <w:p w14:paraId="13B90250">
            <w:pPr>
              <w:widowControl/>
              <w:spacing w:line="560" w:lineRule="exact"/>
              <w:jc w:val="center"/>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000000"/>
                <w:kern w:val="0"/>
                <w:sz w:val="24"/>
                <w:szCs w:val="24"/>
              </w:rPr>
              <w:t>334000</w:t>
            </w:r>
          </w:p>
        </w:tc>
        <w:tc>
          <w:tcPr>
            <w:tcW w:w="2083" w:type="dxa"/>
            <w:tcBorders>
              <w:top w:val="nil"/>
              <w:left w:val="nil"/>
              <w:bottom w:val="single" w:color="auto" w:sz="4" w:space="0"/>
              <w:right w:val="single" w:color="000000" w:sz="6" w:space="0"/>
            </w:tcBorders>
            <w:shd w:val="clear" w:color="auto" w:fill="FFFFFF"/>
            <w:vAlign w:val="center"/>
          </w:tcPr>
          <w:p w14:paraId="26ABDB77">
            <w:pPr>
              <w:widowControl/>
              <w:spacing w:line="560" w:lineRule="exact"/>
              <w:jc w:val="center"/>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000000"/>
                <w:kern w:val="0"/>
                <w:sz w:val="24"/>
                <w:szCs w:val="24"/>
              </w:rPr>
              <w:t>334000</w:t>
            </w:r>
          </w:p>
        </w:tc>
        <w:tc>
          <w:tcPr>
            <w:tcW w:w="1734" w:type="dxa"/>
            <w:vMerge w:val="continue"/>
            <w:tcBorders>
              <w:left w:val="nil"/>
              <w:right w:val="single" w:color="000000" w:sz="6" w:space="0"/>
            </w:tcBorders>
            <w:shd w:val="clear" w:color="auto" w:fill="FFFFFF"/>
            <w:vAlign w:val="center"/>
          </w:tcPr>
          <w:p w14:paraId="11B947FF">
            <w:pPr>
              <w:widowControl/>
              <w:spacing w:line="560" w:lineRule="exact"/>
              <w:jc w:val="center"/>
              <w:textAlignment w:val="bottom"/>
              <w:rPr>
                <w:rFonts w:hint="eastAsia" w:ascii="仿宋_GB2312" w:hAnsi="Times New Roman" w:eastAsia="仿宋_GB2312" w:cs="Times New Roman"/>
                <w:color w:val="333333"/>
                <w:kern w:val="0"/>
                <w:sz w:val="24"/>
                <w:szCs w:val="24"/>
                <w:highlight w:val="yellow"/>
              </w:rPr>
            </w:pPr>
          </w:p>
        </w:tc>
      </w:tr>
      <w:tr w14:paraId="12042C5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76BD3BC2">
            <w:pPr>
              <w:widowControl/>
              <w:spacing w:line="560" w:lineRule="exact"/>
              <w:jc w:val="center"/>
              <w:textAlignment w:val="bottom"/>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333333"/>
                <w:kern w:val="0"/>
                <w:sz w:val="24"/>
                <w:szCs w:val="24"/>
              </w:rPr>
              <w:t>安保服务费</w:t>
            </w:r>
          </w:p>
        </w:tc>
        <w:tc>
          <w:tcPr>
            <w:tcW w:w="2541" w:type="dxa"/>
            <w:tcBorders>
              <w:top w:val="single" w:color="auto" w:sz="4" w:space="0"/>
              <w:left w:val="nil"/>
              <w:bottom w:val="single" w:color="auto" w:sz="4" w:space="0"/>
              <w:right w:val="single" w:color="000000" w:sz="6" w:space="0"/>
            </w:tcBorders>
            <w:shd w:val="clear" w:color="auto" w:fill="FFFFFF"/>
            <w:vAlign w:val="center"/>
          </w:tcPr>
          <w:p w14:paraId="398F6212">
            <w:pPr>
              <w:widowControl/>
              <w:spacing w:line="560" w:lineRule="exact"/>
              <w:jc w:val="center"/>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000000"/>
                <w:kern w:val="0"/>
                <w:sz w:val="24"/>
                <w:szCs w:val="24"/>
              </w:rPr>
              <w:t xml:space="preserve"> 2352000</w:t>
            </w:r>
          </w:p>
        </w:tc>
        <w:tc>
          <w:tcPr>
            <w:tcW w:w="2083" w:type="dxa"/>
            <w:tcBorders>
              <w:top w:val="single" w:color="auto" w:sz="4" w:space="0"/>
              <w:left w:val="nil"/>
              <w:bottom w:val="single" w:color="auto" w:sz="4" w:space="0"/>
              <w:right w:val="single" w:color="000000" w:sz="6" w:space="0"/>
            </w:tcBorders>
            <w:shd w:val="clear" w:color="auto" w:fill="FFFFFF"/>
            <w:vAlign w:val="center"/>
          </w:tcPr>
          <w:p w14:paraId="29B2D643">
            <w:pPr>
              <w:widowControl/>
              <w:spacing w:line="560" w:lineRule="exact"/>
              <w:jc w:val="center"/>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000000"/>
                <w:kern w:val="0"/>
                <w:sz w:val="24"/>
                <w:szCs w:val="24"/>
              </w:rPr>
              <w:t xml:space="preserve"> 2352000</w:t>
            </w:r>
          </w:p>
        </w:tc>
        <w:tc>
          <w:tcPr>
            <w:tcW w:w="1734" w:type="dxa"/>
            <w:vMerge w:val="continue"/>
            <w:tcBorders>
              <w:left w:val="nil"/>
              <w:right w:val="single" w:color="000000" w:sz="6" w:space="0"/>
            </w:tcBorders>
            <w:shd w:val="clear" w:color="auto" w:fill="FFFFFF"/>
            <w:vAlign w:val="center"/>
          </w:tcPr>
          <w:p w14:paraId="52F9C1A4">
            <w:pPr>
              <w:widowControl/>
              <w:spacing w:line="560" w:lineRule="exact"/>
              <w:jc w:val="center"/>
              <w:textAlignment w:val="bottom"/>
              <w:rPr>
                <w:rFonts w:hint="eastAsia" w:ascii="仿宋_GB2312" w:hAnsi="Times New Roman" w:eastAsia="仿宋_GB2312" w:cs="Times New Roman"/>
                <w:color w:val="333333"/>
                <w:kern w:val="0"/>
                <w:sz w:val="24"/>
                <w:szCs w:val="24"/>
                <w:highlight w:val="yellow"/>
              </w:rPr>
            </w:pPr>
          </w:p>
        </w:tc>
      </w:tr>
      <w:tr w14:paraId="32842E7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300"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63C35A6F">
            <w:pPr>
              <w:widowControl/>
              <w:spacing w:line="560" w:lineRule="exact"/>
              <w:jc w:val="center"/>
              <w:textAlignment w:val="bottom"/>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333333"/>
                <w:kern w:val="0"/>
                <w:sz w:val="24"/>
                <w:szCs w:val="24"/>
              </w:rPr>
              <w:t>综合管理费</w:t>
            </w:r>
          </w:p>
        </w:tc>
        <w:tc>
          <w:tcPr>
            <w:tcW w:w="2541" w:type="dxa"/>
            <w:tcBorders>
              <w:top w:val="single" w:color="auto" w:sz="4" w:space="0"/>
              <w:left w:val="nil"/>
              <w:bottom w:val="single" w:color="auto" w:sz="4" w:space="0"/>
              <w:right w:val="single" w:color="000000" w:sz="6" w:space="0"/>
            </w:tcBorders>
            <w:shd w:val="clear" w:color="auto" w:fill="FFFFFF"/>
            <w:vAlign w:val="center"/>
          </w:tcPr>
          <w:p w14:paraId="6B650C3C">
            <w:pPr>
              <w:widowControl/>
              <w:spacing w:line="560" w:lineRule="exact"/>
              <w:jc w:val="center"/>
              <w:textAlignment w:val="center"/>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333333"/>
                <w:kern w:val="0"/>
                <w:sz w:val="24"/>
                <w:szCs w:val="24"/>
              </w:rPr>
              <w:t>700000.00</w:t>
            </w:r>
          </w:p>
        </w:tc>
        <w:tc>
          <w:tcPr>
            <w:tcW w:w="2083" w:type="dxa"/>
            <w:tcBorders>
              <w:top w:val="single" w:color="auto" w:sz="4" w:space="0"/>
              <w:left w:val="nil"/>
              <w:bottom w:val="single" w:color="auto" w:sz="4" w:space="0"/>
              <w:right w:val="single" w:color="000000" w:sz="6" w:space="0"/>
            </w:tcBorders>
            <w:shd w:val="clear" w:color="auto" w:fill="FFFFFF"/>
            <w:vAlign w:val="center"/>
          </w:tcPr>
          <w:p w14:paraId="11A16CE3">
            <w:pPr>
              <w:widowControl/>
              <w:spacing w:line="560" w:lineRule="exact"/>
              <w:jc w:val="center"/>
              <w:textAlignment w:val="center"/>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000000"/>
                <w:kern w:val="0"/>
                <w:sz w:val="24"/>
                <w:szCs w:val="24"/>
              </w:rPr>
              <w:t>700000.00</w:t>
            </w:r>
          </w:p>
        </w:tc>
        <w:tc>
          <w:tcPr>
            <w:tcW w:w="1734" w:type="dxa"/>
            <w:vMerge w:val="continue"/>
            <w:tcBorders>
              <w:left w:val="nil"/>
              <w:right w:val="single" w:color="000000" w:sz="6" w:space="0"/>
            </w:tcBorders>
            <w:shd w:val="clear" w:color="auto" w:fill="FFFFFF"/>
            <w:vAlign w:val="center"/>
          </w:tcPr>
          <w:p w14:paraId="50C2AFE4">
            <w:pPr>
              <w:widowControl/>
              <w:spacing w:line="560" w:lineRule="exact"/>
              <w:jc w:val="center"/>
              <w:textAlignment w:val="bottom"/>
              <w:rPr>
                <w:rFonts w:hint="eastAsia" w:ascii="仿宋_GB2312" w:hAnsi="Times New Roman" w:eastAsia="仿宋_GB2312" w:cs="Times New Roman"/>
                <w:color w:val="333333"/>
                <w:kern w:val="0"/>
                <w:sz w:val="24"/>
                <w:szCs w:val="24"/>
                <w:highlight w:val="yellow"/>
              </w:rPr>
            </w:pPr>
          </w:p>
        </w:tc>
      </w:tr>
      <w:tr w14:paraId="2D9109C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270" w:hRule="atLeast"/>
          <w:jc w:val="center"/>
        </w:trPr>
        <w:tc>
          <w:tcPr>
            <w:tcW w:w="2433" w:type="dxa"/>
            <w:tcBorders>
              <w:top w:val="single" w:color="auto" w:sz="4" w:space="0"/>
              <w:left w:val="single" w:color="auto" w:sz="4" w:space="0"/>
              <w:bottom w:val="single" w:color="auto" w:sz="4" w:space="0"/>
              <w:right w:val="single" w:color="auto" w:sz="4" w:space="0"/>
            </w:tcBorders>
            <w:shd w:val="clear" w:color="auto" w:fill="FFFFFF"/>
            <w:vAlign w:val="center"/>
          </w:tcPr>
          <w:p w14:paraId="7FDE13DB">
            <w:pPr>
              <w:widowControl/>
              <w:spacing w:line="560" w:lineRule="exact"/>
              <w:jc w:val="center"/>
              <w:textAlignment w:val="bottom"/>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333333"/>
                <w:kern w:val="0"/>
                <w:sz w:val="24"/>
                <w:szCs w:val="24"/>
              </w:rPr>
              <w:t>合计</w:t>
            </w:r>
          </w:p>
        </w:tc>
        <w:tc>
          <w:tcPr>
            <w:tcW w:w="2541" w:type="dxa"/>
            <w:tcBorders>
              <w:top w:val="single" w:color="auto" w:sz="4" w:space="0"/>
              <w:left w:val="single" w:color="000000" w:sz="6" w:space="0"/>
              <w:bottom w:val="single" w:color="auto" w:sz="4" w:space="0"/>
              <w:right w:val="single" w:color="auto" w:sz="4" w:space="0"/>
            </w:tcBorders>
            <w:shd w:val="clear" w:color="auto" w:fill="FFFFFF"/>
            <w:vAlign w:val="center"/>
          </w:tcPr>
          <w:p w14:paraId="65E78215">
            <w:pPr>
              <w:widowControl/>
              <w:spacing w:line="560" w:lineRule="exact"/>
              <w:jc w:val="center"/>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333333"/>
                <w:kern w:val="0"/>
                <w:sz w:val="24"/>
                <w:szCs w:val="24"/>
              </w:rPr>
              <w:t>8913800</w:t>
            </w:r>
          </w:p>
        </w:tc>
        <w:tc>
          <w:tcPr>
            <w:tcW w:w="2083" w:type="dxa"/>
            <w:tcBorders>
              <w:top w:val="single" w:color="auto" w:sz="4" w:space="0"/>
              <w:left w:val="single" w:color="000000" w:sz="6" w:space="0"/>
              <w:bottom w:val="single" w:color="auto" w:sz="4" w:space="0"/>
              <w:right w:val="single" w:color="auto" w:sz="4" w:space="0"/>
            </w:tcBorders>
            <w:shd w:val="clear" w:color="auto" w:fill="FFFFFF"/>
            <w:vAlign w:val="center"/>
          </w:tcPr>
          <w:p w14:paraId="727484BB">
            <w:pPr>
              <w:widowControl/>
              <w:spacing w:line="560" w:lineRule="exact"/>
              <w:jc w:val="center"/>
              <w:rPr>
                <w:rFonts w:hint="eastAsia" w:ascii="仿宋_GB2312" w:hAnsi="Times New Roman" w:eastAsia="仿宋_GB2312" w:cs="Times New Roman"/>
                <w:color w:val="333333"/>
                <w:kern w:val="0"/>
                <w:sz w:val="24"/>
                <w:szCs w:val="24"/>
              </w:rPr>
            </w:pPr>
            <w:r>
              <w:rPr>
                <w:rFonts w:hint="eastAsia" w:ascii="仿宋_GB2312" w:hAnsi="Times New Roman" w:eastAsia="仿宋_GB2312" w:cs="Times New Roman"/>
                <w:color w:val="333333"/>
                <w:kern w:val="0"/>
                <w:sz w:val="24"/>
                <w:szCs w:val="24"/>
              </w:rPr>
              <w:t>8913800</w:t>
            </w:r>
          </w:p>
        </w:tc>
        <w:tc>
          <w:tcPr>
            <w:tcW w:w="1734" w:type="dxa"/>
            <w:vMerge w:val="continue"/>
            <w:tcBorders>
              <w:left w:val="nil"/>
              <w:bottom w:val="single" w:color="auto" w:sz="4" w:space="0"/>
              <w:right w:val="single" w:color="000000" w:sz="6" w:space="0"/>
            </w:tcBorders>
            <w:shd w:val="clear" w:color="auto" w:fill="FFFFFF"/>
            <w:vAlign w:val="center"/>
          </w:tcPr>
          <w:p w14:paraId="6563BA2D">
            <w:pPr>
              <w:widowControl/>
              <w:spacing w:line="560" w:lineRule="exact"/>
              <w:jc w:val="center"/>
              <w:textAlignment w:val="bottom"/>
              <w:rPr>
                <w:rFonts w:hint="eastAsia" w:ascii="仿宋_GB2312" w:hAnsi="Times New Roman" w:eastAsia="仿宋_GB2312" w:cs="Times New Roman"/>
                <w:color w:val="333333"/>
                <w:kern w:val="0"/>
                <w:sz w:val="24"/>
                <w:szCs w:val="24"/>
                <w:highlight w:val="yellow"/>
              </w:rPr>
            </w:pPr>
          </w:p>
        </w:tc>
      </w:tr>
    </w:tbl>
    <w:p w14:paraId="1533FD50">
      <w:pPr>
        <w:widowControl/>
        <w:shd w:val="clear" w:color="auto" w:fill="FFFFFF"/>
        <w:spacing w:line="560" w:lineRule="exact"/>
        <w:ind w:firstLine="640" w:firstLineChars="200"/>
        <w:jc w:val="left"/>
        <w:outlineLvl w:val="2"/>
        <w:rPr>
          <w:rFonts w:hint="eastAsia" w:ascii="仿宋_GB2312" w:hAnsi="Times New Roman" w:eastAsia="仿宋_GB2312" w:cs="Times New Roman"/>
          <w:color w:val="333333"/>
          <w:kern w:val="0"/>
          <w:sz w:val="32"/>
          <w:szCs w:val="32"/>
        </w:rPr>
      </w:pPr>
      <w:r>
        <w:rPr>
          <w:rFonts w:hint="eastAsia" w:ascii="Times New Roman" w:hAnsi="Times New Roman" w:eastAsia="仿宋_GB2312" w:cs="Times New Roman"/>
          <w:color w:val="333333"/>
          <w:kern w:val="0"/>
          <w:sz w:val="32"/>
          <w:szCs w:val="32"/>
        </w:rPr>
        <w:t> </w:t>
      </w:r>
      <w:r>
        <w:rPr>
          <w:rFonts w:hint="eastAsia" w:ascii="仿宋_GB2312" w:hAnsi="Times New Roman" w:eastAsia="仿宋_GB2312" w:cs="Times New Roman"/>
          <w:color w:val="333333"/>
          <w:kern w:val="0"/>
          <w:sz w:val="32"/>
          <w:szCs w:val="32"/>
        </w:rPr>
        <w:t xml:space="preserve">4.项目组织及管理情况 </w:t>
      </w:r>
    </w:p>
    <w:p w14:paraId="5F9FD48A">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（1）物业管理费情况</w:t>
      </w:r>
    </w:p>
    <w:p w14:paraId="6B8534A8">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我单位负责六个集中办公区、七个住宅区的卫生保洁、绿化管养工作，该项工作为社会购买服务事项，我单位通过公开招标的方式确定了物业服务公司。按照中标通知及相关的服务合同约定，物业服务费在当月考核合格后按月支付。通过对资金支付申请、付款单据等相关原始资料的检查，本项目资金拨付审批手续完整，支出依据合规，未发现虚列套取、截留、挤占、挪用情况和超标准开支的情况。</w:t>
      </w:r>
    </w:p>
    <w:p w14:paraId="0F764F63">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（2）劳务费情况</w:t>
      </w:r>
    </w:p>
    <w:p w14:paraId="2FF6E9DE">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我单位负责六个集中办公区、七个住宅区的安全保卫、消防安全工作，该项工作为社会购买服务事项，我单位通过公开招标的方式确定了安保服务公司。按照中标通知及相关的服务合同约定，安保服务费在当月考核合格后按月支付。通过对资金支付申请、付款单据等相关原始资料的检查，本项目资金拨付审批手续完整，支出依据合规，未发现虚列套取、截留、挤占、挪用情况和超标准开支的情况。</w:t>
      </w:r>
    </w:p>
    <w:p w14:paraId="2DB94BFA">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我单位负责为区委、区政府提供机关食堂、会议服务、水电维修、车辆管理、田溪公园管理等服务工作，上述服务事项由劳务派遣人员提供，我单位通过综合比选的方式确定了劳务派遣公司。按照服务合同约定，劳务派遣人员工资、社保、加班、管理等费用在当月考核合格后按月支付。通过对资金支付申请、付款单据等相关原始资料的检查，本项目资金拨付审批手续完整，支出依据合规，未发现虚列套取、截留、挤占、挪用情况和超标准开支的情况。</w:t>
      </w:r>
    </w:p>
    <w:p w14:paraId="5CE49FFC">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（3）项目管理情况分析</w:t>
      </w:r>
    </w:p>
    <w:p w14:paraId="2BB7D8E1">
      <w:pPr>
        <w:widowControl/>
        <w:shd w:val="clear" w:color="auto" w:fill="FFFFFF"/>
        <w:spacing w:line="560" w:lineRule="exact"/>
        <w:ind w:firstLine="705"/>
        <w:jc w:val="left"/>
        <w:rPr>
          <w:rFonts w:hint="eastAsia" w:ascii="仿宋_GB2312" w:hAnsi="Times New Roman" w:eastAsia="仿宋_GB2312" w:cs="Times New Roman"/>
          <w:color w:val="333333"/>
          <w:kern w:val="0"/>
          <w:sz w:val="32"/>
          <w:szCs w:val="32"/>
        </w:rPr>
      </w:pPr>
      <w:r>
        <w:rPr>
          <w:rFonts w:hint="eastAsia" w:ascii="仿宋_GB2312" w:hAnsi="Times New Roman" w:eastAsia="仿宋_GB2312" w:cs="Times New Roman"/>
          <w:color w:val="333333"/>
          <w:kern w:val="0"/>
          <w:sz w:val="32"/>
          <w:szCs w:val="32"/>
        </w:rPr>
        <w:t>我单位及时支付物业管理费及劳务费，并对支付明细进行核对，确保发放准确，日常办公经费、维修费、材料费等支出情况及时进行审核及报销。财务监控主要由内部审核监控及外部审计监控完成，内部监控通过分管领导及负责人对项目支出签字审批实现，每一笔项目经费的开支在核定的支出限额和范围内实行据实凭票报账制，及时进行账务处理和会计核算，并进行严格监督检查，做到专款专用，不存在违规使用情况，外部监控则由区财政局实施项目决算批复实现。</w:t>
      </w:r>
    </w:p>
    <w:p w14:paraId="57FA833A">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12" w:name="_Toc7744"/>
      <w:r>
        <w:rPr>
          <w:rFonts w:hint="eastAsia" w:ascii="楷体_GB2312" w:eastAsia="楷体_GB2312" w:hAnsiTheme="majorHAnsi" w:cstheme="majorBidi"/>
          <w:kern w:val="2"/>
          <w:sz w:val="32"/>
          <w:szCs w:val="32"/>
        </w:rPr>
        <w:t>（二）项目绩效目标</w:t>
      </w:r>
      <w:bookmarkEnd w:id="12"/>
    </w:p>
    <w:p w14:paraId="2F757A12">
      <w:pPr>
        <w:widowControl/>
        <w:shd w:val="clear" w:color="auto" w:fill="FFFFFF"/>
        <w:spacing w:line="560" w:lineRule="exact"/>
        <w:ind w:firstLine="640" w:firstLineChars="200"/>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1.总目标</w:t>
      </w:r>
    </w:p>
    <w:p w14:paraId="241DE83F">
      <w:pPr>
        <w:widowControl/>
        <w:shd w:val="clear" w:color="auto" w:fill="FFFFFF"/>
        <w:spacing w:line="56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为确保区委、区政府后勤服务正常开展，上级机关交办事项办理到位，为各办公区、住宅区提供安全保卫、保洁绿化等物业服务以及机关食堂、会议服务、水电维修、消防、监控等综合后勤管理服务。</w:t>
      </w:r>
    </w:p>
    <w:p w14:paraId="3C39591B">
      <w:pPr>
        <w:widowControl/>
        <w:shd w:val="clear" w:color="auto" w:fill="FFFFFF"/>
        <w:spacing w:line="560" w:lineRule="exact"/>
        <w:ind w:firstLine="64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2.年度目标</w:t>
      </w:r>
    </w:p>
    <w:p w14:paraId="2AC6A86E">
      <w:pPr>
        <w:widowControl/>
        <w:shd w:val="clear" w:color="auto" w:fill="FFFFFF"/>
        <w:spacing w:line="560" w:lineRule="exact"/>
        <w:ind w:firstLine="555"/>
        <w:jc w:val="left"/>
        <w:outlineLvl w:val="0"/>
        <w:rPr>
          <w:rFonts w:ascii="仿宋_GB2312" w:hAnsi="仿宋" w:eastAsia="仿宋_GB2312" w:cs="宋体"/>
          <w:color w:val="333333"/>
          <w:kern w:val="0"/>
          <w:sz w:val="32"/>
          <w:szCs w:val="32"/>
        </w:rPr>
      </w:pPr>
      <w:bookmarkStart w:id="13" w:name="_Toc5146"/>
      <w:r>
        <w:rPr>
          <w:rFonts w:hint="eastAsia" w:ascii="仿宋_GB2312" w:hAnsi="仿宋" w:eastAsia="仿宋_GB2312" w:cs="宋体"/>
          <w:color w:val="333333"/>
          <w:kern w:val="0"/>
          <w:sz w:val="32"/>
          <w:szCs w:val="32"/>
        </w:rPr>
        <w:t>完成六个集中办公区、七个机关住宅区的安全保卫、消防安全工作，全年开展各单位安全知识培训及消防安全演练不少于2次，重点保障区两会、区委全会、政府全会等重要会议的安保工作，协助维持好信访秩序等；完成六个集中办公区、七个机关住宅区的卫生保洁、绿化管养工作，重点完成重要会议及活动的保洁工作，完成重大节日的绿化氛围营造工作；完成集中办公区工作人员餐饮服务，做好食品留样工作，确保食品安全，全年组织员工健康体检不少于1次；完成区委、区政府会议服务工作，重点保障好区两会、区委全会、政府全会等重要会议的服务保障工作；完成好办公区、住宅区的水电维修、设备检查等工作，重点做好电梯、发电机等设备的安全保障工作；完成好应急、综合执法、机要通信的车辆保障工作，做好日常保养维护工作，确保行车安全；做好田溪公园管理工作，重点做好公园内绿环管养及卫生保洁工作。</w:t>
      </w:r>
      <w:bookmarkEnd w:id="13"/>
    </w:p>
    <w:p w14:paraId="55E3CF75">
      <w:pPr>
        <w:pStyle w:val="2"/>
        <w:keepNext/>
        <w:keepLines/>
        <w:widowControl w:val="0"/>
        <w:spacing w:before="340" w:after="330" w:line="560" w:lineRule="exact"/>
        <w:ind w:firstLine="643" w:firstLineChars="200"/>
        <w:jc w:val="both"/>
        <w:rPr>
          <w:rFonts w:ascii="微软雅黑" w:hAnsi="微软雅黑" w:eastAsia="微软雅黑"/>
          <w:b w:val="0"/>
          <w:bCs w:val="0"/>
          <w:color w:val="333333"/>
        </w:rPr>
      </w:pPr>
      <w:bookmarkStart w:id="14" w:name="_Toc26845"/>
      <w:r>
        <w:rPr>
          <w:rFonts w:hint="eastAsia" w:ascii="黑体" w:hAnsi="黑体" w:eastAsia="黑体" w:cstheme="minorBidi"/>
          <w:kern w:val="44"/>
          <w:sz w:val="32"/>
          <w:szCs w:val="32"/>
        </w:rPr>
        <w:t>二、绩效评价工作情况</w:t>
      </w:r>
      <w:bookmarkEnd w:id="14"/>
    </w:p>
    <w:p w14:paraId="511CBF61">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15" w:name="_Toc9999"/>
      <w:r>
        <w:rPr>
          <w:rFonts w:hint="eastAsia" w:ascii="楷体_GB2312" w:eastAsia="楷体_GB2312" w:hAnsiTheme="majorHAnsi" w:cstheme="majorBidi"/>
          <w:kern w:val="2"/>
          <w:sz w:val="32"/>
          <w:szCs w:val="32"/>
        </w:rPr>
        <w:t>(一)评价的目的和依据</w:t>
      </w:r>
      <w:bookmarkEnd w:id="15"/>
    </w:p>
    <w:p w14:paraId="60F90FE4">
      <w:pPr>
        <w:widowControl/>
        <w:shd w:val="clear" w:color="auto" w:fill="FFFFFF"/>
        <w:spacing w:line="56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1.评价目的</w:t>
      </w:r>
    </w:p>
    <w:p w14:paraId="55853F0F">
      <w:pPr>
        <w:widowControl/>
        <w:shd w:val="clear" w:color="auto" w:fill="FFFFFF"/>
        <w:spacing w:line="56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通过对项目实施以及财政专项资金使用情况的调研和评价，客观反映项目的实施状态、财政资金使用效益，总结项目成功经验，科学研判项目实施以及资金使用过程中存在的难题和局限，为进一步提升预算管理水平、提高公共服务质量、优化公共资源配置提供决策参考。</w:t>
      </w:r>
    </w:p>
    <w:p w14:paraId="36B8391F">
      <w:pPr>
        <w:widowControl/>
        <w:shd w:val="clear" w:color="auto" w:fill="FFFFFF"/>
        <w:spacing w:line="56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2.评价主要依据</w:t>
      </w:r>
    </w:p>
    <w:p w14:paraId="0FF2A491">
      <w:pPr>
        <w:widowControl/>
        <w:shd w:val="clear" w:color="auto" w:fill="FFFFFF"/>
        <w:spacing w:line="56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（1）政府部门文件</w:t>
      </w:r>
    </w:p>
    <w:p w14:paraId="178B2324">
      <w:pPr>
        <w:widowControl/>
        <w:shd w:val="clear" w:color="auto" w:fill="FFFFFF"/>
        <w:spacing w:line="560" w:lineRule="exact"/>
        <w:ind w:firstLine="555"/>
        <w:jc w:val="left"/>
        <w:outlineLvl w:val="2"/>
        <w:rPr>
          <w:rFonts w:ascii="仿宋_GB2312" w:hAnsi="仿宋" w:eastAsia="仿宋_GB2312" w:cs="宋体"/>
          <w:color w:val="333333"/>
          <w:kern w:val="0"/>
          <w:sz w:val="32"/>
          <w:szCs w:val="32"/>
        </w:rPr>
      </w:pPr>
      <w:r>
        <w:rPr>
          <w:rFonts w:hint="eastAsia" w:ascii="仿宋_GB2312" w:hAnsi="仿宋_GB2312" w:eastAsia="仿宋_GB2312" w:cs="仿宋_GB2312"/>
          <w:sz w:val="32"/>
          <w:szCs w:val="32"/>
        </w:rPr>
        <w:t>《盘龙区区级部门预算绩效自评管理暂行办法》和《昆明市盘龙区财政局关于开展2020年度区级预算支出绩效自评工作的通知》（盘财绩</w:t>
      </w:r>
      <w:r>
        <w:rPr>
          <w:rFonts w:hint="eastAsia" w:ascii="仿宋_GB2312" w:eastAsia="仿宋_GB2312"/>
          <w:sz w:val="32"/>
          <w:szCs w:val="32"/>
        </w:rPr>
        <w:t>〔</w:t>
      </w:r>
      <w:r>
        <w:rPr>
          <w:rFonts w:hint="eastAsia" w:ascii="Times New Roman" w:hAnsi="Times New Roman" w:eastAsia="仿宋_GB2312"/>
          <w:sz w:val="32"/>
          <w:szCs w:val="32"/>
        </w:rPr>
        <w:t>20</w:t>
      </w:r>
      <w:r>
        <w:rPr>
          <w:rFonts w:hint="eastAsia" w:eastAsia="仿宋_GB2312"/>
          <w:sz w:val="32"/>
          <w:szCs w:val="32"/>
        </w:rPr>
        <w:t>21</w:t>
      </w:r>
      <w:r>
        <w:rPr>
          <w:rFonts w:hint="eastAsia" w:ascii="仿宋_GB2312" w:eastAsia="仿宋_GB2312"/>
          <w:sz w:val="32"/>
          <w:szCs w:val="32"/>
        </w:rPr>
        <w:t>〕</w:t>
      </w:r>
      <w:r>
        <w:rPr>
          <w:rFonts w:ascii="Times New Roman" w:hAnsi="Times New Roman" w:eastAsia="仿宋_GB2312" w:cs="Times New Roman"/>
          <w:sz w:val="32"/>
          <w:szCs w:val="32"/>
        </w:rPr>
        <w:t>2号</w:t>
      </w:r>
      <w:r>
        <w:rPr>
          <w:rFonts w:hint="eastAsia" w:ascii="仿宋_GB2312" w:hAnsi="仿宋_GB2312" w:eastAsia="仿宋_GB2312" w:cs="仿宋_GB2312"/>
          <w:sz w:val="32"/>
          <w:szCs w:val="32"/>
        </w:rPr>
        <w:t>）</w:t>
      </w:r>
      <w:r>
        <w:rPr>
          <w:rFonts w:hint="eastAsia" w:ascii="仿宋_GB2312" w:hAnsi="仿宋" w:eastAsia="仿宋_GB2312" w:cs="宋体"/>
          <w:color w:val="333333"/>
          <w:kern w:val="0"/>
          <w:sz w:val="32"/>
          <w:szCs w:val="32"/>
        </w:rPr>
        <w:t>等文件。</w:t>
      </w:r>
    </w:p>
    <w:p w14:paraId="5F209745">
      <w:pPr>
        <w:widowControl/>
        <w:shd w:val="clear" w:color="auto" w:fill="FFFFFF"/>
        <w:spacing w:line="56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（2）项目资料</w:t>
      </w:r>
    </w:p>
    <w:p w14:paraId="2C2A2F9A">
      <w:pPr>
        <w:widowControl/>
        <w:shd w:val="clear" w:color="auto" w:fill="FFFFFF"/>
        <w:spacing w:line="56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项目预算批复等相关文件，项目相关支出合同等。</w:t>
      </w:r>
    </w:p>
    <w:p w14:paraId="43BE4705">
      <w:pPr>
        <w:widowControl/>
        <w:shd w:val="clear" w:color="auto" w:fill="FFFFFF"/>
        <w:spacing w:line="56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（3）财务资料及相关制度和标准</w:t>
      </w:r>
    </w:p>
    <w:p w14:paraId="204D97F2">
      <w:pPr>
        <w:widowControl/>
        <w:shd w:val="clear" w:color="auto" w:fill="FFFFFF"/>
        <w:spacing w:line="56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财务资料：会计账簿、会计凭证、会计报表、决算报表等财务资料。</w:t>
      </w:r>
    </w:p>
    <w:p w14:paraId="131320C5">
      <w:pPr>
        <w:widowControl/>
        <w:shd w:val="clear" w:color="auto" w:fill="FFFFFF"/>
        <w:spacing w:line="56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《中华人民共和国会计法》《事业单位会计制度》等。</w:t>
      </w:r>
    </w:p>
    <w:p w14:paraId="47064C01">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16" w:name="_Toc22709"/>
      <w:r>
        <w:rPr>
          <w:rFonts w:hint="eastAsia" w:ascii="楷体_GB2312" w:eastAsia="楷体_GB2312" w:hAnsiTheme="majorHAnsi" w:cstheme="majorBidi"/>
          <w:kern w:val="2"/>
          <w:sz w:val="32"/>
          <w:szCs w:val="32"/>
        </w:rPr>
        <w:t>（二）绩效评价工作方案制定过程</w:t>
      </w:r>
      <w:bookmarkEnd w:id="16"/>
    </w:p>
    <w:p w14:paraId="2AAEB359">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1.前期调研</w:t>
      </w:r>
    </w:p>
    <w:p w14:paraId="2589F736">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本次绩效评价开始前，评价组对项目开展情况、资金使用管理情况、财务账务处理等进行了前期调研，掌握了项目运行的第一手资料，为该项目绩效评价工作的开展打下了坚实的基础。</w:t>
      </w:r>
    </w:p>
    <w:p w14:paraId="79806A97">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2.研究文件</w:t>
      </w:r>
    </w:p>
    <w:p w14:paraId="30975CBA">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评价组对</w:t>
      </w:r>
      <w:r>
        <w:rPr>
          <w:rFonts w:ascii="Times New Roman" w:hAnsi="仿宋_GB2312" w:eastAsia="仿宋_GB2312" w:cs="Times New Roman"/>
          <w:sz w:val="32"/>
          <w:szCs w:val="32"/>
        </w:rPr>
        <w:t>《盘龙区区级部门预算绩效自评管理暂行办法》和《昆明市盘龙区财政局关于开展</w:t>
      </w:r>
      <w:r>
        <w:rPr>
          <w:rFonts w:ascii="Times New Roman" w:hAnsi="Times New Roman" w:eastAsia="仿宋_GB2312" w:cs="Times New Roman"/>
          <w:sz w:val="32"/>
          <w:szCs w:val="32"/>
        </w:rPr>
        <w:t>2020</w:t>
      </w:r>
      <w:r>
        <w:rPr>
          <w:rFonts w:ascii="Times New Roman" w:hAnsi="仿宋_GB2312" w:eastAsia="仿宋_GB2312" w:cs="Times New Roman"/>
          <w:sz w:val="32"/>
          <w:szCs w:val="32"/>
        </w:rPr>
        <w:t>年度区级预算支出绩效自评工作的通知》（盘财绩</w:t>
      </w:r>
      <w:r>
        <w:rPr>
          <w:rFonts w:ascii="Times New Roman" w:hAnsi="Times New Roman" w:eastAsia="仿宋_GB2312" w:cs="Times New Roman"/>
          <w:sz w:val="32"/>
          <w:szCs w:val="32"/>
        </w:rPr>
        <w:t>〔2021〕2号</w:t>
      </w:r>
      <w:r>
        <w:rPr>
          <w:rFonts w:ascii="Times New Roman" w:hAnsi="仿宋_GB2312" w:eastAsia="仿宋_GB2312" w:cs="Times New Roman"/>
          <w:sz w:val="32"/>
          <w:szCs w:val="32"/>
        </w:rPr>
        <w:t>）</w:t>
      </w:r>
      <w:r>
        <w:rPr>
          <w:rFonts w:ascii="Times New Roman" w:hAnsi="Times New Roman" w:eastAsia="仿宋_GB2312" w:cs="Times New Roman"/>
          <w:color w:val="333333"/>
          <w:kern w:val="0"/>
          <w:sz w:val="32"/>
          <w:szCs w:val="32"/>
        </w:rPr>
        <w:t>进行了认真研究，吃透文件精神，以确保绩效评价工作符合区财政局的相关要求。</w:t>
      </w:r>
    </w:p>
    <w:p w14:paraId="3299DBBA">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3.绩效评价指标体系及工作方案的设计</w:t>
      </w:r>
    </w:p>
    <w:p w14:paraId="367BDC0B">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参照《盘龙区区级部门预算绩效自评管理暂行办法》的项目支出共性指标，结合项目资金使用部门的职能职责和项目资金的具体用途，设计该项目支出的绩效评价指标体系和评价工作方案，以确保方案可行，绩效评价指标符合项目实际，具有准确性和可操作性。</w:t>
      </w:r>
    </w:p>
    <w:p w14:paraId="7E723CF1">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17" w:name="_Toc23046"/>
      <w:r>
        <w:rPr>
          <w:rFonts w:hint="eastAsia" w:ascii="楷体_GB2312" w:eastAsia="楷体_GB2312" w:hAnsiTheme="majorHAnsi" w:cstheme="majorBidi"/>
          <w:kern w:val="2"/>
          <w:sz w:val="32"/>
          <w:szCs w:val="32"/>
        </w:rPr>
        <w:t>（三）绩效评价原则及评价方法</w:t>
      </w:r>
      <w:bookmarkEnd w:id="17"/>
    </w:p>
    <w:p w14:paraId="1BF7B1D5">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1.绩效评价原则</w:t>
      </w:r>
    </w:p>
    <w:p w14:paraId="3EC25DE9">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评价工作组秉承科学规范、客观公正、定性定量的原则，采取计划标准、历史标准相结合的方式开展绩效评价。</w:t>
      </w:r>
    </w:p>
    <w:p w14:paraId="32579DB6">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2.绩效评价方法</w:t>
      </w:r>
    </w:p>
    <w:p w14:paraId="7CAFD560">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此次评价采用现场抽查、随机调查、文献查阅等方式进行，采取了以下几种评价方法。</w:t>
      </w:r>
    </w:p>
    <w:p w14:paraId="3DDC16C3">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比较分析法：把两个相互联系的指标数据加以比较分析，借以做出程度性判断，分绝对数比较和相对数比较，如将实际成本与预算成本相比较。 </w:t>
      </w:r>
    </w:p>
    <w:p w14:paraId="3D3272E5">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访谈法：随机访谈了相关工作人员，根据被询问者的答复搜集客观的、不带偏见的事实材料和评语。 </w:t>
      </w:r>
    </w:p>
    <w:p w14:paraId="6F5B5D09">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抽查法：抽查全部资金到位情况等。</w:t>
      </w:r>
    </w:p>
    <w:p w14:paraId="7DDD0BFD">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问卷调查法：围绕财务制度执行情况，相关管理办法是否执行等情况向相关人员开展广泛调查，获取第一手资料。</w:t>
      </w:r>
    </w:p>
    <w:p w14:paraId="722980CC">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18" w:name="_Toc17021"/>
      <w:r>
        <w:rPr>
          <w:rFonts w:hint="eastAsia" w:ascii="楷体_GB2312" w:eastAsia="楷体_GB2312" w:hAnsiTheme="majorHAnsi" w:cstheme="majorBidi"/>
          <w:kern w:val="2"/>
          <w:sz w:val="32"/>
          <w:szCs w:val="32"/>
        </w:rPr>
        <w:t>(四) 绩效评价实施过程</w:t>
      </w:r>
      <w:bookmarkEnd w:id="18"/>
    </w:p>
    <w:p w14:paraId="3DC6C0C3">
      <w:pPr>
        <w:widowControl/>
        <w:shd w:val="clear" w:color="auto" w:fill="FFFFFF"/>
        <w:spacing w:line="560" w:lineRule="exact"/>
        <w:ind w:firstLine="713" w:firstLineChars="223"/>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1.数据填报和采集</w:t>
      </w:r>
    </w:p>
    <w:p w14:paraId="1560D332">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评价组严格按照昆明市盘龙区财政局关于印发《盘龙区区级部门预算绩效自评管理暂行办法》的要求，结合本单位项目支出财务资料和2020年决算资料进行相关数据采集和填报。</w:t>
      </w:r>
    </w:p>
    <w:p w14:paraId="1A19F444">
      <w:pPr>
        <w:widowControl/>
        <w:shd w:val="clear" w:color="auto" w:fill="FFFFFF"/>
        <w:spacing w:line="560" w:lineRule="exact"/>
        <w:ind w:firstLine="713" w:firstLineChars="223"/>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2.社会调查</w:t>
      </w:r>
    </w:p>
    <w:p w14:paraId="6E3B67BD">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根据本项目的具体情况，本单位项目组成员针对本项目设计调查问卷，对本项目受益对象随机发放并收回了50份有效调查问卷，平均得分9分。</w:t>
      </w:r>
      <w:r>
        <w:rPr>
          <w:rFonts w:ascii="Times New Roman" w:hAnsi="Times New Roman" w:eastAsia="仿宋_GB2312" w:cs="Times New Roman"/>
          <w:color w:val="333333"/>
          <w:kern w:val="0"/>
          <w:sz w:val="32"/>
          <w:szCs w:val="32"/>
        </w:rPr>
        <w:br w:type="textWrapping"/>
      </w:r>
      <w:r>
        <w:rPr>
          <w:rFonts w:ascii="Times New Roman" w:hAnsi="Times New Roman" w:eastAsia="仿宋_GB2312" w:cs="Times New Roman"/>
          <w:color w:val="333333"/>
          <w:kern w:val="0"/>
          <w:sz w:val="32"/>
          <w:szCs w:val="32"/>
        </w:rPr>
        <w:t>     3.数据分析和撰写报告</w:t>
      </w:r>
    </w:p>
    <w:p w14:paraId="7AF8E6D3">
      <w:pPr>
        <w:widowControl/>
        <w:shd w:val="clear" w:color="auto" w:fill="FFFFFF"/>
        <w:spacing w:line="560" w:lineRule="exact"/>
        <w:ind w:firstLine="640" w:firstLineChars="200"/>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评价组在前期数据采集和填报的基础上，对项目的成本控制、各项绩效指标进行了详细分析，严格按照《盘龙区区级部门预算绩效自评管理暂行办法》的要求撰写项目支出绩效评价报告。</w:t>
      </w:r>
    </w:p>
    <w:p w14:paraId="7CDBDD7E">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19" w:name="_Toc30282"/>
      <w:r>
        <w:rPr>
          <w:rFonts w:hint="eastAsia" w:ascii="楷体_GB2312" w:eastAsia="楷体_GB2312" w:hAnsiTheme="majorHAnsi" w:cstheme="majorBidi"/>
          <w:kern w:val="2"/>
          <w:sz w:val="32"/>
          <w:szCs w:val="32"/>
        </w:rPr>
        <w:t>（五）绩效评价的局限性</w:t>
      </w:r>
      <w:bookmarkEnd w:id="19"/>
    </w:p>
    <w:p w14:paraId="14FF0291">
      <w:pPr>
        <w:widowControl/>
        <w:shd w:val="clear" w:color="auto" w:fill="FFFFFF"/>
        <w:spacing w:line="560" w:lineRule="exact"/>
        <w:ind w:firstLine="555"/>
        <w:jc w:val="left"/>
        <w:outlineLvl w:val="2"/>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由于该项目为经费类项目，故以本单位实际开展日常工作情况为绩效效果进行考评，且资金管理由本单位进行统一管理。</w:t>
      </w:r>
    </w:p>
    <w:p w14:paraId="4B3833BD">
      <w:pPr>
        <w:pStyle w:val="2"/>
        <w:keepNext/>
        <w:keepLines/>
        <w:widowControl w:val="0"/>
        <w:spacing w:before="340" w:after="330" w:line="560" w:lineRule="exact"/>
        <w:ind w:firstLine="643" w:firstLineChars="200"/>
        <w:jc w:val="both"/>
        <w:rPr>
          <w:rFonts w:ascii="黑体" w:hAnsi="黑体" w:eastAsia="黑体" w:cstheme="minorBidi"/>
          <w:kern w:val="44"/>
          <w:sz w:val="32"/>
          <w:szCs w:val="32"/>
        </w:rPr>
      </w:pPr>
      <w:bookmarkStart w:id="20" w:name="_Toc15354"/>
      <w:r>
        <w:rPr>
          <w:rFonts w:hint="eastAsia" w:ascii="黑体" w:hAnsi="黑体" w:eastAsia="黑体" w:cstheme="minorBidi"/>
          <w:kern w:val="44"/>
          <w:sz w:val="32"/>
          <w:szCs w:val="32"/>
        </w:rPr>
        <w:t>三、评价结论和绩效分析</w:t>
      </w:r>
      <w:bookmarkEnd w:id="20"/>
    </w:p>
    <w:p w14:paraId="2FE8CE27">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21" w:name="_Toc3472"/>
      <w:r>
        <w:rPr>
          <w:rFonts w:hint="eastAsia" w:ascii="楷体_GB2312" w:eastAsia="楷体_GB2312" w:hAnsiTheme="majorHAnsi" w:cstheme="majorBidi"/>
          <w:kern w:val="2"/>
          <w:sz w:val="32"/>
          <w:szCs w:val="32"/>
        </w:rPr>
        <w:t>(一)评价结论</w:t>
      </w:r>
      <w:bookmarkEnd w:id="21"/>
    </w:p>
    <w:p w14:paraId="47DB09EC">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 xml:space="preserve">1.评价结果 </w:t>
      </w:r>
    </w:p>
    <w:p w14:paraId="63473E93">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对投入类指标、过程类指标和产出效益类指标的分析，本项目立项规范，绩效目标质量较好，项目管理制度执行情况良好。项目严格执行财务管理相关制度的规定，财务制度健全，管理规范，做到了专款专用，无贪污、截留、挪用现象。</w:t>
      </w:r>
    </w:p>
    <w:p w14:paraId="448A79E3">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综上，根据《盘龙区区级部门预算绩效自评管理暂行办法》，项目绩效评价得分为97分，自评结果为优。</w:t>
      </w:r>
    </w:p>
    <w:p w14:paraId="435C8E6B">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2.主要绩效</w:t>
      </w:r>
    </w:p>
    <w:p w14:paraId="37D16510">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本项目不属于投资建设类项目，主要内容为我单位管理的集中办公区、住宅区的安保、保洁、绿化人员费用及机关食堂、会议服务、水电维修等劳务派遣人员的工资、社保、加班、管理费用等支出。机关事务管理服务中心2020年度完成工作效益较好，保证了区委、区政府各项工作的顺利开展。</w:t>
      </w:r>
    </w:p>
    <w:p w14:paraId="18BEB03B">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22" w:name="_Toc7949"/>
      <w:r>
        <w:rPr>
          <w:rFonts w:hint="eastAsia" w:ascii="楷体_GB2312" w:eastAsia="楷体_GB2312" w:hAnsiTheme="majorHAnsi" w:cstheme="majorBidi"/>
          <w:kern w:val="2"/>
          <w:sz w:val="32"/>
          <w:szCs w:val="32"/>
        </w:rPr>
        <w:t>（二）具体绩效分析</w:t>
      </w:r>
      <w:bookmarkEnd w:id="22"/>
    </w:p>
    <w:p w14:paraId="50B922AD">
      <w:pPr>
        <w:widowControl/>
        <w:shd w:val="clear" w:color="auto" w:fill="FFFFFF"/>
        <w:spacing w:line="560" w:lineRule="exact"/>
        <w:ind w:firstLine="555"/>
        <w:jc w:val="left"/>
        <w:outlineLvl w:val="2"/>
        <w:rPr>
          <w:rFonts w:hint="eastAsia"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具体详见附件1（业务经费项目支出绩效评价共性指标体系）</w:t>
      </w:r>
      <w:bookmarkStart w:id="23" w:name="_Toc522800820"/>
      <w:bookmarkEnd w:id="23"/>
      <w:r>
        <w:rPr>
          <w:rFonts w:hint="eastAsia" w:ascii="仿宋_GB2312" w:hAnsi="仿宋" w:eastAsia="仿宋_GB2312" w:cs="宋体"/>
          <w:color w:val="333333"/>
          <w:kern w:val="0"/>
          <w:sz w:val="32"/>
          <w:szCs w:val="32"/>
        </w:rPr>
        <w:t>。</w:t>
      </w:r>
    </w:p>
    <w:p w14:paraId="33999ED2">
      <w:pPr>
        <w:pStyle w:val="2"/>
        <w:keepNext/>
        <w:keepLines/>
        <w:widowControl w:val="0"/>
        <w:spacing w:before="340" w:after="330" w:line="560" w:lineRule="exact"/>
        <w:ind w:firstLine="643" w:firstLineChars="200"/>
        <w:jc w:val="both"/>
        <w:rPr>
          <w:rFonts w:ascii="黑体" w:hAnsi="黑体" w:eastAsia="黑体" w:cstheme="minorBidi"/>
          <w:kern w:val="44"/>
          <w:sz w:val="32"/>
          <w:szCs w:val="32"/>
        </w:rPr>
      </w:pPr>
      <w:bookmarkStart w:id="24" w:name="_Toc19786"/>
      <w:r>
        <w:rPr>
          <w:rFonts w:hint="eastAsia" w:ascii="黑体" w:hAnsi="黑体" w:eastAsia="黑体" w:cstheme="minorBidi"/>
          <w:kern w:val="44"/>
          <w:sz w:val="32"/>
          <w:szCs w:val="32"/>
        </w:rPr>
        <w:t>四、成本效益分析</w:t>
      </w:r>
      <w:bookmarkEnd w:id="24"/>
    </w:p>
    <w:p w14:paraId="0F464782">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25" w:name="_Toc31269"/>
      <w:r>
        <w:rPr>
          <w:rFonts w:hint="eastAsia" w:ascii="楷体_GB2312" w:eastAsia="楷体_GB2312" w:hAnsiTheme="majorHAnsi" w:cstheme="majorBidi"/>
          <w:kern w:val="2"/>
          <w:sz w:val="32"/>
          <w:szCs w:val="32"/>
        </w:rPr>
        <w:t>（一）项目经济性分析</w:t>
      </w:r>
      <w:bookmarkEnd w:id="25"/>
    </w:p>
    <w:p w14:paraId="21AF2DF7">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1.项目成本控制情况</w:t>
      </w:r>
    </w:p>
    <w:p w14:paraId="5A7F3A63">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根据昆明市盘龙区财政局昆明市盘龙区财政局《关于下达盘龙区2020年部门预算的批复》（盘财〔202</w:t>
      </w:r>
      <w:r>
        <w:rPr>
          <w:rFonts w:hint="eastAsia" w:ascii="Times New Roman" w:hAnsi="Times New Roman" w:eastAsia="仿宋_GB2312" w:cs="Times New Roman"/>
          <w:color w:val="333333"/>
          <w:kern w:val="0"/>
          <w:sz w:val="32"/>
          <w:szCs w:val="32"/>
          <w:lang w:val="en-US" w:eastAsia="zh-CN"/>
        </w:rPr>
        <w:t>0</w:t>
      </w:r>
      <w:r>
        <w:rPr>
          <w:rFonts w:ascii="Times New Roman" w:hAnsi="Times New Roman" w:eastAsia="仿宋_GB2312" w:cs="Times New Roman"/>
          <w:color w:val="333333"/>
          <w:kern w:val="0"/>
          <w:sz w:val="32"/>
          <w:szCs w:val="32"/>
        </w:rPr>
        <w:t>〕1号）下达机关事务管理服务中心2020年“机关后勤服务综合管理费”8913800元，本次绩效评价实际到位资金8913800元，用于安保、保洁、绿化人员费用及机关食堂、会议服务、水电维修等劳务派遣人员的工资、社保、加班、管理费用等支出。机关事务管理服务中心相关财务资料显示资金支出8913800元，项目资金使用控制在预算范围内。</w:t>
      </w:r>
    </w:p>
    <w:p w14:paraId="39788487">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2.项目的效率性分析</w:t>
      </w:r>
    </w:p>
    <w:p w14:paraId="0055A2E2">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根据相关的项目资料显示，截止2020年12月31日，本单位各项工作均有序进行。</w:t>
      </w:r>
    </w:p>
    <w:p w14:paraId="1830D744">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26" w:name="_Toc28106"/>
      <w:r>
        <w:rPr>
          <w:rFonts w:hint="eastAsia" w:ascii="楷体_GB2312" w:eastAsia="楷体_GB2312" w:hAnsiTheme="majorHAnsi" w:cstheme="majorBidi"/>
          <w:kern w:val="2"/>
          <w:sz w:val="32"/>
          <w:szCs w:val="32"/>
        </w:rPr>
        <w:t>（二）项目的效益性分析</w:t>
      </w:r>
      <w:bookmarkEnd w:id="26"/>
    </w:p>
    <w:p w14:paraId="1B792343">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1.经济效益</w:t>
      </w:r>
    </w:p>
    <w:p w14:paraId="29F0726B">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机关各办公区、住宅区保安、绿化、维护管理是一项后勤保障工作，其直接和间接的经济效益难以计算。在本项目的实施过程中，其直接和间接的经济效益主要体现在以下几个方面：</w:t>
      </w:r>
    </w:p>
    <w:p w14:paraId="6D48495C">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1</w:t>
      </w:r>
      <w:r>
        <w:rPr>
          <w:rFonts w:ascii="Times New Roman" w:hAnsi="仿宋_GB2312" w:eastAsia="仿宋_GB2312" w:cs="Times New Roman"/>
          <w:sz w:val="32"/>
          <w:szCs w:val="32"/>
        </w:rPr>
        <w:t>）盘龙区机关事务管理服务中心分别六个办公区的保安、保洁、绿化采取购买服务的方式，聘请专业的保安公司及物业公司。通过保安、物业外包，集规模优势将保安和物业公司资源充分社会化配置并优化重组。通过公司完善的用人管理模式和业务管理模式，最大限度地降低机关事务局人力资源利用成本和风险。如：工资薪酬的发放、社会保险的代收代缴、合同的签订、续订和解除，相关问题和争议的处理、日常一系列的人事管理等全部由聘请的专业公司负责。这样机关事务局不但提高了管理水平和服务水平，还有效地降低人员运行成本。</w:t>
      </w:r>
    </w:p>
    <w:p w14:paraId="3768C3CF">
      <w:pPr>
        <w:spacing w:line="560" w:lineRule="exact"/>
        <w:ind w:firstLine="640" w:firstLineChars="200"/>
        <w:rPr>
          <w:rFonts w:ascii="Times New Roman" w:hAnsi="Times New Roman" w:eastAsia="仿宋_GB2312" w:cs="Times New Roman"/>
          <w:color w:val="333333"/>
          <w:kern w:val="0"/>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2</w:t>
      </w:r>
      <w:r>
        <w:rPr>
          <w:rFonts w:ascii="Times New Roman" w:hAnsi="仿宋_GB2312" w:eastAsia="仿宋_GB2312" w:cs="Times New Roman"/>
          <w:sz w:val="32"/>
          <w:szCs w:val="32"/>
        </w:rPr>
        <w:t>）盘龙区政府机关办公楼的日常维护在施工过程中均加强了对工程投资成本的控制，聘请工程造价公司对工程结算进行了审核，节约了部分工程成本。</w:t>
      </w:r>
    </w:p>
    <w:p w14:paraId="46A5BAC3">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2.社会效益</w:t>
      </w:r>
    </w:p>
    <w:p w14:paraId="6DD9455C">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机关各办公区、住宅区保安、绿化、维护管理工作是区委、区政府各项工作正常运行的重要保障，社会效益主要体现在以下几方面：</w:t>
      </w:r>
    </w:p>
    <w:p w14:paraId="10689425">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1</w:t>
      </w:r>
      <w:r>
        <w:rPr>
          <w:rFonts w:ascii="Times New Roman" w:hAnsi="仿宋_GB2312" w:eastAsia="仿宋_GB2312" w:cs="Times New Roman"/>
          <w:sz w:val="32"/>
          <w:szCs w:val="32"/>
        </w:rPr>
        <w:t>）有效的保安工作是单位各项工作得以正常运行的必要条件。保安是保护国家和人民的财产及人身安全，维护单位的正常治安秩序。保安工作做好了，就能有效的预防事故和案件的发生，减少和消除事故、案件对单位各项工作的干扰和破坏，维护工作、会议等活动的有序开展，为机关单位创造一个安全、有序的办公环境。</w:t>
      </w:r>
    </w:p>
    <w:p w14:paraId="0F143377">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2</w:t>
      </w:r>
      <w:r>
        <w:rPr>
          <w:rFonts w:ascii="Times New Roman" w:hAnsi="仿宋_GB2312" w:eastAsia="仿宋_GB2312" w:cs="Times New Roman"/>
          <w:sz w:val="32"/>
          <w:szCs w:val="32"/>
        </w:rPr>
        <w:t>）提升了工作环境品位，为办公人员提供清洁、优美、舒适、安全的生活和工作环境。实施专业化物业保洁、绿化，可以营造和维持整洁优美、方便舒适、安全健康的办公环境及居住环境。而且，从社会学来说，物业良好的自然环境和人文环境，可以减少业主、使用人的烦躁、焦虑等不良情绪，乃至降低某些危害社会的不良行为的发生几率，还能陶冶人们高尚的情操，从而净化人们的心灵，促进精神文明建设。</w:t>
      </w:r>
    </w:p>
    <w:p w14:paraId="7C52A7AB">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3</w:t>
      </w:r>
      <w:r>
        <w:rPr>
          <w:rFonts w:ascii="Times New Roman" w:hAnsi="仿宋_GB2312" w:eastAsia="仿宋_GB2312" w:cs="Times New Roman"/>
          <w:sz w:val="32"/>
          <w:szCs w:val="32"/>
        </w:rPr>
        <w:t>）加强对办公楼管理维护有利于维护政府办公楼的整体形象，还可以延长房屋的物理寿命，排除安全隐患。良好的办公楼管理维护能够延长房屋的物理寿命，降低办公楼的物理损耗速度，避免了办公楼使用价值的超前损耗，起到了保值、增值的作用。另外，优秀的办公楼管理维护还使得物业的设备及功能等始终保持着与社会发展的同步性，延长了房屋的经济寿命。</w:t>
      </w:r>
    </w:p>
    <w:p w14:paraId="0B4B668C">
      <w:pPr>
        <w:spacing w:line="560" w:lineRule="exact"/>
        <w:ind w:firstLine="640" w:firstLineChars="200"/>
        <w:rPr>
          <w:rFonts w:ascii="Times New Roman" w:hAnsi="Times New Roman" w:eastAsia="仿宋_GB2312" w:cs="Times New Roman"/>
          <w:sz w:val="32"/>
          <w:szCs w:val="32"/>
        </w:rPr>
      </w:pPr>
      <w:r>
        <w:rPr>
          <w:rFonts w:ascii="Times New Roman" w:hAnsi="仿宋_GB2312" w:eastAsia="仿宋_GB2312" w:cs="Times New Roman"/>
          <w:sz w:val="32"/>
          <w:szCs w:val="32"/>
        </w:rPr>
        <w:t>（</w:t>
      </w:r>
      <w:r>
        <w:rPr>
          <w:rFonts w:ascii="Times New Roman" w:hAnsi="Times New Roman" w:eastAsia="仿宋_GB2312" w:cs="Times New Roman"/>
          <w:sz w:val="32"/>
          <w:szCs w:val="32"/>
        </w:rPr>
        <w:t>4</w:t>
      </w:r>
      <w:r>
        <w:rPr>
          <w:rFonts w:ascii="Times New Roman" w:hAnsi="仿宋_GB2312" w:eastAsia="仿宋_GB2312" w:cs="Times New Roman"/>
          <w:sz w:val="32"/>
          <w:szCs w:val="32"/>
        </w:rPr>
        <w:t>）机关后勤保障工作有利于增加就业。后勤保障工作就业容量大</w:t>
      </w:r>
      <w:r>
        <w:rPr>
          <w:rFonts w:ascii="Times New Roman" w:hAnsi="Times New Roman" w:eastAsia="仿宋_GB2312" w:cs="Times New Roman"/>
          <w:sz w:val="32"/>
          <w:szCs w:val="32"/>
        </w:rPr>
        <w:t>,</w:t>
      </w:r>
      <w:r>
        <w:rPr>
          <w:rFonts w:ascii="Times New Roman" w:hAnsi="仿宋_GB2312" w:eastAsia="仿宋_GB2312" w:cs="Times New Roman"/>
          <w:sz w:val="32"/>
          <w:szCs w:val="32"/>
        </w:rPr>
        <w:t>对扩大就业具有重要作用。目前</w:t>
      </w:r>
      <w:r>
        <w:rPr>
          <w:rFonts w:ascii="Times New Roman" w:hAnsi="Times New Roman" w:eastAsia="仿宋_GB2312" w:cs="Times New Roman"/>
          <w:sz w:val="32"/>
          <w:szCs w:val="32"/>
        </w:rPr>
        <w:t xml:space="preserve">, </w:t>
      </w:r>
      <w:r>
        <w:rPr>
          <w:rFonts w:ascii="Times New Roman" w:hAnsi="仿宋_GB2312" w:eastAsia="仿宋_GB2312" w:cs="Times New Roman"/>
          <w:sz w:val="32"/>
          <w:szCs w:val="32"/>
        </w:rPr>
        <w:t>后勤保障工作吸纳的劳动力中大部分来自企事业单位下岗分流人员、农村剩余劳动力及部队复转军人等</w:t>
      </w:r>
      <w:r>
        <w:rPr>
          <w:rFonts w:ascii="Times New Roman" w:hAnsi="Times New Roman" w:eastAsia="仿宋_GB2312" w:cs="Times New Roman"/>
          <w:sz w:val="32"/>
          <w:szCs w:val="32"/>
        </w:rPr>
        <w:t>,</w:t>
      </w:r>
      <w:r>
        <w:rPr>
          <w:rFonts w:ascii="Times New Roman" w:hAnsi="仿宋_GB2312" w:eastAsia="仿宋_GB2312" w:cs="Times New Roman"/>
          <w:sz w:val="32"/>
          <w:szCs w:val="32"/>
        </w:rPr>
        <w:t>对于缓解农村剩余劳动力向非农产业的转移和产业结构调整中的就业矛盾作出了重要贡献，对增加就业将起到积极的推动作用。</w:t>
      </w:r>
    </w:p>
    <w:p w14:paraId="12D55FBC">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3.可持续影响</w:t>
      </w:r>
    </w:p>
    <w:p w14:paraId="08C7A24B">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本项目的实施，促进了区委、区政府各项事业健康有序发展，保障了区委、区政府工作的延续性。发挥了党政机关在平安建设、环境美化、食品安全、文明交通、促进就业等方面的示范带头作用，为社会各界作出了表率。通过积极探索，不断优化政府购买服务的流程、模式等，为建设节约型政府及节约型社会奠定了基础。</w:t>
      </w:r>
    </w:p>
    <w:p w14:paraId="3C00B765">
      <w:pPr>
        <w:pStyle w:val="2"/>
        <w:keepNext/>
        <w:keepLines/>
        <w:widowControl w:val="0"/>
        <w:spacing w:before="340" w:after="330" w:line="560" w:lineRule="exact"/>
        <w:ind w:firstLine="643" w:firstLineChars="200"/>
        <w:jc w:val="both"/>
        <w:rPr>
          <w:rFonts w:ascii="黑体" w:hAnsi="黑体" w:eastAsia="黑体" w:cstheme="minorBidi"/>
          <w:kern w:val="44"/>
          <w:sz w:val="32"/>
          <w:szCs w:val="32"/>
        </w:rPr>
      </w:pPr>
      <w:bookmarkStart w:id="27" w:name="_Toc364"/>
      <w:r>
        <w:rPr>
          <w:rFonts w:hint="eastAsia" w:ascii="黑体" w:hAnsi="黑体" w:eastAsia="黑体" w:cstheme="minorBidi"/>
          <w:kern w:val="44"/>
          <w:sz w:val="32"/>
          <w:szCs w:val="32"/>
        </w:rPr>
        <w:t>五、项目主要经验及做法、存在的问题和建议</w:t>
      </w:r>
      <w:bookmarkEnd w:id="27"/>
    </w:p>
    <w:p w14:paraId="305FF98A">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28" w:name="_Toc9030"/>
      <w:r>
        <w:rPr>
          <w:rFonts w:hint="eastAsia" w:ascii="楷体_GB2312" w:eastAsia="楷体_GB2312" w:hAnsiTheme="majorHAnsi" w:cstheme="majorBidi"/>
          <w:kern w:val="2"/>
          <w:sz w:val="32"/>
          <w:szCs w:val="32"/>
        </w:rPr>
        <w:t>（一）主要经验及做法</w:t>
      </w:r>
      <w:bookmarkEnd w:id="28"/>
    </w:p>
    <w:p w14:paraId="395CBE7F">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1.强化组织领导</w:t>
      </w:r>
    </w:p>
    <w:p w14:paraId="510FFFAE">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成立由部门负责人任组长的绩效评价领导小组，保证了财政支出绩效评价各项工作的顺利开展。</w:t>
      </w:r>
    </w:p>
    <w:p w14:paraId="5A8EE879">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2.加强学习，强化绩效管理的理念。</w:t>
      </w:r>
    </w:p>
    <w:p w14:paraId="49295777">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认真学习财政部《关于推进预算绩效管理的指导意见》（财预〔2014〕416号）、《云南省省级部门财政支出绩效办法》（云财预〔2016〕98号）、《盘龙区区级部门预算绩效自评管理暂行办法》、</w:t>
      </w:r>
      <w:r>
        <w:rPr>
          <w:rFonts w:ascii="Times New Roman" w:hAnsi="仿宋_GB2312" w:eastAsia="仿宋_GB2312" w:cs="Times New Roman"/>
          <w:sz w:val="32"/>
          <w:szCs w:val="32"/>
        </w:rPr>
        <w:t>《昆明市盘龙区财政局关于开展</w:t>
      </w:r>
      <w:r>
        <w:rPr>
          <w:rFonts w:ascii="Times New Roman" w:hAnsi="Times New Roman" w:eastAsia="仿宋_GB2312" w:cs="Times New Roman"/>
          <w:sz w:val="32"/>
          <w:szCs w:val="32"/>
        </w:rPr>
        <w:t>2020</w:t>
      </w:r>
      <w:r>
        <w:rPr>
          <w:rFonts w:ascii="Times New Roman" w:hAnsi="仿宋_GB2312" w:eastAsia="仿宋_GB2312" w:cs="Times New Roman"/>
          <w:sz w:val="32"/>
          <w:szCs w:val="32"/>
        </w:rPr>
        <w:t>年度区级预算支出绩效自评工作的通知》</w:t>
      </w:r>
      <w:r>
        <w:rPr>
          <w:rFonts w:hint="eastAsia" w:ascii="仿宋_GB2312" w:hAnsi="仿宋_GB2312" w:eastAsia="仿宋_GB2312" w:cs="仿宋_GB2312"/>
          <w:sz w:val="32"/>
          <w:szCs w:val="32"/>
        </w:rPr>
        <w:t>（盘财绩</w:t>
      </w:r>
      <w:r>
        <w:rPr>
          <w:rFonts w:hint="eastAsia" w:ascii="仿宋_GB2312" w:eastAsia="仿宋_GB2312"/>
          <w:sz w:val="32"/>
          <w:szCs w:val="32"/>
        </w:rPr>
        <w:t>〔</w:t>
      </w:r>
      <w:r>
        <w:rPr>
          <w:rFonts w:hint="eastAsia" w:ascii="Times New Roman" w:hAnsi="Times New Roman" w:eastAsia="仿宋_GB2312"/>
          <w:sz w:val="32"/>
          <w:szCs w:val="32"/>
        </w:rPr>
        <w:t>20</w:t>
      </w:r>
      <w:r>
        <w:rPr>
          <w:rFonts w:hint="eastAsia" w:eastAsia="仿宋_GB2312"/>
          <w:sz w:val="32"/>
          <w:szCs w:val="32"/>
        </w:rPr>
        <w:t>21</w:t>
      </w:r>
      <w:r>
        <w:rPr>
          <w:rFonts w:hint="eastAsia" w:ascii="仿宋_GB2312" w:eastAsia="仿宋_GB2312"/>
          <w:sz w:val="32"/>
          <w:szCs w:val="32"/>
        </w:rPr>
        <w:t>〕</w:t>
      </w:r>
      <w:r>
        <w:rPr>
          <w:rFonts w:ascii="Times New Roman" w:hAnsi="Times New Roman" w:eastAsia="仿宋_GB2312" w:cs="Times New Roman"/>
          <w:sz w:val="32"/>
          <w:szCs w:val="32"/>
        </w:rPr>
        <w:t>2号</w:t>
      </w:r>
      <w:r>
        <w:rPr>
          <w:rFonts w:hint="eastAsia" w:ascii="仿宋_GB2312" w:hAnsi="仿宋_GB2312" w:eastAsia="仿宋_GB2312" w:cs="仿宋_GB2312"/>
          <w:sz w:val="32"/>
          <w:szCs w:val="32"/>
        </w:rPr>
        <w:t>）</w:t>
      </w:r>
      <w:r>
        <w:rPr>
          <w:rFonts w:ascii="Times New Roman" w:hAnsi="Times New Roman" w:eastAsia="仿宋_GB2312" w:cs="Times New Roman"/>
          <w:color w:val="333333"/>
          <w:kern w:val="0"/>
          <w:sz w:val="32"/>
          <w:szCs w:val="32"/>
        </w:rPr>
        <w:t>相关绩效管理文件，吃透文件精神，强化绩效管理的理念。</w:t>
      </w:r>
    </w:p>
    <w:p w14:paraId="1E1EEDFC">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3.创新方式，落实责任</w:t>
      </w:r>
    </w:p>
    <w:p w14:paraId="5EA1C56B">
      <w:pPr>
        <w:widowControl/>
        <w:shd w:val="clear" w:color="auto" w:fill="FFFFFF"/>
        <w:spacing w:line="560" w:lineRule="exact"/>
        <w:ind w:firstLine="555"/>
        <w:jc w:val="left"/>
        <w:outlineLvl w:val="2"/>
        <w:rPr>
          <w:rFonts w:ascii="Times New Roman" w:hAnsi="Times New Roman" w:eastAsia="仿宋_GB2312" w:cs="Times New Roman"/>
          <w:color w:val="333333"/>
          <w:kern w:val="0"/>
          <w:sz w:val="32"/>
          <w:szCs w:val="32"/>
        </w:rPr>
      </w:pPr>
      <w:r>
        <w:rPr>
          <w:rFonts w:ascii="Times New Roman" w:hAnsi="Times New Roman" w:eastAsia="仿宋_GB2312" w:cs="Times New Roman"/>
          <w:color w:val="333333"/>
          <w:kern w:val="0"/>
          <w:sz w:val="32"/>
          <w:szCs w:val="32"/>
        </w:rPr>
        <w:t>创新管理方式，落实岗位责任制，夯实基础工作，突出工作重点，强化制度建设，推动本单位预算绩效管理各项工作齐头并进。</w:t>
      </w:r>
    </w:p>
    <w:p w14:paraId="22BEB270">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29" w:name="_Toc28194"/>
      <w:bookmarkStart w:id="30" w:name="_（二）存在的问题_1"/>
      <w:r>
        <w:rPr>
          <w:rFonts w:hint="eastAsia" w:ascii="楷体_GB2312" w:eastAsia="楷体_GB2312" w:hAnsiTheme="majorHAnsi" w:cstheme="majorBidi"/>
          <w:kern w:val="2"/>
          <w:sz w:val="32"/>
          <w:szCs w:val="32"/>
        </w:rPr>
        <w:fldChar w:fldCharType="begin"/>
      </w:r>
      <w:r>
        <w:rPr>
          <w:rFonts w:hint="eastAsia" w:ascii="楷体_GB2312" w:eastAsia="楷体_GB2312" w:hAnsiTheme="majorHAnsi" w:cstheme="majorBidi"/>
          <w:kern w:val="2"/>
          <w:sz w:val="32"/>
          <w:szCs w:val="32"/>
        </w:rPr>
        <w:instrText xml:space="preserve"> HYPERLINK \l "_（二）存在的问题_1"</w:instrText>
      </w:r>
      <w:r>
        <w:rPr>
          <w:rFonts w:hint="eastAsia" w:ascii="楷体_GB2312" w:eastAsia="楷体_GB2312" w:hAnsiTheme="majorHAnsi" w:cstheme="majorBidi"/>
          <w:kern w:val="2"/>
          <w:sz w:val="32"/>
          <w:szCs w:val="32"/>
        </w:rPr>
        <w:fldChar w:fldCharType="separate"/>
      </w:r>
      <w:r>
        <w:rPr>
          <w:rStyle w:val="13"/>
          <w:rFonts w:hint="eastAsia" w:ascii="楷体_GB2312" w:eastAsia="楷体_GB2312" w:hAnsiTheme="majorHAnsi" w:cstheme="majorBidi"/>
          <w:color w:val="auto"/>
          <w:kern w:val="2"/>
          <w:sz w:val="32"/>
          <w:szCs w:val="32"/>
          <w:u w:val="none"/>
        </w:rPr>
        <w:t>（二）存在的问题</w:t>
      </w:r>
      <w:r>
        <w:rPr>
          <w:rFonts w:hint="eastAsia" w:ascii="楷体_GB2312" w:eastAsia="楷体_GB2312" w:hAnsiTheme="majorHAnsi" w:cstheme="majorBidi"/>
          <w:kern w:val="2"/>
          <w:sz w:val="32"/>
          <w:szCs w:val="32"/>
        </w:rPr>
        <w:fldChar w:fldCharType="end"/>
      </w:r>
      <w:bookmarkEnd w:id="29"/>
    </w:p>
    <w:bookmarkEnd w:id="30"/>
    <w:p w14:paraId="51E74295">
      <w:pPr>
        <w:widowControl/>
        <w:shd w:val="clear" w:color="auto" w:fill="FFFFFF"/>
        <w:spacing w:line="56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1.机关后勤服务综合管理费主要用于保安、保洁及其他劳务派遣人员的工资等费用支出，目前我单位对这些人员和服务的监管相对薄弱，考核评价体系及相应制度欠缺。</w:t>
      </w:r>
    </w:p>
    <w:p w14:paraId="26411402">
      <w:pPr>
        <w:widowControl/>
        <w:shd w:val="clear" w:color="auto" w:fill="FFFFFF"/>
        <w:spacing w:line="56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2.为避免工作中出现矛盾，大部分人员的工资水平差距不大，致使部分人员的薪资水平与社会平均工资差异较大，使得这部分人工作积极性难以提高。</w:t>
      </w:r>
    </w:p>
    <w:p w14:paraId="4ECAE3D9">
      <w:pPr>
        <w:widowControl/>
        <w:shd w:val="clear" w:color="auto" w:fill="FFFFFF"/>
        <w:spacing w:line="56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3.因工资水平整体偏低，致使日常工作中人员流动性较大，部分人员的综合素质不高，在服务质量上和干部职工的要求还有差距。</w:t>
      </w:r>
    </w:p>
    <w:p w14:paraId="7ACB2F7C">
      <w:pPr>
        <w:widowControl/>
        <w:shd w:val="clear" w:color="auto" w:fill="FFFFFF"/>
        <w:spacing w:line="56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4.因种种特殊原因，向社会购买服务的范围有待进一步扩大。</w:t>
      </w:r>
    </w:p>
    <w:p w14:paraId="7C691D60">
      <w:pPr>
        <w:pStyle w:val="3"/>
        <w:keepNext/>
        <w:keepLines/>
        <w:widowControl w:val="0"/>
        <w:spacing w:before="260" w:after="260" w:line="560" w:lineRule="exact"/>
        <w:ind w:firstLine="643" w:firstLineChars="200"/>
        <w:jc w:val="both"/>
        <w:rPr>
          <w:rFonts w:ascii="楷体_GB2312" w:eastAsia="楷体_GB2312" w:hAnsiTheme="majorHAnsi" w:cstheme="majorBidi"/>
          <w:kern w:val="2"/>
          <w:sz w:val="32"/>
          <w:szCs w:val="32"/>
        </w:rPr>
      </w:pPr>
      <w:bookmarkStart w:id="31" w:name="_Toc26689"/>
      <w:r>
        <w:rPr>
          <w:rFonts w:hint="eastAsia" w:ascii="楷体_GB2312" w:eastAsia="楷体_GB2312" w:hAnsiTheme="majorHAnsi" w:cstheme="majorBidi"/>
          <w:kern w:val="2"/>
          <w:sz w:val="32"/>
          <w:szCs w:val="32"/>
        </w:rPr>
        <w:t>（三）建议和改进措施</w:t>
      </w:r>
      <w:bookmarkEnd w:id="31"/>
    </w:p>
    <w:p w14:paraId="4FDDC1F6">
      <w:pPr>
        <w:widowControl/>
        <w:shd w:val="clear" w:color="auto" w:fill="FFFFFF"/>
        <w:spacing w:line="56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1.根据不同的服务内容，制定更加科学、合理、细致的考核评价体系，强化对各类服务人员的日常监管，切实提高服务水平。</w:t>
      </w:r>
    </w:p>
    <w:p w14:paraId="0A2D89A0">
      <w:pPr>
        <w:widowControl/>
        <w:shd w:val="clear" w:color="auto" w:fill="FFFFFF"/>
        <w:spacing w:line="56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2.根据不同工作岗位的重要性、工作量、专业技术水平等，制定更加合理的薪资标准，不断激励并倡导所有人员新城必学赶超的良好工作氛围。</w:t>
      </w:r>
    </w:p>
    <w:p w14:paraId="0DD95BC9">
      <w:pPr>
        <w:widowControl/>
        <w:shd w:val="clear" w:color="auto" w:fill="FFFFFF"/>
        <w:spacing w:line="56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3.继续推行“减员增资”的工作方法，科学设置工作岗位的具体工作职责，压缩劳务派遣人员数量，不断提高劳务派遣人员的薪资收入，确保留得住人、干的成事。</w:t>
      </w:r>
    </w:p>
    <w:p w14:paraId="38367C18">
      <w:pPr>
        <w:widowControl/>
        <w:shd w:val="clear" w:color="auto" w:fill="FFFFFF"/>
        <w:spacing w:line="560" w:lineRule="exact"/>
        <w:ind w:firstLine="705"/>
        <w:jc w:val="left"/>
        <w:rPr>
          <w:rFonts w:ascii="仿宋_GB2312" w:hAnsi="仿宋" w:eastAsia="仿宋_GB2312" w:cs="宋体"/>
          <w:color w:val="333333"/>
          <w:kern w:val="0"/>
          <w:sz w:val="32"/>
          <w:szCs w:val="32"/>
        </w:rPr>
      </w:pPr>
      <w:r>
        <w:rPr>
          <w:rFonts w:hint="eastAsia" w:ascii="仿宋_GB2312" w:hAnsi="仿宋" w:eastAsia="仿宋_GB2312" w:cs="宋体"/>
          <w:color w:val="333333"/>
          <w:kern w:val="0"/>
          <w:sz w:val="32"/>
          <w:szCs w:val="32"/>
        </w:rPr>
        <w:t>4.积极探索向社会购买服务的模式，继续扩大机关后勤服务社会化程度，由服务提供者向监管者转变。</w:t>
      </w:r>
    </w:p>
    <w:p w14:paraId="454D3C9C">
      <w:pPr>
        <w:widowControl/>
        <w:shd w:val="clear" w:color="auto" w:fill="FFFFFF"/>
        <w:spacing w:line="500" w:lineRule="exact"/>
        <w:ind w:firstLine="555"/>
        <w:jc w:val="left"/>
        <w:outlineLvl w:val="2"/>
        <w:rPr>
          <w:rFonts w:ascii="仿宋_GB2312" w:hAnsi="仿宋" w:eastAsia="仿宋_GB2312" w:cs="宋体"/>
          <w:color w:val="333333"/>
          <w:kern w:val="0"/>
          <w:sz w:val="32"/>
          <w:szCs w:val="32"/>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B2E33">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00F3BAA">
                          <w:pPr>
                            <w:pStyle w:val="5"/>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2dPQ/IAQAAmQMAAA4AAAAAAAAAAQAgAAAAHgEAAGRycy9lMm9Eb2Mu&#10;eG1sUEsFBgAAAAAGAAYAWQEAAFgFAAAAAA==&#10;">
              <v:fill on="f" focussize="0,0"/>
              <v:stroke on="f"/>
              <v:imagedata o:title=""/>
              <o:lock v:ext="edit" aspectratio="f"/>
              <v:textbox inset="0mm,0mm,0mm,0mm" style="mso-fit-shape-to-text:t;">
                <w:txbxContent>
                  <w:p w14:paraId="400F3BAA">
                    <w:pPr>
                      <w:pStyle w:val="5"/>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1BCBC">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41D6"/>
    <w:rsid w:val="000067C5"/>
    <w:rsid w:val="00016188"/>
    <w:rsid w:val="0003079A"/>
    <w:rsid w:val="00052DD1"/>
    <w:rsid w:val="00064085"/>
    <w:rsid w:val="00065FAB"/>
    <w:rsid w:val="000A189D"/>
    <w:rsid w:val="000C23F4"/>
    <w:rsid w:val="000D4284"/>
    <w:rsid w:val="000E03E5"/>
    <w:rsid w:val="00125208"/>
    <w:rsid w:val="00125431"/>
    <w:rsid w:val="00126F57"/>
    <w:rsid w:val="0013320E"/>
    <w:rsid w:val="00161615"/>
    <w:rsid w:val="00176E0C"/>
    <w:rsid w:val="0017797D"/>
    <w:rsid w:val="001A07AF"/>
    <w:rsid w:val="001B7840"/>
    <w:rsid w:val="001D7066"/>
    <w:rsid w:val="001E6CD3"/>
    <w:rsid w:val="002A7442"/>
    <w:rsid w:val="003033E8"/>
    <w:rsid w:val="00370834"/>
    <w:rsid w:val="003759C8"/>
    <w:rsid w:val="00382F35"/>
    <w:rsid w:val="003A6B1A"/>
    <w:rsid w:val="00404B4C"/>
    <w:rsid w:val="004424D2"/>
    <w:rsid w:val="004641D6"/>
    <w:rsid w:val="0046763C"/>
    <w:rsid w:val="004F1C6A"/>
    <w:rsid w:val="00517F76"/>
    <w:rsid w:val="00540427"/>
    <w:rsid w:val="005457FD"/>
    <w:rsid w:val="00560CAF"/>
    <w:rsid w:val="00566D4A"/>
    <w:rsid w:val="00581C86"/>
    <w:rsid w:val="005A5C58"/>
    <w:rsid w:val="005C46F2"/>
    <w:rsid w:val="00625C2D"/>
    <w:rsid w:val="006272BF"/>
    <w:rsid w:val="00633A67"/>
    <w:rsid w:val="00636E7D"/>
    <w:rsid w:val="006455AF"/>
    <w:rsid w:val="00647808"/>
    <w:rsid w:val="00684C7D"/>
    <w:rsid w:val="006C6157"/>
    <w:rsid w:val="00702B18"/>
    <w:rsid w:val="00750121"/>
    <w:rsid w:val="0075317D"/>
    <w:rsid w:val="00753A9C"/>
    <w:rsid w:val="00797B22"/>
    <w:rsid w:val="007A2583"/>
    <w:rsid w:val="007A54AC"/>
    <w:rsid w:val="007C61D5"/>
    <w:rsid w:val="007F12BD"/>
    <w:rsid w:val="007F16C0"/>
    <w:rsid w:val="007F2B86"/>
    <w:rsid w:val="007F4380"/>
    <w:rsid w:val="00820FF4"/>
    <w:rsid w:val="0084602A"/>
    <w:rsid w:val="00862191"/>
    <w:rsid w:val="00874737"/>
    <w:rsid w:val="008A1F73"/>
    <w:rsid w:val="008C57A2"/>
    <w:rsid w:val="008E639C"/>
    <w:rsid w:val="008F235D"/>
    <w:rsid w:val="00912263"/>
    <w:rsid w:val="009647CC"/>
    <w:rsid w:val="009845E8"/>
    <w:rsid w:val="00A079AD"/>
    <w:rsid w:val="00A169DA"/>
    <w:rsid w:val="00A246C6"/>
    <w:rsid w:val="00A340FE"/>
    <w:rsid w:val="00A53BF3"/>
    <w:rsid w:val="00A55682"/>
    <w:rsid w:val="00A766EB"/>
    <w:rsid w:val="00AA0784"/>
    <w:rsid w:val="00B119F6"/>
    <w:rsid w:val="00B756D2"/>
    <w:rsid w:val="00B90055"/>
    <w:rsid w:val="00BB42A4"/>
    <w:rsid w:val="00BC16C8"/>
    <w:rsid w:val="00BD3A6A"/>
    <w:rsid w:val="00BE5D8B"/>
    <w:rsid w:val="00C331EC"/>
    <w:rsid w:val="00C52C64"/>
    <w:rsid w:val="00CA1539"/>
    <w:rsid w:val="00CB5F00"/>
    <w:rsid w:val="00CC3DEA"/>
    <w:rsid w:val="00CD4325"/>
    <w:rsid w:val="00D23DD1"/>
    <w:rsid w:val="00D31FE5"/>
    <w:rsid w:val="00D334D3"/>
    <w:rsid w:val="00D8264F"/>
    <w:rsid w:val="00DB3B05"/>
    <w:rsid w:val="00DC164C"/>
    <w:rsid w:val="00DD1F9F"/>
    <w:rsid w:val="00E131B3"/>
    <w:rsid w:val="00E23CD1"/>
    <w:rsid w:val="00E24D83"/>
    <w:rsid w:val="00E44D2C"/>
    <w:rsid w:val="00E54629"/>
    <w:rsid w:val="00E76CAF"/>
    <w:rsid w:val="00E854E6"/>
    <w:rsid w:val="00E9458B"/>
    <w:rsid w:val="00E94B83"/>
    <w:rsid w:val="00EB6335"/>
    <w:rsid w:val="00EF2A7D"/>
    <w:rsid w:val="00F27E3A"/>
    <w:rsid w:val="00F46785"/>
    <w:rsid w:val="00F65B66"/>
    <w:rsid w:val="00F722B8"/>
    <w:rsid w:val="00FC6E77"/>
    <w:rsid w:val="00FF14B8"/>
    <w:rsid w:val="07F04F9A"/>
    <w:rsid w:val="0B404BEE"/>
    <w:rsid w:val="0BA06440"/>
    <w:rsid w:val="0CA674F8"/>
    <w:rsid w:val="0F004637"/>
    <w:rsid w:val="136C1CD5"/>
    <w:rsid w:val="137A131F"/>
    <w:rsid w:val="1A625BCD"/>
    <w:rsid w:val="208E5B92"/>
    <w:rsid w:val="23DA27E5"/>
    <w:rsid w:val="29D46115"/>
    <w:rsid w:val="2A77636F"/>
    <w:rsid w:val="2B351D79"/>
    <w:rsid w:val="2CB36BB7"/>
    <w:rsid w:val="2E400984"/>
    <w:rsid w:val="31631F13"/>
    <w:rsid w:val="336B279D"/>
    <w:rsid w:val="352B17C6"/>
    <w:rsid w:val="36DD1220"/>
    <w:rsid w:val="3D5849ED"/>
    <w:rsid w:val="3F6F6360"/>
    <w:rsid w:val="400055F8"/>
    <w:rsid w:val="40291366"/>
    <w:rsid w:val="422635D8"/>
    <w:rsid w:val="44854A8D"/>
    <w:rsid w:val="46B6177C"/>
    <w:rsid w:val="47A51F24"/>
    <w:rsid w:val="4A1F2AFD"/>
    <w:rsid w:val="4DB13B20"/>
    <w:rsid w:val="4F64691C"/>
    <w:rsid w:val="51D1285D"/>
    <w:rsid w:val="51ED37B4"/>
    <w:rsid w:val="5E51338C"/>
    <w:rsid w:val="63845454"/>
    <w:rsid w:val="6AE22D92"/>
    <w:rsid w:val="6E24286C"/>
    <w:rsid w:val="6FD72083"/>
    <w:rsid w:val="715D42E6"/>
    <w:rsid w:val="74184B06"/>
    <w:rsid w:val="774A25F1"/>
    <w:rsid w:val="793768CA"/>
    <w:rsid w:val="7A806F51"/>
    <w:rsid w:val="7D9D1A3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4"/>
    <w:qFormat/>
    <w:uiPriority w:val="9"/>
    <w:pPr>
      <w:widowControl/>
      <w:jc w:val="left"/>
      <w:outlineLvl w:val="0"/>
    </w:pPr>
    <w:rPr>
      <w:rFonts w:ascii="宋体" w:hAnsi="宋体" w:eastAsia="宋体" w:cs="宋体"/>
      <w:b/>
      <w:bCs/>
      <w:kern w:val="36"/>
      <w:sz w:val="48"/>
      <w:szCs w:val="48"/>
    </w:rPr>
  </w:style>
  <w:style w:type="paragraph" w:styleId="3">
    <w:name w:val="heading 2"/>
    <w:basedOn w:val="1"/>
    <w:next w:val="1"/>
    <w:link w:val="15"/>
    <w:qFormat/>
    <w:uiPriority w:val="9"/>
    <w:pPr>
      <w:widowControl/>
      <w:jc w:val="left"/>
      <w:outlineLvl w:val="1"/>
    </w:pPr>
    <w:rPr>
      <w:rFonts w:ascii="宋体" w:hAnsi="宋体" w:eastAsia="宋体" w:cs="宋体"/>
      <w:b/>
      <w:bCs/>
      <w:kern w:val="0"/>
      <w:sz w:val="36"/>
      <w:szCs w:val="36"/>
    </w:rPr>
  </w:style>
  <w:style w:type="paragraph" w:styleId="4">
    <w:name w:val="heading 3"/>
    <w:basedOn w:val="1"/>
    <w:next w:val="1"/>
    <w:link w:val="16"/>
    <w:qFormat/>
    <w:uiPriority w:val="9"/>
    <w:pPr>
      <w:widowControl/>
      <w:jc w:val="left"/>
      <w:outlineLvl w:val="2"/>
    </w:pPr>
    <w:rPr>
      <w:rFonts w:ascii="宋体" w:hAnsi="宋体" w:eastAsia="宋体" w:cs="宋体"/>
      <w:b/>
      <w:bCs/>
      <w:kern w:val="0"/>
      <w:sz w:val="27"/>
      <w:szCs w:val="27"/>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toc 1"/>
    <w:basedOn w:val="1"/>
    <w:next w:val="1"/>
    <w:unhideWhenUsed/>
    <w:qFormat/>
    <w:uiPriority w:val="39"/>
    <w:pPr>
      <w:tabs>
        <w:tab w:val="right" w:leader="dot" w:pos="8296"/>
      </w:tabs>
      <w:jc w:val="center"/>
    </w:pPr>
    <w:rPr>
      <w:rFonts w:ascii="Times New Roman" w:hAnsi="Times New Roman" w:eastAsia="黑体" w:cs="Times New Roman"/>
      <w:sz w:val="36"/>
    </w:rPr>
  </w:style>
  <w:style w:type="paragraph" w:styleId="8">
    <w:name w:val="toc 2"/>
    <w:basedOn w:val="1"/>
    <w:next w:val="1"/>
    <w:unhideWhenUsed/>
    <w:qFormat/>
    <w:uiPriority w:val="39"/>
    <w:pPr>
      <w:ind w:left="420" w:leftChars="200"/>
    </w:pPr>
  </w:style>
  <w:style w:type="paragraph" w:styleId="9">
    <w:name w:val="Normal (Web)"/>
    <w:basedOn w:val="1"/>
    <w:unhideWhenUsed/>
    <w:qFormat/>
    <w:uiPriority w:val="99"/>
    <w:pPr>
      <w:widowControl/>
      <w:jc w:val="left"/>
    </w:pPr>
    <w:rPr>
      <w:rFonts w:ascii="宋体" w:hAnsi="宋体" w:eastAsia="宋体" w:cs="宋体"/>
      <w:kern w:val="0"/>
      <w:sz w:val="24"/>
      <w:szCs w:val="24"/>
    </w:rPr>
  </w:style>
  <w:style w:type="character" w:styleId="12">
    <w:name w:val="Strong"/>
    <w:basedOn w:val="11"/>
    <w:qFormat/>
    <w:uiPriority w:val="22"/>
    <w:rPr>
      <w:b/>
      <w:bCs/>
    </w:rPr>
  </w:style>
  <w:style w:type="character" w:styleId="13">
    <w:name w:val="Hyperlink"/>
    <w:basedOn w:val="11"/>
    <w:unhideWhenUsed/>
    <w:qFormat/>
    <w:uiPriority w:val="99"/>
    <w:rPr>
      <w:color w:val="0000FF" w:themeColor="hyperlink"/>
      <w:u w:val="single"/>
    </w:rPr>
  </w:style>
  <w:style w:type="character" w:customStyle="1" w:styleId="14">
    <w:name w:val="标题 1 Char"/>
    <w:basedOn w:val="11"/>
    <w:link w:val="2"/>
    <w:qFormat/>
    <w:uiPriority w:val="9"/>
    <w:rPr>
      <w:rFonts w:ascii="宋体" w:hAnsi="宋体" w:eastAsia="宋体" w:cs="宋体"/>
      <w:b/>
      <w:bCs/>
      <w:kern w:val="36"/>
      <w:sz w:val="48"/>
      <w:szCs w:val="48"/>
    </w:rPr>
  </w:style>
  <w:style w:type="character" w:customStyle="1" w:styleId="15">
    <w:name w:val="标题 2 Char"/>
    <w:basedOn w:val="11"/>
    <w:link w:val="3"/>
    <w:qFormat/>
    <w:uiPriority w:val="9"/>
    <w:rPr>
      <w:rFonts w:ascii="宋体" w:hAnsi="宋体" w:eastAsia="宋体" w:cs="宋体"/>
      <w:b/>
      <w:bCs/>
      <w:kern w:val="0"/>
      <w:sz w:val="36"/>
      <w:szCs w:val="36"/>
    </w:rPr>
  </w:style>
  <w:style w:type="character" w:customStyle="1" w:styleId="16">
    <w:name w:val="标题 3 Char"/>
    <w:basedOn w:val="11"/>
    <w:link w:val="4"/>
    <w:qFormat/>
    <w:uiPriority w:val="9"/>
    <w:rPr>
      <w:rFonts w:ascii="宋体" w:hAnsi="宋体" w:eastAsia="宋体" w:cs="宋体"/>
      <w:b/>
      <w:bCs/>
      <w:kern w:val="0"/>
      <w:sz w:val="27"/>
      <w:szCs w:val="27"/>
    </w:rPr>
  </w:style>
  <w:style w:type="character" w:customStyle="1" w:styleId="17">
    <w:name w:val="页眉 Char"/>
    <w:basedOn w:val="11"/>
    <w:link w:val="6"/>
    <w:qFormat/>
    <w:uiPriority w:val="99"/>
    <w:rPr>
      <w:sz w:val="18"/>
      <w:szCs w:val="18"/>
    </w:rPr>
  </w:style>
  <w:style w:type="character" w:customStyle="1" w:styleId="18">
    <w:name w:val="页脚 Char"/>
    <w:basedOn w:val="11"/>
    <w:link w:val="5"/>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5CAA9E-ED59-4A4A-AE73-F9F20DA3079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22</Pages>
  <Words>8039</Words>
  <Characters>8392</Characters>
  <Lines>72</Lines>
  <Paragraphs>20</Paragraphs>
  <TotalTime>0</TotalTime>
  <ScaleCrop>false</ScaleCrop>
  <LinksUpToDate>false</LinksUpToDate>
  <CharactersWithSpaces>8447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2019-04-19T05:07:00Z</dcterms:created>
  <dc:creator>蒋仁玲</dc:creator>
  <cp:lastModifiedBy>景鸿成</cp:lastModifiedBy>
  <cp:lastPrinted>2021-05-28T03:01:00Z</cp:lastPrinted>
  <dcterms:modified xsi:type="dcterms:W3CDTF">2025-06-26T10:46:08Z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194EFAA3489E4822BADDD386FC318875_13</vt:lpwstr>
  </property>
  <property fmtid="{D5CDD505-2E9C-101B-9397-08002B2CF9AE}" pid="4" name="KSOTemplateDocerSaveRecord">
    <vt:lpwstr>eyJoZGlkIjoiY2JlNzQyMzg5YmZjMjE5ZTE1MTdiMzJkYzQxNmE5NDciLCJ1c2VySWQiOiIyNTkzNDUzOTYifQ==</vt:lpwstr>
  </property>
</Properties>
</file>