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27D7C">
      <w:pPr>
        <w:spacing w:line="600" w:lineRule="exact"/>
        <w:ind w:firstLine="0" w:firstLineChars="0"/>
        <w:jc w:val="center"/>
        <w:rPr>
          <w:rFonts w:ascii="方正小标宋简体" w:hAnsi="方正小标宋简体" w:eastAsia="方正小标宋简体" w:cs="方正小标宋简体"/>
          <w:bCs/>
          <w:sz w:val="44"/>
          <w:szCs w:val="44"/>
        </w:rPr>
      </w:pPr>
      <w:bookmarkStart w:id="0" w:name="_GoBack"/>
      <w:bookmarkEnd w:id="0"/>
    </w:p>
    <w:p w14:paraId="54E4D0D9">
      <w:pPr>
        <w:spacing w:line="600" w:lineRule="exact"/>
        <w:ind w:firstLine="0" w:firstLineChars="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昆明市盘龙区残疾人综合服务中心</w:t>
      </w:r>
    </w:p>
    <w:p w14:paraId="032B4608">
      <w:pPr>
        <w:spacing w:line="600" w:lineRule="exact"/>
        <w:ind w:firstLine="0" w:firstLineChars="0"/>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ascii="方正小标宋简体" w:hAnsi="方正小标宋简体" w:eastAsia="方正小标宋简体" w:cs="方正小标宋简体"/>
          <w:b/>
          <w:bCs/>
          <w:sz w:val="44"/>
          <w:szCs w:val="44"/>
        </w:rPr>
        <w:t>3</w:t>
      </w:r>
      <w:r>
        <w:rPr>
          <w:rFonts w:hint="eastAsia" w:ascii="方正小标宋简体" w:hAnsi="方正小标宋简体" w:eastAsia="方正小标宋简体" w:cs="方正小标宋简体"/>
          <w:b/>
          <w:bCs/>
          <w:sz w:val="44"/>
          <w:szCs w:val="44"/>
        </w:rPr>
        <w:t>年部门整体支出绩效自评报告</w:t>
      </w:r>
    </w:p>
    <w:p w14:paraId="111D111D">
      <w:pPr>
        <w:spacing w:before="120" w:after="120" w:line="480" w:lineRule="auto"/>
        <w:jc w:val="center"/>
        <w:rPr>
          <w:rFonts w:ascii="Times New Roman" w:hAnsi="Times New Roman" w:eastAsia="黑体"/>
          <w:b/>
          <w:bCs/>
          <w:sz w:val="52"/>
          <w:szCs w:val="52"/>
        </w:rPr>
      </w:pPr>
    </w:p>
    <w:p w14:paraId="7B2A3F1F">
      <w:pPr>
        <w:spacing w:before="120" w:after="120" w:line="480" w:lineRule="auto"/>
        <w:ind w:firstLine="883"/>
        <w:jc w:val="center"/>
        <w:rPr>
          <w:rFonts w:ascii="Times New Roman" w:hAnsi="Times New Roman"/>
          <w:b/>
          <w:bCs/>
          <w:sz w:val="44"/>
          <w:szCs w:val="44"/>
        </w:rPr>
      </w:pPr>
    </w:p>
    <w:p w14:paraId="3619E017">
      <w:pPr>
        <w:spacing w:before="120" w:after="120" w:line="480" w:lineRule="auto"/>
        <w:ind w:firstLine="883"/>
        <w:jc w:val="center"/>
        <w:rPr>
          <w:rFonts w:ascii="Times New Roman" w:hAnsi="Times New Roman"/>
          <w:b/>
          <w:bCs/>
          <w:sz w:val="44"/>
          <w:szCs w:val="44"/>
        </w:rPr>
      </w:pPr>
    </w:p>
    <w:p w14:paraId="72E2F721">
      <w:pPr>
        <w:spacing w:before="120" w:after="120" w:line="480" w:lineRule="auto"/>
        <w:ind w:firstLine="883"/>
        <w:jc w:val="center"/>
        <w:rPr>
          <w:rFonts w:ascii="Times New Roman" w:hAnsi="Times New Roman" w:eastAsia="黑体"/>
          <w:b/>
          <w:bCs/>
          <w:sz w:val="44"/>
          <w:szCs w:val="44"/>
        </w:rPr>
      </w:pPr>
    </w:p>
    <w:p w14:paraId="46AAF284">
      <w:pPr>
        <w:adjustRightInd w:val="0"/>
        <w:snapToGrid w:val="0"/>
        <w:ind w:firstLine="643"/>
        <w:rPr>
          <w:rFonts w:ascii="Times New Roman" w:hAnsi="Times New Roman" w:eastAsia="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60288" behindDoc="0" locked="0" layoutInCell="1" allowOverlap="1">
                <wp:simplePos x="0" y="0"/>
                <wp:positionH relativeFrom="column">
                  <wp:posOffset>1423035</wp:posOffset>
                </wp:positionH>
                <wp:positionV relativeFrom="paragraph">
                  <wp:posOffset>262255</wp:posOffset>
                </wp:positionV>
                <wp:extent cx="372110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37211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2.05pt;margin-top:20.65pt;height:0pt;width:293pt;z-index:251660288;mso-width-relative:page;mso-height-relative:page;" filled="f" stroked="t" coordsize="21600,21600" o:gfxdata="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Ov2ZvWAAAACQEAAA8AAAAAAAAAAQAgAAAAIgAAAGRycy9kb3du&#10;cmV2LnhtbFBLAQIUABQAAAAIAIdO4kByOZvTAQIAAPoDAAAOAAAAAAAAAAEAIAAAACUBAABkcnMv&#10;ZTJvRG9jLnhtbFBLBQYAAAAABgAGAFkBAACYBQ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项目名称：</w:t>
      </w:r>
      <w:r>
        <w:rPr>
          <w:rFonts w:hint="eastAsia" w:ascii="Times New Roman" w:hAnsi="Times New Roman" w:eastAsia="黑体" w:cs="黑体"/>
          <w:b/>
          <w:bCs/>
          <w:sz w:val="28"/>
          <w:szCs w:val="28"/>
        </w:rPr>
        <w:t>昆明市盘龙区残疾人综合服务中心部门整体支</w:t>
      </w:r>
      <w:r>
        <w:rPr>
          <w:rFonts w:hint="eastAsia" w:ascii="Times New Roman" w:hAnsi="Times New Roman" w:eastAsia="黑体" w:cs="黑体"/>
          <w:b/>
          <w:bCs/>
          <w:sz w:val="32"/>
          <w:szCs w:val="32"/>
        </w:rPr>
        <w:t>出</w:t>
      </w:r>
    </w:p>
    <w:p w14:paraId="3E4B695C">
      <w:pPr>
        <w:adjustRightInd w:val="0"/>
        <w:snapToGrid w:val="0"/>
        <w:ind w:firstLine="643"/>
        <w:rPr>
          <w:rFonts w:ascii="Times New Roman" w:hAnsi="Times New Roman" w:eastAsia="黑体" w:cs="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61312" behindDoc="0" locked="0" layoutInCell="1" allowOverlap="1">
                <wp:simplePos x="0" y="0"/>
                <wp:positionH relativeFrom="column">
                  <wp:posOffset>1422400</wp:posOffset>
                </wp:positionH>
                <wp:positionV relativeFrom="paragraph">
                  <wp:posOffset>294005</wp:posOffset>
                </wp:positionV>
                <wp:extent cx="371538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71538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2pt;margin-top:23.15pt;height:0pt;width:292.55pt;z-index:251661312;mso-width-relative:page;mso-height-relative:page;" filled="f" stroked="t" coordsize="21600,21600" o:gfxdata="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yUmgvYAAAACQEAAA8AAAAAAAAAAQAgAAAAIgAAAGRycy9k&#10;b3ducmV2LnhtbFBLAQIUABQAAAAIAIdO4kDU4V4qAgIAAPoDAAAOAAAAAAAAAAEAIAAAACcBAABk&#10;cnMvZTJvRG9jLnhtbFBLBQYAAAAABgAGAFkBAACbBQ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部门名称：昆明市盘龙区残疾人综合服务中心</w:t>
      </w:r>
    </w:p>
    <w:p w14:paraId="62337245">
      <w:pPr>
        <w:adjustRightInd w:val="0"/>
        <w:snapToGrid w:val="0"/>
        <w:ind w:firstLine="643"/>
        <w:rPr>
          <w:rFonts w:ascii="Times New Roman" w:hAnsi="Times New Roman" w:eastAsia="黑体"/>
          <w:b/>
          <w:bCs/>
          <w:sz w:val="32"/>
          <w:szCs w:val="32"/>
        </w:rPr>
      </w:pPr>
      <w:r>
        <w:rPr>
          <w:rFonts w:ascii="Times New Roman" w:hAnsi="Times New Roman" w:eastAsia="黑体" w:cs="黑体"/>
          <w:b/>
          <w:bCs/>
          <w:sz w:val="32"/>
          <w:szCs w:val="32"/>
        </w:rPr>
        <mc:AlternateContent>
          <mc:Choice Requires="wps">
            <w:drawing>
              <wp:anchor distT="0" distB="0" distL="114300" distR="114300" simplePos="0" relativeHeight="251662336" behindDoc="0" locked="0" layoutInCell="1" allowOverlap="1">
                <wp:simplePos x="0" y="0"/>
                <wp:positionH relativeFrom="column">
                  <wp:posOffset>1441450</wp:posOffset>
                </wp:positionH>
                <wp:positionV relativeFrom="paragraph">
                  <wp:posOffset>304165</wp:posOffset>
                </wp:positionV>
                <wp:extent cx="3670935" cy="0"/>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3670935"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113.5pt;margin-top:23.95pt;height:0pt;width:289.05pt;z-index:251662336;mso-width-relative:page;mso-height-relative:page;" filled="f" stroked="t" coordsize="21600,21600" o:gfxdata="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3fmybYAAAACQEAAA8AAAAAAAAAAQAgAAAAIgAAAGRycy9k&#10;b3ducmV2LnhtbFBLAQIUABQAAAAIAIdO4kB7BCaHAgIAAPoDAAAOAAAAAAAAAAEAIAAAACcBAABk&#10;cnMvZTJvRG9jLnhtbFBLBQYAAAAABgAGAFkBAACbBQAAAAA=&#10;">
                <v:fill on="f" focussize="0,0"/>
                <v:stroke color="#000000" joinstyle="round"/>
                <v:imagedata o:title=""/>
                <o:lock v:ext="edit" aspectratio="f"/>
              </v:shape>
            </w:pict>
          </mc:Fallback>
        </mc:AlternateContent>
      </w:r>
      <w:r>
        <w:rPr>
          <w:rFonts w:hint="eastAsia" w:ascii="Times New Roman" w:hAnsi="Times New Roman" w:eastAsia="黑体" w:cs="黑体"/>
          <w:b/>
          <w:bCs/>
          <w:sz w:val="32"/>
          <w:szCs w:val="32"/>
        </w:rPr>
        <w:t>评价机构：昆明市盘龙区残疾人联合会</w:t>
      </w:r>
    </w:p>
    <w:p w14:paraId="7CFC21B2">
      <w:pPr>
        <w:ind w:left="1740" w:leftChars="580" w:firstLine="643"/>
        <w:rPr>
          <w:rFonts w:ascii="Times New Roman" w:hAnsi="Times New Roman" w:eastAsia="黑体"/>
          <w:b/>
          <w:bCs/>
          <w:sz w:val="32"/>
          <w:szCs w:val="32"/>
        </w:rPr>
      </w:pPr>
    </w:p>
    <w:p w14:paraId="135C09B2">
      <w:pPr>
        <w:ind w:firstLine="643"/>
        <w:jc w:val="center"/>
        <w:rPr>
          <w:rFonts w:ascii="Times New Roman" w:hAnsi="Times New Roman" w:eastAsia="黑体" w:cs="黑体"/>
          <w:b/>
          <w:bCs/>
          <w:sz w:val="32"/>
          <w:szCs w:val="32"/>
        </w:rPr>
      </w:pPr>
      <w:r>
        <w:rPr>
          <w:rFonts w:ascii="Times New Roman" w:hAnsi="Times New Roman" w:eastAsia="黑体"/>
          <w:b/>
          <w:bCs/>
          <w:sz w:val="32"/>
          <w:szCs w:val="32"/>
        </w:rPr>
        <w:t>20</w:t>
      </w:r>
      <w:r>
        <w:rPr>
          <w:rFonts w:hint="eastAsia" w:ascii="Times New Roman" w:hAnsi="Times New Roman" w:eastAsia="黑体"/>
          <w:b/>
          <w:bCs/>
          <w:sz w:val="32"/>
          <w:szCs w:val="32"/>
        </w:rPr>
        <w:t>2</w:t>
      </w:r>
      <w:r>
        <w:rPr>
          <w:rFonts w:ascii="Times New Roman" w:hAnsi="Times New Roman" w:eastAsia="黑体"/>
          <w:b/>
          <w:bCs/>
          <w:sz w:val="32"/>
          <w:szCs w:val="32"/>
        </w:rPr>
        <w:t>4</w:t>
      </w:r>
      <w:r>
        <w:rPr>
          <w:rFonts w:hint="eastAsia" w:ascii="Times New Roman" w:hAnsi="Times New Roman" w:eastAsia="黑体" w:cs="黑体"/>
          <w:b/>
          <w:bCs/>
          <w:sz w:val="32"/>
          <w:szCs w:val="32"/>
        </w:rPr>
        <w:t>年</w:t>
      </w:r>
      <w:r>
        <w:rPr>
          <w:rFonts w:hint="eastAsia" w:ascii="Times New Roman" w:hAnsi="Times New Roman" w:eastAsia="黑体"/>
          <w:b/>
          <w:bCs/>
          <w:sz w:val="32"/>
          <w:szCs w:val="32"/>
        </w:rPr>
        <w:t>0</w:t>
      </w:r>
      <w:r>
        <w:rPr>
          <w:rFonts w:ascii="Times New Roman" w:hAnsi="Times New Roman" w:eastAsia="黑体"/>
          <w:b/>
          <w:bCs/>
          <w:sz w:val="32"/>
          <w:szCs w:val="32"/>
        </w:rPr>
        <w:t>5</w:t>
      </w:r>
      <w:r>
        <w:rPr>
          <w:rFonts w:hint="eastAsia" w:ascii="Times New Roman" w:hAnsi="Times New Roman" w:eastAsia="黑体" w:cs="黑体"/>
          <w:b/>
          <w:bCs/>
          <w:sz w:val="32"/>
          <w:szCs w:val="32"/>
        </w:rPr>
        <w:t>月</w:t>
      </w:r>
    </w:p>
    <w:p w14:paraId="54CBF907">
      <w:pPr>
        <w:ind w:firstLine="562"/>
        <w:jc w:val="center"/>
        <w:rPr>
          <w:rFonts w:ascii="Times New Roman" w:hAnsi="Times New Roman" w:eastAsia="黑体" w:cs="黑体"/>
          <w:b/>
          <w:bCs/>
          <w:sz w:val="28"/>
          <w:szCs w:val="28"/>
        </w:rPr>
      </w:pPr>
    </w:p>
    <w:p w14:paraId="180EBCE1">
      <w:pPr>
        <w:ind w:firstLine="562"/>
        <w:jc w:val="center"/>
        <w:rPr>
          <w:rFonts w:ascii="Times New Roman" w:hAnsi="Times New Roman" w:eastAsia="黑体" w:cs="黑体"/>
          <w:b/>
          <w:bCs/>
          <w:sz w:val="28"/>
          <w:szCs w:val="28"/>
        </w:rPr>
      </w:pPr>
    </w:p>
    <w:p w14:paraId="39EDABFC">
      <w:pPr>
        <w:ind w:firstLine="562"/>
        <w:jc w:val="center"/>
        <w:rPr>
          <w:rFonts w:ascii="Times New Roman" w:hAnsi="Times New Roman" w:eastAsia="黑体" w:cs="黑体"/>
          <w:b/>
          <w:bCs/>
          <w:sz w:val="28"/>
          <w:szCs w:val="28"/>
        </w:rPr>
      </w:pPr>
    </w:p>
    <w:p w14:paraId="3884B5B3">
      <w:pPr>
        <w:ind w:firstLine="562"/>
        <w:jc w:val="center"/>
        <w:rPr>
          <w:rFonts w:ascii="Times New Roman" w:hAnsi="Times New Roman" w:eastAsia="黑体" w:cs="黑体"/>
          <w:b/>
          <w:bCs/>
          <w:sz w:val="28"/>
          <w:szCs w:val="28"/>
        </w:rPr>
      </w:pPr>
    </w:p>
    <w:p w14:paraId="05C88777">
      <w:pPr>
        <w:ind w:firstLine="562"/>
        <w:jc w:val="center"/>
        <w:rPr>
          <w:rFonts w:ascii="Times New Roman" w:hAnsi="Times New Roman"/>
          <w:b/>
          <w:bCs/>
          <w:sz w:val="28"/>
          <w:szCs w:val="28"/>
        </w:rPr>
      </w:pPr>
    </w:p>
    <w:p w14:paraId="783AC33E">
      <w:pPr>
        <w:widowControl/>
        <w:ind w:firstLine="562"/>
        <w:jc w:val="left"/>
        <w:rPr>
          <w:rFonts w:ascii="Times New Roman" w:hAnsi="Times New Roman"/>
          <w:b/>
          <w:bCs/>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701" w:right="1587" w:bottom="1587" w:left="1587" w:header="851" w:footer="992" w:gutter="0"/>
          <w:cols w:space="425" w:num="1"/>
          <w:docGrid w:type="lines" w:linePitch="408" w:charSpace="0"/>
        </w:sectPr>
      </w:pPr>
    </w:p>
    <w:p w14:paraId="3CAF6106">
      <w:pPr>
        <w:pStyle w:val="10"/>
        <w:widowControl w:val="0"/>
        <w:spacing w:after="0" w:line="360" w:lineRule="auto"/>
        <w:ind w:left="600" w:leftChars="200"/>
        <w:jc w:val="both"/>
        <w:rPr>
          <w:rFonts w:ascii="Times New Roman" w:hAnsi="Times New Roman" w:eastAsia="黑体" w:cs="Times New Roman"/>
          <w:kern w:val="2"/>
          <w:sz w:val="24"/>
          <w:szCs w:val="24"/>
          <w:lang w:val="zh-TW" w:eastAsia="zh-TW"/>
        </w:rPr>
      </w:pPr>
      <w:r>
        <w:rPr>
          <w:rFonts w:hint="eastAsia" w:ascii="Times New Roman" w:hAnsi="Times New Roman" w:eastAsia="黑体" w:cs="黑体"/>
          <w:kern w:val="2"/>
          <w:sz w:val="24"/>
          <w:szCs w:val="24"/>
          <w:lang w:val="zh-TW" w:eastAsia="zh-TW"/>
        </w:rPr>
        <w:t>评价小组成员：</w:t>
      </w:r>
    </w:p>
    <w:tbl>
      <w:tblPr>
        <w:tblStyle w:val="8"/>
        <w:tblpPr w:leftFromText="180" w:rightFromText="180" w:vertAnchor="text" w:horzAnchor="margin" w:tblpXSpec="center" w:tblpY="72"/>
        <w:tblW w:w="81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620"/>
        <w:gridCol w:w="1620"/>
        <w:gridCol w:w="1621"/>
        <w:gridCol w:w="1621"/>
      </w:tblGrid>
      <w:tr w14:paraId="2AE76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0" w:type="dxa"/>
            <w:vAlign w:val="center"/>
          </w:tcPr>
          <w:p w14:paraId="72CDACCD">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评价小组</w:t>
            </w:r>
          </w:p>
          <w:p w14:paraId="53C4B111">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机构职位</w:t>
            </w:r>
          </w:p>
        </w:tc>
        <w:tc>
          <w:tcPr>
            <w:tcW w:w="1620" w:type="dxa"/>
            <w:vAlign w:val="center"/>
          </w:tcPr>
          <w:p w14:paraId="5C913B52">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姓名</w:t>
            </w:r>
          </w:p>
        </w:tc>
        <w:tc>
          <w:tcPr>
            <w:tcW w:w="1620" w:type="dxa"/>
            <w:vAlign w:val="center"/>
          </w:tcPr>
          <w:p w14:paraId="6C4B31A4">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职务/职称</w:t>
            </w:r>
          </w:p>
        </w:tc>
        <w:tc>
          <w:tcPr>
            <w:tcW w:w="1621" w:type="dxa"/>
            <w:vAlign w:val="center"/>
          </w:tcPr>
          <w:p w14:paraId="6CAE2C7E">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所属</w:t>
            </w:r>
          </w:p>
          <w:p w14:paraId="164C3567">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单位/处室</w:t>
            </w:r>
          </w:p>
        </w:tc>
        <w:tc>
          <w:tcPr>
            <w:tcW w:w="1621" w:type="dxa"/>
            <w:vAlign w:val="center"/>
          </w:tcPr>
          <w:p w14:paraId="6D4C600C">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签字</w:t>
            </w:r>
          </w:p>
        </w:tc>
      </w:tr>
      <w:tr w14:paraId="069B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1620" w:type="dxa"/>
            <w:vAlign w:val="center"/>
          </w:tcPr>
          <w:p w14:paraId="197E8E51">
            <w:pPr>
              <w:pStyle w:val="10"/>
              <w:widowControl w:val="0"/>
              <w:spacing w:after="0" w:line="24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组长</w:t>
            </w:r>
          </w:p>
        </w:tc>
        <w:tc>
          <w:tcPr>
            <w:tcW w:w="1620" w:type="dxa"/>
            <w:vAlign w:val="center"/>
          </w:tcPr>
          <w:p w14:paraId="23BA4256">
            <w:pPr>
              <w:pStyle w:val="10"/>
              <w:widowControl w:val="0"/>
              <w:spacing w:after="0" w:line="240" w:lineRule="auto"/>
              <w:jc w:val="center"/>
              <w:rPr>
                <w:rFonts w:hint="eastAsia" w:asciiTheme="majorEastAsia" w:hAnsiTheme="majorEastAsia" w:eastAsiaTheme="majorEastAsia" w:cstheme="majorEastAsia"/>
                <w:kern w:val="2"/>
                <w:sz w:val="28"/>
                <w:szCs w:val="28"/>
                <w:lang w:val="zh-TW" w:eastAsia="zh-CN"/>
              </w:rPr>
            </w:pPr>
            <w:r>
              <w:rPr>
                <w:rFonts w:hint="eastAsia" w:asciiTheme="majorEastAsia" w:hAnsiTheme="majorEastAsia" w:eastAsiaTheme="majorEastAsia" w:cstheme="majorEastAsia"/>
                <w:kern w:val="2"/>
                <w:sz w:val="28"/>
                <w:szCs w:val="28"/>
                <w:lang w:eastAsia="zh-CN"/>
              </w:rPr>
              <w:t>朱竹清</w:t>
            </w:r>
          </w:p>
        </w:tc>
        <w:tc>
          <w:tcPr>
            <w:tcW w:w="1620" w:type="dxa"/>
            <w:vAlign w:val="center"/>
          </w:tcPr>
          <w:p w14:paraId="66271323">
            <w:pPr>
              <w:pStyle w:val="10"/>
              <w:widowControl w:val="0"/>
              <w:spacing w:after="0" w:line="240" w:lineRule="auto"/>
              <w:jc w:val="center"/>
              <w:rPr>
                <w:rFonts w:asciiTheme="majorEastAsia" w:hAnsiTheme="majorEastAsia" w:eastAsiaTheme="majorEastAsia" w:cstheme="majorEastAsia"/>
                <w:kern w:val="2"/>
                <w:sz w:val="24"/>
                <w:szCs w:val="24"/>
                <w:lang w:val="zh-TW" w:eastAsia="zh-TW"/>
              </w:rPr>
            </w:pPr>
            <w:r>
              <w:rPr>
                <w:rFonts w:hint="eastAsia" w:asciiTheme="majorEastAsia" w:hAnsiTheme="majorEastAsia" w:eastAsiaTheme="majorEastAsia" w:cstheme="majorEastAsia"/>
                <w:kern w:val="2"/>
                <w:sz w:val="24"/>
                <w:szCs w:val="24"/>
                <w:lang w:val="zh-TW"/>
              </w:rPr>
              <w:t>区</w:t>
            </w:r>
            <w:r>
              <w:rPr>
                <w:rFonts w:asciiTheme="majorEastAsia" w:hAnsiTheme="majorEastAsia" w:eastAsiaTheme="majorEastAsia" w:cstheme="majorEastAsia"/>
                <w:kern w:val="2"/>
                <w:sz w:val="24"/>
                <w:szCs w:val="24"/>
                <w:lang w:val="zh-TW"/>
              </w:rPr>
              <w:t>残联</w:t>
            </w:r>
            <w:r>
              <w:rPr>
                <w:rFonts w:hint="eastAsia" w:asciiTheme="majorEastAsia" w:hAnsiTheme="majorEastAsia" w:eastAsiaTheme="majorEastAsia" w:cstheme="majorEastAsia"/>
                <w:kern w:val="2"/>
                <w:sz w:val="24"/>
                <w:szCs w:val="24"/>
                <w:lang w:val="zh-TW"/>
              </w:rPr>
              <w:t>理事长</w:t>
            </w:r>
          </w:p>
        </w:tc>
        <w:tc>
          <w:tcPr>
            <w:tcW w:w="1621" w:type="dxa"/>
            <w:vAlign w:val="center"/>
          </w:tcPr>
          <w:p w14:paraId="326EF67B">
            <w:pPr>
              <w:pStyle w:val="10"/>
              <w:widowControl w:val="0"/>
              <w:spacing w:after="0" w:line="240" w:lineRule="auto"/>
              <w:jc w:val="center"/>
              <w:rPr>
                <w:rFonts w:asciiTheme="majorEastAsia" w:hAnsiTheme="majorEastAsia" w:eastAsiaTheme="majorEastAsia" w:cstheme="majorEastAsia"/>
                <w:kern w:val="2"/>
                <w:sz w:val="24"/>
                <w:szCs w:val="24"/>
                <w:lang w:val="zh-TW" w:eastAsia="zh-TW"/>
              </w:rPr>
            </w:pPr>
            <w:r>
              <w:rPr>
                <w:rFonts w:hint="eastAsia" w:asciiTheme="majorEastAsia" w:hAnsiTheme="majorEastAsia" w:eastAsiaTheme="majorEastAsia" w:cstheme="majorEastAsia"/>
                <w:kern w:val="2"/>
                <w:sz w:val="24"/>
                <w:szCs w:val="24"/>
                <w:lang w:val="zh-TW"/>
              </w:rPr>
              <w:t>区残联办公室</w:t>
            </w:r>
          </w:p>
        </w:tc>
        <w:tc>
          <w:tcPr>
            <w:tcW w:w="1621" w:type="dxa"/>
            <w:vAlign w:val="center"/>
          </w:tcPr>
          <w:p w14:paraId="4092BC52">
            <w:pPr>
              <w:pStyle w:val="10"/>
              <w:widowControl w:val="0"/>
              <w:spacing w:after="0" w:line="240" w:lineRule="auto"/>
              <w:jc w:val="center"/>
              <w:rPr>
                <w:rFonts w:asciiTheme="majorEastAsia" w:hAnsiTheme="majorEastAsia" w:eastAsiaTheme="majorEastAsia" w:cstheme="majorEastAsia"/>
                <w:kern w:val="2"/>
                <w:sz w:val="28"/>
                <w:szCs w:val="28"/>
                <w:lang w:val="zh-TW" w:eastAsia="zh-TW"/>
              </w:rPr>
            </w:pPr>
          </w:p>
        </w:tc>
      </w:tr>
      <w:tr w14:paraId="5AD9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620" w:type="dxa"/>
            <w:vAlign w:val="center"/>
          </w:tcPr>
          <w:p w14:paraId="716BA02E">
            <w:pPr>
              <w:pStyle w:val="10"/>
              <w:widowControl w:val="0"/>
              <w:spacing w:after="0" w:line="36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副组长</w:t>
            </w:r>
          </w:p>
        </w:tc>
        <w:tc>
          <w:tcPr>
            <w:tcW w:w="1620" w:type="dxa"/>
            <w:vAlign w:val="center"/>
          </w:tcPr>
          <w:p w14:paraId="06EE6297">
            <w:pPr>
              <w:pStyle w:val="10"/>
              <w:widowControl w:val="0"/>
              <w:spacing w:after="0" w:line="36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杨超</w:t>
            </w:r>
          </w:p>
        </w:tc>
        <w:tc>
          <w:tcPr>
            <w:tcW w:w="1620" w:type="dxa"/>
            <w:vAlign w:val="center"/>
          </w:tcPr>
          <w:p w14:paraId="13D525AE">
            <w:pPr>
              <w:pStyle w:val="10"/>
              <w:widowControl w:val="0"/>
              <w:spacing w:after="0" w:line="360" w:lineRule="auto"/>
              <w:jc w:val="center"/>
              <w:rPr>
                <w:rFonts w:asciiTheme="majorEastAsia" w:hAnsiTheme="majorEastAsia" w:eastAsiaTheme="majorEastAsia" w:cstheme="majorEastAsia"/>
                <w:kern w:val="2"/>
                <w:sz w:val="24"/>
                <w:szCs w:val="24"/>
                <w:lang w:val="zh-TW" w:eastAsia="zh-TW"/>
              </w:rPr>
            </w:pPr>
            <w:r>
              <w:rPr>
                <w:rFonts w:hint="eastAsia" w:asciiTheme="majorEastAsia" w:hAnsiTheme="majorEastAsia" w:eastAsiaTheme="majorEastAsia" w:cstheme="majorEastAsia"/>
                <w:kern w:val="2"/>
                <w:sz w:val="24"/>
                <w:szCs w:val="24"/>
                <w:lang w:val="zh-TW"/>
              </w:rPr>
              <w:t>区残联副理事长</w:t>
            </w:r>
          </w:p>
        </w:tc>
        <w:tc>
          <w:tcPr>
            <w:tcW w:w="1621" w:type="dxa"/>
            <w:vAlign w:val="center"/>
          </w:tcPr>
          <w:p w14:paraId="0A017CEC">
            <w:pPr>
              <w:ind w:firstLine="0" w:firstLineChars="0"/>
              <w:jc w:val="center"/>
              <w:rPr>
                <w:rFonts w:asciiTheme="majorEastAsia" w:hAnsiTheme="majorEastAsia" w:eastAsiaTheme="majorEastAsia" w:cstheme="majorEastAsia"/>
                <w:sz w:val="24"/>
                <w:szCs w:val="24"/>
                <w:lang w:val="zh-TW" w:eastAsia="zh-TW"/>
              </w:rPr>
            </w:pPr>
            <w:r>
              <w:rPr>
                <w:rFonts w:hint="eastAsia" w:asciiTheme="majorEastAsia" w:hAnsiTheme="majorEastAsia" w:eastAsiaTheme="majorEastAsia" w:cstheme="majorEastAsia"/>
                <w:sz w:val="24"/>
                <w:szCs w:val="24"/>
                <w:lang w:val="zh-TW"/>
              </w:rPr>
              <w:t>区残联办公室</w:t>
            </w:r>
          </w:p>
        </w:tc>
        <w:tc>
          <w:tcPr>
            <w:tcW w:w="1621" w:type="dxa"/>
            <w:vAlign w:val="center"/>
          </w:tcPr>
          <w:p w14:paraId="4D50A964">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p>
        </w:tc>
      </w:tr>
      <w:tr w14:paraId="066D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620" w:type="dxa"/>
            <w:vAlign w:val="center"/>
          </w:tcPr>
          <w:p w14:paraId="0BCFB3C3">
            <w:pPr>
              <w:pStyle w:val="10"/>
              <w:widowControl w:val="0"/>
              <w:spacing w:after="0" w:line="360" w:lineRule="auto"/>
              <w:jc w:val="center"/>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成员</w:t>
            </w:r>
          </w:p>
        </w:tc>
        <w:tc>
          <w:tcPr>
            <w:tcW w:w="1620" w:type="dxa"/>
            <w:vAlign w:val="center"/>
          </w:tcPr>
          <w:p w14:paraId="05233654">
            <w:pPr>
              <w:pStyle w:val="10"/>
              <w:widowControl w:val="0"/>
              <w:spacing w:after="0" w:line="360" w:lineRule="auto"/>
              <w:jc w:val="center"/>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袁军</w:t>
            </w:r>
          </w:p>
        </w:tc>
        <w:tc>
          <w:tcPr>
            <w:tcW w:w="1620" w:type="dxa"/>
            <w:vAlign w:val="center"/>
          </w:tcPr>
          <w:p w14:paraId="750A8605">
            <w:pPr>
              <w:pStyle w:val="10"/>
              <w:widowControl w:val="0"/>
              <w:spacing w:after="0" w:line="360" w:lineRule="auto"/>
              <w:jc w:val="center"/>
              <w:rPr>
                <w:rFonts w:asciiTheme="majorEastAsia" w:hAnsiTheme="majorEastAsia" w:eastAsiaTheme="majorEastAsia" w:cstheme="majorEastAsia"/>
                <w:kern w:val="2"/>
                <w:sz w:val="24"/>
                <w:szCs w:val="24"/>
                <w:lang w:val="zh-TW"/>
              </w:rPr>
            </w:pPr>
            <w:r>
              <w:rPr>
                <w:rFonts w:hint="eastAsia" w:asciiTheme="majorEastAsia" w:hAnsiTheme="majorEastAsia" w:eastAsiaTheme="majorEastAsia" w:cstheme="majorEastAsia"/>
                <w:kern w:val="2"/>
                <w:sz w:val="24"/>
                <w:szCs w:val="24"/>
                <w:lang w:val="zh-TW"/>
              </w:rPr>
              <w:t>区残联办公室主任</w:t>
            </w:r>
          </w:p>
        </w:tc>
        <w:tc>
          <w:tcPr>
            <w:tcW w:w="1621" w:type="dxa"/>
            <w:vAlign w:val="center"/>
          </w:tcPr>
          <w:p w14:paraId="1E03567D">
            <w:pPr>
              <w:ind w:firstLine="0" w:firstLineChars="0"/>
              <w:jc w:val="center"/>
              <w:rPr>
                <w:rFonts w:asciiTheme="majorEastAsia" w:hAnsiTheme="majorEastAsia" w:eastAsiaTheme="majorEastAsia" w:cstheme="majorEastAsia"/>
                <w:sz w:val="24"/>
                <w:szCs w:val="24"/>
                <w:lang w:val="zh-TW"/>
              </w:rPr>
            </w:pPr>
            <w:r>
              <w:rPr>
                <w:rFonts w:hint="eastAsia" w:asciiTheme="majorEastAsia" w:hAnsiTheme="majorEastAsia" w:eastAsiaTheme="majorEastAsia" w:cstheme="majorEastAsia"/>
                <w:sz w:val="24"/>
                <w:szCs w:val="24"/>
                <w:lang w:val="zh-TW"/>
              </w:rPr>
              <w:t>区残联办公室</w:t>
            </w:r>
          </w:p>
        </w:tc>
        <w:tc>
          <w:tcPr>
            <w:tcW w:w="1621" w:type="dxa"/>
            <w:vAlign w:val="center"/>
          </w:tcPr>
          <w:p w14:paraId="04B130F2">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p>
        </w:tc>
      </w:tr>
      <w:tr w14:paraId="6B62D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620" w:type="dxa"/>
            <w:vAlign w:val="center"/>
          </w:tcPr>
          <w:p w14:paraId="7244E67C">
            <w:pPr>
              <w:pStyle w:val="10"/>
              <w:widowControl w:val="0"/>
              <w:spacing w:after="0" w:line="36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成员</w:t>
            </w:r>
          </w:p>
        </w:tc>
        <w:tc>
          <w:tcPr>
            <w:tcW w:w="1620" w:type="dxa"/>
            <w:vAlign w:val="center"/>
          </w:tcPr>
          <w:p w14:paraId="4CE3D50D">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r>
              <w:rPr>
                <w:rFonts w:hint="eastAsia" w:asciiTheme="majorEastAsia" w:hAnsiTheme="majorEastAsia" w:eastAsiaTheme="majorEastAsia" w:cstheme="majorEastAsia"/>
                <w:kern w:val="2"/>
                <w:sz w:val="28"/>
                <w:szCs w:val="28"/>
              </w:rPr>
              <w:t>王海燕</w:t>
            </w:r>
          </w:p>
        </w:tc>
        <w:tc>
          <w:tcPr>
            <w:tcW w:w="1620" w:type="dxa"/>
            <w:vAlign w:val="center"/>
          </w:tcPr>
          <w:p w14:paraId="6E673093">
            <w:pPr>
              <w:pStyle w:val="10"/>
              <w:widowControl w:val="0"/>
              <w:spacing w:after="0" w:line="360" w:lineRule="auto"/>
              <w:jc w:val="center"/>
              <w:rPr>
                <w:rFonts w:asciiTheme="majorEastAsia" w:hAnsiTheme="majorEastAsia" w:eastAsiaTheme="majorEastAsia" w:cstheme="majorEastAsia"/>
                <w:kern w:val="2"/>
                <w:sz w:val="24"/>
                <w:szCs w:val="24"/>
                <w:lang w:val="zh-TW" w:eastAsia="zh-TW"/>
              </w:rPr>
            </w:pPr>
            <w:r>
              <w:rPr>
                <w:rFonts w:hint="eastAsia" w:asciiTheme="majorEastAsia" w:hAnsiTheme="majorEastAsia" w:eastAsiaTheme="majorEastAsia" w:cstheme="majorEastAsia"/>
                <w:kern w:val="2"/>
                <w:sz w:val="24"/>
                <w:szCs w:val="24"/>
                <w:lang w:val="zh-TW"/>
              </w:rPr>
              <w:t>区残联综合业务科科科长</w:t>
            </w:r>
          </w:p>
        </w:tc>
        <w:tc>
          <w:tcPr>
            <w:tcW w:w="1621" w:type="dxa"/>
            <w:vAlign w:val="center"/>
          </w:tcPr>
          <w:p w14:paraId="3749F10D">
            <w:pPr>
              <w:ind w:firstLine="0" w:firstLineChars="0"/>
              <w:jc w:val="center"/>
              <w:rPr>
                <w:rFonts w:asciiTheme="majorEastAsia" w:hAnsiTheme="majorEastAsia" w:eastAsiaTheme="majorEastAsia" w:cstheme="majorEastAsia"/>
                <w:sz w:val="24"/>
                <w:szCs w:val="24"/>
                <w:lang w:val="zh-TW" w:eastAsia="zh-TW"/>
              </w:rPr>
            </w:pPr>
            <w:r>
              <w:rPr>
                <w:rFonts w:hint="eastAsia" w:asciiTheme="majorEastAsia" w:hAnsiTheme="majorEastAsia" w:eastAsiaTheme="majorEastAsia" w:cstheme="majorEastAsia"/>
                <w:sz w:val="24"/>
                <w:szCs w:val="24"/>
                <w:lang w:val="zh-TW"/>
              </w:rPr>
              <w:t>区残联综合业务科</w:t>
            </w:r>
          </w:p>
        </w:tc>
        <w:tc>
          <w:tcPr>
            <w:tcW w:w="1621" w:type="dxa"/>
            <w:vAlign w:val="center"/>
          </w:tcPr>
          <w:p w14:paraId="4F2B4F3B">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p>
        </w:tc>
      </w:tr>
      <w:tr w14:paraId="4E6AF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1620" w:type="dxa"/>
            <w:vAlign w:val="center"/>
          </w:tcPr>
          <w:p w14:paraId="5AF331EB">
            <w:pPr>
              <w:pStyle w:val="10"/>
              <w:widowControl w:val="0"/>
              <w:spacing w:after="0" w:line="360" w:lineRule="auto"/>
              <w:jc w:val="center"/>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成员</w:t>
            </w:r>
          </w:p>
        </w:tc>
        <w:tc>
          <w:tcPr>
            <w:tcW w:w="1620" w:type="dxa"/>
            <w:vAlign w:val="center"/>
          </w:tcPr>
          <w:p w14:paraId="56F22129">
            <w:pPr>
              <w:pStyle w:val="10"/>
              <w:widowControl w:val="0"/>
              <w:spacing w:after="0" w:line="360" w:lineRule="auto"/>
              <w:jc w:val="center"/>
              <w:rPr>
                <w:rFonts w:asciiTheme="majorEastAsia" w:hAnsiTheme="majorEastAsia" w:eastAsiaTheme="majorEastAsia" w:cstheme="majorEastAsia"/>
                <w:kern w:val="2"/>
                <w:sz w:val="28"/>
                <w:szCs w:val="28"/>
              </w:rPr>
            </w:pPr>
            <w:r>
              <w:rPr>
                <w:rFonts w:hint="eastAsia" w:asciiTheme="majorEastAsia" w:hAnsiTheme="majorEastAsia" w:eastAsiaTheme="majorEastAsia" w:cstheme="majorEastAsia"/>
                <w:kern w:val="2"/>
                <w:sz w:val="28"/>
                <w:szCs w:val="28"/>
              </w:rPr>
              <w:t>赵荣玲</w:t>
            </w:r>
          </w:p>
        </w:tc>
        <w:tc>
          <w:tcPr>
            <w:tcW w:w="1620" w:type="dxa"/>
            <w:vAlign w:val="center"/>
          </w:tcPr>
          <w:p w14:paraId="7CD3B4C0">
            <w:pPr>
              <w:pStyle w:val="10"/>
              <w:widowControl w:val="0"/>
              <w:spacing w:after="0" w:line="360" w:lineRule="auto"/>
              <w:jc w:val="center"/>
              <w:rPr>
                <w:rFonts w:asciiTheme="majorEastAsia" w:hAnsiTheme="majorEastAsia" w:eastAsiaTheme="majorEastAsia" w:cstheme="majorEastAsia"/>
                <w:kern w:val="2"/>
                <w:sz w:val="24"/>
                <w:szCs w:val="24"/>
                <w:lang w:val="zh-TW"/>
              </w:rPr>
            </w:pPr>
            <w:r>
              <w:rPr>
                <w:rFonts w:hint="eastAsia" w:asciiTheme="majorEastAsia" w:hAnsiTheme="majorEastAsia" w:eastAsiaTheme="majorEastAsia" w:cstheme="majorEastAsia"/>
                <w:kern w:val="2"/>
                <w:sz w:val="24"/>
                <w:szCs w:val="24"/>
                <w:lang w:val="zh-TW"/>
              </w:rPr>
              <w:t>区残联财务人员</w:t>
            </w:r>
          </w:p>
        </w:tc>
        <w:tc>
          <w:tcPr>
            <w:tcW w:w="1621" w:type="dxa"/>
            <w:vAlign w:val="center"/>
          </w:tcPr>
          <w:p w14:paraId="1900415B">
            <w:pPr>
              <w:pStyle w:val="10"/>
              <w:widowControl w:val="0"/>
              <w:spacing w:after="0" w:line="360" w:lineRule="auto"/>
              <w:jc w:val="center"/>
              <w:rPr>
                <w:rFonts w:asciiTheme="majorEastAsia" w:hAnsiTheme="majorEastAsia" w:eastAsiaTheme="majorEastAsia" w:cstheme="majorEastAsia"/>
                <w:kern w:val="2"/>
                <w:sz w:val="24"/>
                <w:szCs w:val="24"/>
                <w:lang w:val="zh-TW"/>
              </w:rPr>
            </w:pPr>
            <w:r>
              <w:rPr>
                <w:rFonts w:hint="eastAsia" w:asciiTheme="majorEastAsia" w:hAnsiTheme="majorEastAsia" w:eastAsiaTheme="majorEastAsia" w:cstheme="majorEastAsia"/>
                <w:kern w:val="2"/>
                <w:sz w:val="24"/>
                <w:szCs w:val="24"/>
                <w:lang w:val="zh-TW"/>
              </w:rPr>
              <w:t>区残联办公室</w:t>
            </w:r>
          </w:p>
        </w:tc>
        <w:tc>
          <w:tcPr>
            <w:tcW w:w="1621" w:type="dxa"/>
            <w:vAlign w:val="center"/>
          </w:tcPr>
          <w:p w14:paraId="1441DF9B">
            <w:pPr>
              <w:pStyle w:val="10"/>
              <w:widowControl w:val="0"/>
              <w:spacing w:after="0" w:line="360" w:lineRule="auto"/>
              <w:jc w:val="center"/>
              <w:rPr>
                <w:rFonts w:asciiTheme="majorEastAsia" w:hAnsiTheme="majorEastAsia" w:eastAsiaTheme="majorEastAsia" w:cstheme="majorEastAsia"/>
                <w:kern w:val="2"/>
                <w:sz w:val="28"/>
                <w:szCs w:val="28"/>
                <w:lang w:val="zh-TW" w:eastAsia="zh-TW"/>
              </w:rPr>
            </w:pPr>
          </w:p>
        </w:tc>
      </w:tr>
      <w:tr w14:paraId="2D9C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8102" w:type="dxa"/>
            <w:gridSpan w:val="5"/>
          </w:tcPr>
          <w:p w14:paraId="43670501">
            <w:pPr>
              <w:pStyle w:val="10"/>
              <w:widowControl w:val="0"/>
              <w:spacing w:after="0" w:line="360" w:lineRule="auto"/>
              <w:jc w:val="both"/>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报告撰写人（签字）：</w:t>
            </w:r>
          </w:p>
          <w:p w14:paraId="32E5CE15">
            <w:pPr>
              <w:pStyle w:val="10"/>
              <w:widowControl w:val="0"/>
              <w:spacing w:after="0" w:line="360" w:lineRule="auto"/>
              <w:jc w:val="both"/>
              <w:rPr>
                <w:rFonts w:asciiTheme="majorEastAsia" w:hAnsiTheme="majorEastAsia" w:eastAsiaTheme="majorEastAsia" w:cstheme="majorEastAsia"/>
                <w:kern w:val="2"/>
                <w:sz w:val="28"/>
                <w:szCs w:val="28"/>
                <w:lang w:val="zh-TW" w:eastAsia="zh-TW"/>
              </w:rPr>
            </w:pPr>
          </w:p>
          <w:p w14:paraId="1EEEC52E">
            <w:pPr>
              <w:pStyle w:val="10"/>
              <w:widowControl w:val="0"/>
              <w:spacing w:after="0" w:line="360" w:lineRule="auto"/>
              <w:jc w:val="both"/>
              <w:rPr>
                <w:rFonts w:asciiTheme="majorEastAsia" w:hAnsiTheme="majorEastAsia" w:eastAsiaTheme="majorEastAsia" w:cstheme="majorEastAsia"/>
                <w:kern w:val="2"/>
                <w:sz w:val="28"/>
                <w:szCs w:val="28"/>
                <w:lang w:val="zh-TW"/>
              </w:rPr>
            </w:pPr>
          </w:p>
          <w:p w14:paraId="6AA4FE3E">
            <w:pPr>
              <w:pStyle w:val="10"/>
              <w:widowControl w:val="0"/>
              <w:wordWrap w:val="0"/>
              <w:spacing w:after="0" w:line="360" w:lineRule="auto"/>
              <w:jc w:val="right"/>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年  月  日</w:t>
            </w:r>
          </w:p>
        </w:tc>
      </w:tr>
      <w:tr w14:paraId="27DC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8102" w:type="dxa"/>
            <w:gridSpan w:val="5"/>
          </w:tcPr>
          <w:p w14:paraId="02800F1B">
            <w:pPr>
              <w:pStyle w:val="10"/>
              <w:widowControl w:val="0"/>
              <w:spacing w:after="0" w:line="360" w:lineRule="auto"/>
              <w:jc w:val="both"/>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评价工作负责人（签字）：</w:t>
            </w:r>
          </w:p>
          <w:p w14:paraId="407602F7">
            <w:pPr>
              <w:pStyle w:val="10"/>
              <w:widowControl w:val="0"/>
              <w:spacing w:after="0" w:line="360" w:lineRule="auto"/>
              <w:jc w:val="both"/>
              <w:rPr>
                <w:rFonts w:asciiTheme="majorEastAsia" w:hAnsiTheme="majorEastAsia" w:eastAsiaTheme="majorEastAsia" w:cstheme="majorEastAsia"/>
                <w:kern w:val="2"/>
                <w:sz w:val="28"/>
                <w:szCs w:val="28"/>
                <w:lang w:val="zh-TW"/>
              </w:rPr>
            </w:pPr>
          </w:p>
          <w:p w14:paraId="61929FBE">
            <w:pPr>
              <w:pStyle w:val="10"/>
              <w:widowControl w:val="0"/>
              <w:spacing w:after="0" w:line="360" w:lineRule="auto"/>
              <w:jc w:val="both"/>
              <w:rPr>
                <w:rFonts w:asciiTheme="majorEastAsia" w:hAnsiTheme="majorEastAsia" w:eastAsiaTheme="majorEastAsia" w:cstheme="majorEastAsia"/>
                <w:kern w:val="2"/>
                <w:sz w:val="28"/>
                <w:szCs w:val="28"/>
                <w:lang w:val="zh-TW"/>
              </w:rPr>
            </w:pPr>
          </w:p>
          <w:p w14:paraId="0A5C492C">
            <w:pPr>
              <w:pStyle w:val="10"/>
              <w:widowControl w:val="0"/>
              <w:wordWrap w:val="0"/>
              <w:spacing w:after="0" w:line="360" w:lineRule="auto"/>
              <w:jc w:val="right"/>
              <w:rPr>
                <w:rFonts w:asciiTheme="majorEastAsia" w:hAnsiTheme="majorEastAsia" w:eastAsiaTheme="majorEastAsia" w:cstheme="majorEastAsia"/>
                <w:kern w:val="2"/>
                <w:sz w:val="28"/>
                <w:szCs w:val="28"/>
                <w:lang w:val="zh-TW"/>
              </w:rPr>
            </w:pPr>
            <w:r>
              <w:rPr>
                <w:rFonts w:hint="eastAsia" w:asciiTheme="majorEastAsia" w:hAnsiTheme="majorEastAsia" w:eastAsiaTheme="majorEastAsia" w:cstheme="majorEastAsia"/>
                <w:kern w:val="2"/>
                <w:sz w:val="28"/>
                <w:szCs w:val="28"/>
                <w:lang w:val="zh-TW"/>
              </w:rPr>
              <w:t>年  月  日</w:t>
            </w:r>
          </w:p>
        </w:tc>
      </w:tr>
    </w:tbl>
    <w:p w14:paraId="678520C1">
      <w:pPr>
        <w:pStyle w:val="10"/>
        <w:widowControl w:val="0"/>
        <w:spacing w:after="0" w:line="360" w:lineRule="auto"/>
        <w:ind w:firstLine="566" w:firstLineChars="236"/>
        <w:jc w:val="both"/>
        <w:rPr>
          <w:rFonts w:ascii="Times New Roman" w:hAnsi="Times New Roman" w:eastAsia="PMingLiU" w:cs="Times New Roman"/>
          <w:kern w:val="2"/>
          <w:sz w:val="24"/>
          <w:szCs w:val="24"/>
          <w:lang w:val="zh-TW" w:eastAsia="zh-TW"/>
        </w:rPr>
      </w:pPr>
    </w:p>
    <w:p w14:paraId="2762FC9E">
      <w:pPr>
        <w:pStyle w:val="10"/>
        <w:widowControl w:val="0"/>
        <w:spacing w:after="0" w:line="360" w:lineRule="auto"/>
        <w:jc w:val="both"/>
        <w:rPr>
          <w:rFonts w:ascii="Times New Roman" w:hAnsi="Times New Roman" w:cs="Times New Roman"/>
          <w:kern w:val="2"/>
          <w:sz w:val="24"/>
          <w:szCs w:val="24"/>
          <w:lang w:val="zh-TW"/>
        </w:rPr>
        <w:sectPr>
          <w:pgSz w:w="11906" w:h="16838"/>
          <w:pgMar w:top="1440" w:right="1800" w:bottom="1587" w:left="1800" w:header="851" w:footer="992" w:gutter="0"/>
          <w:cols w:space="425" w:num="1"/>
          <w:docGrid w:type="lines" w:linePitch="312" w:charSpace="0"/>
        </w:sectPr>
      </w:pPr>
    </w:p>
    <w:p w14:paraId="025EC330">
      <w:pPr>
        <w:spacing w:line="440" w:lineRule="exact"/>
        <w:ind w:firstLine="560"/>
        <w:jc w:val="center"/>
        <w:rPr>
          <w:rFonts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lang w:val="zh-CN"/>
        </w:rPr>
        <w:t>目录</w:t>
      </w:r>
    </w:p>
    <w:p w14:paraId="44A7D77C">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摘要</w:t>
      </w:r>
    </w:p>
    <w:p w14:paraId="10AD067C">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一、部门概况</w:t>
      </w:r>
    </w:p>
    <w:p w14:paraId="2D78DCCC">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（一）部门机构设置、编制</w:t>
      </w:r>
      <w:r>
        <w:rPr>
          <w:rFonts w:hint="eastAsia" w:ascii="仿宋_GB2312" w:hAnsi="仿宋_GB2312" w:cs="仿宋_GB2312"/>
          <w:sz w:val="28"/>
          <w:szCs w:val="28"/>
        </w:rPr>
        <w:tab/>
      </w:r>
    </w:p>
    <w:p w14:paraId="59CB29EF">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（二）部门职能</w:t>
      </w:r>
    </w:p>
    <w:p w14:paraId="71373BC4">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（三）部门工作完成情况</w:t>
      </w:r>
      <w:r>
        <w:rPr>
          <w:rFonts w:hint="eastAsia" w:ascii="仿宋_GB2312" w:hAnsi="仿宋_GB2312" w:cs="仿宋_GB2312"/>
          <w:sz w:val="28"/>
          <w:szCs w:val="28"/>
        </w:rPr>
        <w:tab/>
      </w:r>
    </w:p>
    <w:p w14:paraId="28DCA37B">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 xml:space="preserve">（四）部门管理制度 </w:t>
      </w:r>
    </w:p>
    <w:p w14:paraId="33A97E18">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（五）部门资金来源及使用情况</w:t>
      </w:r>
      <w:r>
        <w:rPr>
          <w:rFonts w:hint="eastAsia" w:ascii="仿宋_GB2312" w:hAnsi="仿宋_GB2312" w:cs="仿宋_GB2312"/>
          <w:sz w:val="28"/>
          <w:szCs w:val="28"/>
        </w:rPr>
        <w:tab/>
      </w:r>
    </w:p>
    <w:p w14:paraId="76C9C580">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 xml:space="preserve">（六）政府采购情况 </w:t>
      </w:r>
    </w:p>
    <w:p w14:paraId="7614E6B9">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（七）固定资产情况</w:t>
      </w:r>
      <w:r>
        <w:rPr>
          <w:rFonts w:hint="eastAsia" w:ascii="仿宋_GB2312" w:hAnsi="仿宋_GB2312" w:cs="仿宋_GB2312"/>
          <w:sz w:val="28"/>
          <w:szCs w:val="28"/>
        </w:rPr>
        <w:tab/>
      </w:r>
    </w:p>
    <w:p w14:paraId="44487A51">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二、绩效目标</w:t>
      </w:r>
    </w:p>
    <w:p w14:paraId="1C6DFCD8">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三、评价思路和过程</w:t>
      </w:r>
    </w:p>
    <w:p w14:paraId="530DF042">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（一）评价思路</w:t>
      </w:r>
      <w:r>
        <w:rPr>
          <w:rFonts w:hint="eastAsia" w:ascii="仿宋_GB2312" w:hAnsi="仿宋_GB2312" w:cs="仿宋_GB2312"/>
          <w:sz w:val="28"/>
          <w:szCs w:val="28"/>
        </w:rPr>
        <w:tab/>
      </w:r>
    </w:p>
    <w:p w14:paraId="405E70D5">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（二）评价目的</w:t>
      </w:r>
      <w:r>
        <w:rPr>
          <w:rFonts w:hint="eastAsia" w:ascii="仿宋_GB2312" w:hAnsi="仿宋_GB2312" w:cs="仿宋_GB2312"/>
          <w:sz w:val="28"/>
          <w:szCs w:val="28"/>
        </w:rPr>
        <w:tab/>
      </w:r>
    </w:p>
    <w:p w14:paraId="203501AD">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（三）评价依据</w:t>
      </w:r>
      <w:r>
        <w:rPr>
          <w:rFonts w:hint="eastAsia" w:ascii="仿宋_GB2312" w:hAnsi="仿宋_GB2312" w:cs="仿宋_GB2312"/>
          <w:sz w:val="28"/>
          <w:szCs w:val="28"/>
        </w:rPr>
        <w:tab/>
      </w:r>
    </w:p>
    <w:p w14:paraId="10609613">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（四）评价对象及评价时段</w:t>
      </w:r>
      <w:r>
        <w:rPr>
          <w:rFonts w:hint="eastAsia" w:ascii="仿宋_GB2312" w:hAnsi="仿宋_GB2312" w:cs="仿宋_GB2312"/>
          <w:sz w:val="28"/>
          <w:szCs w:val="28"/>
        </w:rPr>
        <w:tab/>
      </w:r>
    </w:p>
    <w:p w14:paraId="4FBBBB7D">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四、评价结论和绩效分析</w:t>
      </w:r>
      <w:r>
        <w:rPr>
          <w:rFonts w:hint="eastAsia" w:ascii="黑体" w:hAnsi="黑体" w:eastAsia="黑体" w:cs="黑体"/>
          <w:sz w:val="28"/>
          <w:szCs w:val="28"/>
        </w:rPr>
        <w:tab/>
      </w:r>
    </w:p>
    <w:p w14:paraId="46824A5D">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（一）评价结论</w:t>
      </w:r>
      <w:r>
        <w:rPr>
          <w:rFonts w:hint="eastAsia" w:ascii="仿宋_GB2312" w:hAnsi="仿宋_GB2312" w:cs="仿宋_GB2312"/>
          <w:sz w:val="28"/>
          <w:szCs w:val="28"/>
        </w:rPr>
        <w:tab/>
      </w:r>
    </w:p>
    <w:p w14:paraId="50B27888">
      <w:pPr>
        <w:spacing w:line="440" w:lineRule="exact"/>
        <w:ind w:firstLine="560"/>
        <w:jc w:val="left"/>
        <w:rPr>
          <w:rFonts w:ascii="仿宋_GB2312" w:hAnsi="仿宋_GB2312" w:cs="仿宋_GB2312"/>
          <w:sz w:val="28"/>
          <w:szCs w:val="28"/>
        </w:rPr>
      </w:pPr>
      <w:r>
        <w:rPr>
          <w:rFonts w:hint="eastAsia" w:ascii="仿宋_GB2312" w:hAnsi="仿宋_GB2312" w:cs="仿宋_GB2312"/>
          <w:sz w:val="28"/>
          <w:szCs w:val="28"/>
        </w:rPr>
        <w:t>（二）具体绩效分析</w:t>
      </w:r>
      <w:r>
        <w:rPr>
          <w:rFonts w:hint="eastAsia" w:ascii="仿宋_GB2312" w:hAnsi="仿宋_GB2312" w:cs="仿宋_GB2312"/>
          <w:sz w:val="28"/>
          <w:szCs w:val="28"/>
        </w:rPr>
        <w:tab/>
      </w:r>
    </w:p>
    <w:p w14:paraId="2DB8ADBF">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五、主要经验做法</w:t>
      </w:r>
    </w:p>
    <w:p w14:paraId="102E07B7">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六、存在的问题</w:t>
      </w:r>
      <w:r>
        <w:rPr>
          <w:rFonts w:hint="eastAsia" w:ascii="黑体" w:hAnsi="黑体" w:eastAsia="黑体" w:cs="黑体"/>
          <w:sz w:val="28"/>
          <w:szCs w:val="28"/>
        </w:rPr>
        <w:tab/>
      </w:r>
    </w:p>
    <w:p w14:paraId="60A6F747">
      <w:pPr>
        <w:spacing w:line="440" w:lineRule="exact"/>
        <w:ind w:firstLine="560"/>
        <w:jc w:val="left"/>
        <w:rPr>
          <w:rFonts w:ascii="黑体" w:hAnsi="黑体" w:eastAsia="黑体" w:cs="黑体"/>
          <w:sz w:val="28"/>
          <w:szCs w:val="28"/>
        </w:rPr>
      </w:pPr>
      <w:r>
        <w:rPr>
          <w:rFonts w:hint="eastAsia" w:ascii="黑体" w:hAnsi="黑体" w:eastAsia="黑体" w:cs="黑体"/>
          <w:sz w:val="28"/>
          <w:szCs w:val="28"/>
        </w:rPr>
        <w:t>七、改进措施及建议</w:t>
      </w:r>
    </w:p>
    <w:p w14:paraId="0149C37B">
      <w:pPr>
        <w:spacing w:line="440" w:lineRule="exact"/>
        <w:ind w:firstLine="560"/>
        <w:jc w:val="left"/>
        <w:rPr>
          <w:rFonts w:ascii="仿宋_GB2312" w:hAnsi="仿宋_GB2312" w:cs="仿宋_GB2312"/>
          <w:sz w:val="28"/>
          <w:szCs w:val="28"/>
        </w:rPr>
      </w:pPr>
    </w:p>
    <w:p w14:paraId="48D10255">
      <w:pPr>
        <w:spacing w:line="440" w:lineRule="exact"/>
        <w:ind w:firstLine="1400" w:firstLineChars="500"/>
        <w:jc w:val="left"/>
        <w:rPr>
          <w:rFonts w:ascii="仿宋_GB2312" w:hAnsi="仿宋_GB2312" w:cs="仿宋_GB2312"/>
          <w:sz w:val="28"/>
          <w:szCs w:val="28"/>
        </w:rPr>
      </w:pPr>
      <w:r>
        <w:rPr>
          <w:rFonts w:hint="eastAsia" w:ascii="仿宋_GB2312" w:hAnsi="仿宋_GB2312" w:cs="仿宋_GB2312"/>
          <w:sz w:val="28"/>
          <w:szCs w:val="28"/>
        </w:rPr>
        <w:t>附件</w:t>
      </w: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1.</w:t>
      </w:r>
      <w:r>
        <w:rPr>
          <w:rFonts w:hint="eastAsia" w:ascii="仿宋_GB2312" w:hAnsi="仿宋_GB2312" w:cs="仿宋_GB2312"/>
          <w:sz w:val="28"/>
          <w:szCs w:val="28"/>
        </w:rPr>
        <w:t>盘龙区残疾人综合服务中心202</w:t>
      </w:r>
      <w:r>
        <w:rPr>
          <w:rFonts w:ascii="仿宋_GB2312" w:hAnsi="仿宋_GB2312" w:cs="仿宋_GB2312"/>
          <w:sz w:val="28"/>
          <w:szCs w:val="28"/>
        </w:rPr>
        <w:t>3</w:t>
      </w:r>
      <w:r>
        <w:rPr>
          <w:rFonts w:hint="eastAsia" w:ascii="仿宋_GB2312" w:hAnsi="仿宋_GB2312" w:cs="仿宋_GB2312"/>
          <w:sz w:val="28"/>
          <w:szCs w:val="28"/>
        </w:rPr>
        <w:t>年部门预算、决算明细表（单位：元）</w:t>
      </w:r>
    </w:p>
    <w:p w14:paraId="5F6EDE32">
      <w:pP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197DD8C5">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昆明市盘龙区残疾人综合服务中心</w:t>
      </w:r>
    </w:p>
    <w:p w14:paraId="115DA47C">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3</w:t>
      </w:r>
      <w:r>
        <w:rPr>
          <w:rFonts w:hint="eastAsia" w:ascii="方正小标宋简体" w:hAnsi="方正小标宋简体" w:eastAsia="方正小标宋简体" w:cs="方正小标宋简体"/>
          <w:sz w:val="44"/>
          <w:szCs w:val="44"/>
        </w:rPr>
        <w:t>年度部门整体支出绩效评价报告</w:t>
      </w:r>
    </w:p>
    <w:p w14:paraId="70FCE1E2">
      <w:pPr>
        <w:keepNext w:val="0"/>
        <w:keepLines w:val="0"/>
        <w:pageBreakBefore w:val="0"/>
        <w:widowControl w:val="0"/>
        <w:kinsoku/>
        <w:wordWrap/>
        <w:overflowPunct/>
        <w:topLinePunct w:val="0"/>
        <w:autoSpaceDE/>
        <w:autoSpaceDN/>
        <w:bidi w:val="0"/>
        <w:adjustRightInd/>
        <w:snapToGrid/>
        <w:spacing w:line="600" w:lineRule="exact"/>
        <w:ind w:firstLine="0" w:firstLineChars="0"/>
        <w:textAlignment w:val="auto"/>
        <w:rPr>
          <w:rFonts w:ascii="仿宋_GB2312" w:hAnsi="仿宋_GB2312" w:cs="仿宋_GB2312"/>
          <w:sz w:val="32"/>
          <w:szCs w:val="32"/>
        </w:rPr>
      </w:pPr>
    </w:p>
    <w:p w14:paraId="5F8F634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一、部门概况</w:t>
      </w:r>
    </w:p>
    <w:p w14:paraId="72CF344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（一）部门机构设置、编制</w:t>
      </w:r>
    </w:p>
    <w:p w14:paraId="0228D8E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昆明市盘龙区残疾人综合服务中心为区残疾人联合会下属事业单位，是一个集多种功能为一体的，为辖区残疾人提供职业技能培训、职业介绍、康复治疗及训练、用品用具供应、法律援助、政策咨询、文化交流、文体娱乐等多方面服务的残疾人综合服务机构。</w:t>
      </w:r>
    </w:p>
    <w:p w14:paraId="45DC70B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经区人民政府批准于2000年10月成立（盘机编复〔2000〕12号文），为盘龙区残疾人联合会下属事业单位，机构规格：股级；内设机构：一室二部（办公室、就业服务部、康复服务部）；经费形式：差额拨款(财政差额拨款80%)；2017年8月经区事业单位登记管理局批准，取得事业单位法人证书，从2018年4月起机构单列，实行独立核算。</w:t>
      </w:r>
    </w:p>
    <w:p w14:paraId="263A522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（二）部门职能</w:t>
      </w:r>
    </w:p>
    <w:p w14:paraId="4D0D17A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w:t>
      </w:r>
      <w:r>
        <w:rPr>
          <w:rFonts w:ascii="仿宋_GB2312" w:hAnsi="仿宋_GB2312" w:cs="仿宋_GB2312"/>
          <w:sz w:val="32"/>
          <w:szCs w:val="32"/>
        </w:rPr>
        <w:t>.</w:t>
      </w:r>
      <w:r>
        <w:rPr>
          <w:rFonts w:hint="eastAsia" w:ascii="仿宋_GB2312" w:hAnsi="仿宋_GB2312" w:cs="仿宋_GB2312"/>
          <w:sz w:val="32"/>
          <w:szCs w:val="32"/>
        </w:rPr>
        <w:t>管理好残疾人综合服务中心大楼设施，完善中心的服务功能，为残疾人提供学文化、求知识、感情交流、增进友谊的活动场所。</w:t>
      </w:r>
    </w:p>
    <w:p w14:paraId="540AF70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w:t>
      </w:r>
      <w:r>
        <w:rPr>
          <w:rFonts w:ascii="仿宋_GB2312" w:hAnsi="仿宋_GB2312" w:cs="仿宋_GB2312"/>
          <w:sz w:val="32"/>
          <w:szCs w:val="32"/>
        </w:rPr>
        <w:t>.</w:t>
      </w:r>
      <w:r>
        <w:rPr>
          <w:rFonts w:hint="eastAsia" w:ascii="仿宋_GB2312" w:hAnsi="仿宋_GB2312" w:cs="仿宋_GB2312"/>
          <w:sz w:val="32"/>
          <w:szCs w:val="32"/>
        </w:rPr>
        <w:t>为各类残疾人提供有针对性的康复技术指导、康复治疗及训练、康复评估、转介等服务；残疾人聋儿语言康复训练服务。</w:t>
      </w:r>
    </w:p>
    <w:p w14:paraId="5A21CB2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w:t>
      </w:r>
      <w:r>
        <w:rPr>
          <w:rFonts w:ascii="仿宋_GB2312" w:hAnsi="仿宋_GB2312" w:cs="仿宋_GB2312"/>
          <w:sz w:val="32"/>
          <w:szCs w:val="32"/>
        </w:rPr>
        <w:t>.</w:t>
      </w:r>
      <w:r>
        <w:rPr>
          <w:rFonts w:hint="eastAsia" w:ascii="仿宋_GB2312" w:hAnsi="仿宋_GB2312" w:cs="仿宋_GB2312"/>
          <w:sz w:val="32"/>
          <w:szCs w:val="32"/>
        </w:rPr>
        <w:t>为辖区各类残疾人提供康复、生活辅助用具供应。</w:t>
      </w:r>
    </w:p>
    <w:p w14:paraId="1235A95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4</w:t>
      </w:r>
      <w:r>
        <w:rPr>
          <w:rFonts w:ascii="仿宋_GB2312" w:hAnsi="仿宋_GB2312" w:cs="仿宋_GB2312"/>
          <w:sz w:val="32"/>
          <w:szCs w:val="32"/>
        </w:rPr>
        <w:t>.</w:t>
      </w:r>
      <w:r>
        <w:rPr>
          <w:rFonts w:hint="eastAsia" w:ascii="仿宋_GB2312" w:hAnsi="仿宋_GB2312" w:cs="仿宋_GB2312"/>
          <w:sz w:val="32"/>
          <w:szCs w:val="32"/>
        </w:rPr>
        <w:t>做好全区残疾人职业技能培训项目和职业技术、生产技能培训，为残疾人就业、创业提供平台。</w:t>
      </w:r>
    </w:p>
    <w:p w14:paraId="5A949C9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5</w:t>
      </w:r>
      <w:r>
        <w:rPr>
          <w:rFonts w:ascii="仿宋_GB2312" w:hAnsi="仿宋_GB2312" w:cs="仿宋_GB2312"/>
          <w:sz w:val="32"/>
          <w:szCs w:val="32"/>
        </w:rPr>
        <w:t>.</w:t>
      </w:r>
      <w:r>
        <w:rPr>
          <w:rFonts w:hint="eastAsia" w:ascii="仿宋_GB2312" w:hAnsi="仿宋_GB2312" w:cs="仿宋_GB2312"/>
          <w:sz w:val="32"/>
          <w:szCs w:val="32"/>
        </w:rPr>
        <w:t>做好区“五类”残疾人协会管理工作，定期组织残疾人协会开展各种形式多样的文化体育、社会公益、信息交流、政策法规宣传等活动，充分发挥残疾人与残疾人之间、残联与协会之间桥梁和纽带作用。</w:t>
      </w:r>
    </w:p>
    <w:p w14:paraId="500E5E2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6</w:t>
      </w:r>
      <w:r>
        <w:rPr>
          <w:rFonts w:ascii="仿宋_GB2312" w:hAnsi="仿宋_GB2312" w:cs="仿宋_GB2312"/>
          <w:sz w:val="32"/>
          <w:szCs w:val="32"/>
        </w:rPr>
        <w:t>.</w:t>
      </w:r>
      <w:r>
        <w:rPr>
          <w:rFonts w:hint="eastAsia" w:ascii="仿宋_GB2312" w:hAnsi="仿宋_GB2312" w:cs="仿宋_GB2312"/>
          <w:sz w:val="32"/>
          <w:szCs w:val="32"/>
        </w:rPr>
        <w:t>宣传、贯彻残疾人保障法，为残疾人提供法律咨询、法律援助、法律服务，维护残疾人合法权益。</w:t>
      </w:r>
    </w:p>
    <w:p w14:paraId="0B89C71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（三）部门工作完成情况</w:t>
      </w:r>
    </w:p>
    <w:p w14:paraId="6A899459">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1</w:t>
      </w:r>
      <w:r>
        <w:t>.</w:t>
      </w:r>
      <w:r>
        <w:rPr>
          <w:rFonts w:hint="eastAsia"/>
        </w:rPr>
        <w:t>管好残疾人综合服务设施，服务</w:t>
      </w:r>
      <w:r>
        <w:t>来访</w:t>
      </w:r>
      <w:r>
        <w:rPr>
          <w:rFonts w:hint="eastAsia"/>
        </w:rPr>
        <w:t>群众</w:t>
      </w:r>
      <w:r>
        <w:t>和</w:t>
      </w:r>
      <w:r>
        <w:rPr>
          <w:rFonts w:hint="eastAsia"/>
        </w:rPr>
        <w:t>残疾人</w:t>
      </w:r>
      <w:r>
        <w:t>。</w:t>
      </w:r>
    </w:p>
    <w:p w14:paraId="297AAF0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我中心实行</w:t>
      </w:r>
      <w:r>
        <w:t>工作日</w:t>
      </w:r>
      <w:r>
        <w:rPr>
          <w:rFonts w:hint="eastAsia"/>
        </w:rPr>
        <w:t>8小时对象</w:t>
      </w:r>
      <w:r>
        <w:t>开放，</w:t>
      </w:r>
      <w:r>
        <w:rPr>
          <w:rFonts w:hint="eastAsia"/>
        </w:rPr>
        <w:t>为来访群众和残疾人提供服务，大楼保安人员</w:t>
      </w:r>
      <w:r>
        <w:t>24小时巡逻值班</w:t>
      </w:r>
      <w:r>
        <w:rPr>
          <w:rFonts w:hint="eastAsia"/>
        </w:rPr>
        <w:t>，进出入大楼的来访人员需进行登记；</w:t>
      </w:r>
      <w:r>
        <w:t>工作人员定期对大楼设施进行安全隐患排查，落实消防器材配备，每天人走灯熄、关好门窗</w:t>
      </w:r>
      <w:r>
        <w:rPr>
          <w:rFonts w:hint="eastAsia"/>
        </w:rPr>
        <w:t>，</w:t>
      </w:r>
      <w:r>
        <w:t>发现设施设备损坏及时维护、修理或更换，保证大楼供水、供电、供气正常，保障大楼健康运行；</w:t>
      </w:r>
      <w:r>
        <w:rPr>
          <w:rFonts w:hint="eastAsia"/>
        </w:rPr>
        <w:t>大楼保洁人员严格实行工作日</w:t>
      </w:r>
      <w:r>
        <w:t>1天2次全区域清扫、消毒，办公区域集中设置分类垃圾收集箱（桶），垃圾统一收集处理，卫生间门口设洗手台摆放专用消毒洗手液，方便来访群众及单位工作人员随时清洗双手，楼道、过道保持室内外空气流通，降低病</w:t>
      </w:r>
      <w:r>
        <w:rPr>
          <w:rFonts w:hint="eastAsia"/>
        </w:rPr>
        <w:t>病菌</w:t>
      </w:r>
      <w:r>
        <w:t>传播风险</w:t>
      </w:r>
      <w:r>
        <w:rPr>
          <w:rFonts w:hint="eastAsia"/>
        </w:rPr>
        <w:t>；</w:t>
      </w:r>
      <w:r>
        <w:t>年内组织两期职工消防安全知识培训，开展应急疏散演练，提升广大职工的安全意识。</w:t>
      </w:r>
      <w:r>
        <w:rPr>
          <w:rFonts w:hint="eastAsia"/>
        </w:rPr>
        <w:t>202</w:t>
      </w:r>
      <w:r>
        <w:t>3</w:t>
      </w:r>
      <w:r>
        <w:rPr>
          <w:rFonts w:hint="eastAsia"/>
        </w:rPr>
        <w:t>年接待来访群众和残疾人服务对象3800余</w:t>
      </w:r>
      <w:r>
        <w:t>人次</w:t>
      </w:r>
      <w:r>
        <w:rPr>
          <w:rFonts w:hint="eastAsia"/>
        </w:rPr>
        <w:t>，</w:t>
      </w:r>
      <w:r>
        <w:t>无重大安全责任</w:t>
      </w:r>
      <w:r>
        <w:rPr>
          <w:rFonts w:hint="eastAsia"/>
        </w:rPr>
        <w:t>事故</w:t>
      </w:r>
      <w:r>
        <w:t>发生。</w:t>
      </w:r>
    </w:p>
    <w:p w14:paraId="476DF10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2</w:t>
      </w:r>
      <w:r>
        <w:t>.</w:t>
      </w:r>
      <w:r>
        <w:rPr>
          <w:rFonts w:hint="eastAsia"/>
        </w:rPr>
        <w:t>继续合作开展昆明市聋儿听力语言训练康复项目</w:t>
      </w:r>
    </w:p>
    <w:p w14:paraId="19B63E46">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t>2023年我</w:t>
      </w:r>
      <w:r>
        <w:rPr>
          <w:rFonts w:hint="eastAsia"/>
        </w:rPr>
        <w:t>中心</w:t>
      </w:r>
      <w:r>
        <w:t>继续同昆明博爱聋儿康复中心合作利用我中心场地共同开展昆明市聋儿听力语言训练康复项目，全年为我市85名（盘龙区6名）0-14岁残障聋儿提供了优质的听力、语言康复训练服务，我中心负责提供项目实施所需的场地，对项目的实施进行业务指导，对服务行为、服务质量等进行监督和评估。</w:t>
      </w:r>
    </w:p>
    <w:p w14:paraId="60DF1012">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3</w:t>
      </w:r>
      <w:r>
        <w:t>.</w:t>
      </w:r>
      <w:r>
        <w:rPr>
          <w:rFonts w:hint="eastAsia"/>
        </w:rPr>
        <w:t>组织开展“五类”</w:t>
      </w:r>
      <w:r>
        <w:t>残疾人协会</w:t>
      </w:r>
      <w:r>
        <w:rPr>
          <w:rFonts w:hint="eastAsia"/>
        </w:rPr>
        <w:t>活动</w:t>
      </w:r>
    </w:p>
    <w:p w14:paraId="6F7AF96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2023年组织区“五类”残疾人协会开展了 “阳光助残</w:t>
      </w:r>
      <w:r>
        <w:t xml:space="preserve"> 携手筑梦”志愿服务活动</w:t>
      </w:r>
      <w:r>
        <w:rPr>
          <w:rFonts w:hint="eastAsia"/>
        </w:rPr>
        <w:t>、残疾人文化“五个一”活动；结合我们的节日组织残疾人开展元宵、端午、中秋等主题文化</w:t>
      </w:r>
      <w:r>
        <w:t>交流</w:t>
      </w:r>
      <w:r>
        <w:rPr>
          <w:rFonts w:hint="eastAsia"/>
        </w:rPr>
        <w:t>活动；组织残疾人观看电影《无名》《满江红》、到席子小游园开展义务劳动</w:t>
      </w:r>
      <w:r>
        <w:t>社会</w:t>
      </w:r>
      <w:r>
        <w:rPr>
          <w:rFonts w:hint="eastAsia"/>
        </w:rPr>
        <w:t>融合活动等，累计参加活动人次达</w:t>
      </w:r>
      <w:r>
        <w:t>587人</w:t>
      </w:r>
      <w:r>
        <w:rPr>
          <w:rFonts w:hint="eastAsia"/>
        </w:rPr>
        <w:t>次</w:t>
      </w:r>
      <w:r>
        <w:t>，</w:t>
      </w:r>
      <w:r>
        <w:rPr>
          <w:rFonts w:hint="eastAsia"/>
        </w:rPr>
        <w:t>丰富了我区残疾人的精神文化生活。</w:t>
      </w:r>
    </w:p>
    <w:p w14:paraId="5C5E8086">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4</w:t>
      </w:r>
      <w:r>
        <w:t>.</w:t>
      </w:r>
      <w:r>
        <w:rPr>
          <w:rFonts w:hint="eastAsia"/>
        </w:rPr>
        <w:t>配合区残疾人就业服务站开展残疾人职业技能和生产实用技术培训工作</w:t>
      </w:r>
    </w:p>
    <w:p w14:paraId="3A8796B8">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2023年我</w:t>
      </w:r>
      <w:r>
        <w:t>中心</w:t>
      </w:r>
      <w:r>
        <w:rPr>
          <w:rFonts w:hint="eastAsia"/>
        </w:rPr>
        <w:t>积极配合区残疾人就业服务站组织辖区</w:t>
      </w:r>
      <w:r>
        <w:t>159人名残疾人开展</w:t>
      </w:r>
      <w:r>
        <w:rPr>
          <w:rFonts w:hint="eastAsia"/>
        </w:rPr>
        <w:t>了</w:t>
      </w:r>
      <w:r>
        <w:t>中式烹调师、食品腌制、家居清洁</w:t>
      </w:r>
      <w:r>
        <w:rPr>
          <w:rFonts w:hint="eastAsia"/>
        </w:rPr>
        <w:t>、机动车驾驶</w:t>
      </w:r>
      <w:r>
        <w:t>为主要内容的农村实用</w:t>
      </w:r>
      <w:r>
        <w:rPr>
          <w:rFonts w:hint="eastAsia"/>
        </w:rPr>
        <w:t>生产</w:t>
      </w:r>
      <w:r>
        <w:t>技术和城镇职业技能培训</w:t>
      </w:r>
      <w:r>
        <w:rPr>
          <w:rFonts w:hint="eastAsia"/>
        </w:rPr>
        <w:t>，积极协调安排培训教室，提供完善的培训设施、设备（无线话筒、音响、投影、电视、</w:t>
      </w:r>
      <w:r>
        <w:t>Wifi等）</w:t>
      </w:r>
      <w:r>
        <w:rPr>
          <w:rFonts w:hint="eastAsia"/>
        </w:rPr>
        <w:t>，安排</w:t>
      </w:r>
      <w:r>
        <w:t>专人负责现场服务，供应饮用水、茶歇，每天两次清扫教室卫生，保持教室内清洁、空气清新，为残疾人提供优良的培训环境。</w:t>
      </w:r>
    </w:p>
    <w:p w14:paraId="12ED06E5">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5</w:t>
      </w:r>
      <w:r>
        <w:t>.</w:t>
      </w:r>
      <w:r>
        <w:rPr>
          <w:rFonts w:hint="eastAsia"/>
        </w:rPr>
        <w:t>残疾人辅具需求筛查和辅助器具适配服务工作</w:t>
      </w:r>
    </w:p>
    <w:p w14:paraId="556CE280">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t>2023</w:t>
      </w:r>
      <w:r>
        <w:rPr>
          <w:rFonts w:hint="eastAsia"/>
        </w:rPr>
        <w:t>年</w:t>
      </w:r>
      <w:r>
        <w:t>为</w:t>
      </w:r>
      <w:r>
        <w:rPr>
          <w:rFonts w:hint="eastAsia"/>
        </w:rPr>
        <w:t>提升辅助器具服务精准度，有效提高辅助器具适配率，组织开展了辖区残疾人辅具需求筛查工作，全年为辖区</w:t>
      </w:r>
      <w:r>
        <w:t>135名有辅具需求的残疾人提供辅具需求评估服务，为98人名残疾人提供辅助器具适配服务，其中10名听障残疾人适配助听器，5名肢体残疾人适配假肢，83名盲人适配盲杖，有效帮助残疾人改善及补偿残障功能。</w:t>
      </w:r>
    </w:p>
    <w:p w14:paraId="4B78531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6</w:t>
      </w:r>
      <w:r>
        <w:t>.</w:t>
      </w:r>
      <w:r>
        <w:rPr>
          <w:rFonts w:hint="eastAsia"/>
        </w:rPr>
        <w:t>健全服务形式</w:t>
      </w:r>
      <w:r>
        <w:t>，</w:t>
      </w:r>
      <w:r>
        <w:rPr>
          <w:rFonts w:hint="eastAsia"/>
        </w:rPr>
        <w:t>规范残疾人法律救助站建设</w:t>
      </w:r>
    </w:p>
    <w:p w14:paraId="6ACA3B5E">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t>2023年</w:t>
      </w:r>
      <w:r>
        <w:rPr>
          <w:rFonts w:hint="eastAsia"/>
        </w:rPr>
        <w:t>我</w:t>
      </w:r>
      <w:r>
        <w:t>中心</w:t>
      </w:r>
      <w:r>
        <w:rPr>
          <w:rFonts w:hint="eastAsia"/>
        </w:rPr>
        <w:t>积极</w:t>
      </w:r>
      <w:r>
        <w:t>配合区残联</w:t>
      </w:r>
      <w:r>
        <w:rPr>
          <w:rFonts w:hint="eastAsia"/>
        </w:rPr>
        <w:t>综合业务科开展残疾人法律救助站工作</w:t>
      </w:r>
      <w:r>
        <w:t>，</w:t>
      </w:r>
      <w:r>
        <w:rPr>
          <w:rFonts w:hint="eastAsia"/>
        </w:rPr>
        <w:t>以现场法律服务、转介法律援助、转介国家司法救助、直接提供法律救助等四种形式为残疾人提供一站式、综合性法律救助服务，积极整合资源优势，做好有效衔接，使残疾人在需要时能获得精准、及时、优质高效的帮助，进一步保障残疾人合法权益；</w:t>
      </w:r>
      <w:r>
        <w:t>全年</w:t>
      </w:r>
      <w:r>
        <w:rPr>
          <w:rFonts w:hint="eastAsia"/>
        </w:rPr>
        <w:t>处理来信、</w:t>
      </w:r>
      <w:r>
        <w:t>来访55件，办结率达100%。</w:t>
      </w:r>
    </w:p>
    <w:p w14:paraId="07502297">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rPr>
          <w:rFonts w:hint="eastAsia"/>
        </w:rPr>
        <w:t>7</w:t>
      </w:r>
      <w:r>
        <w:t>.</w:t>
      </w:r>
      <w:r>
        <w:rPr>
          <w:rFonts w:hint="eastAsia"/>
        </w:rPr>
        <w:t>积极开展节约型机关和公共机构节水单位两项创建工作</w:t>
      </w:r>
    </w:p>
    <w:p w14:paraId="1304F07A">
      <w:pPr>
        <w:keepNext w:val="0"/>
        <w:keepLines w:val="0"/>
        <w:pageBreakBefore w:val="0"/>
        <w:widowControl w:val="0"/>
        <w:kinsoku/>
        <w:wordWrap/>
        <w:overflowPunct/>
        <w:topLinePunct w:val="0"/>
        <w:autoSpaceDE/>
        <w:autoSpaceDN/>
        <w:bidi w:val="0"/>
        <w:adjustRightInd/>
        <w:snapToGrid/>
        <w:spacing w:line="600" w:lineRule="exact"/>
        <w:ind w:firstLine="600"/>
        <w:textAlignment w:val="auto"/>
      </w:pPr>
      <w:r>
        <w:t>2023年，在区残联的领导下，我</w:t>
      </w:r>
      <w:r>
        <w:rPr>
          <w:rFonts w:hint="eastAsia"/>
        </w:rPr>
        <w:t>中心继续组织</w:t>
      </w:r>
      <w:r>
        <w:t>开展节约型机关和公共机构节水单位两项创建活动</w:t>
      </w:r>
      <w:r>
        <w:rPr>
          <w:rFonts w:hint="eastAsia"/>
        </w:rPr>
        <w:t>，</w:t>
      </w:r>
      <w:r>
        <w:t>制定工作方案，细化工作措施，开展节能宣传，动员</w:t>
      </w:r>
      <w:r>
        <w:rPr>
          <w:rFonts w:hint="eastAsia"/>
        </w:rPr>
        <w:t>残联系统</w:t>
      </w:r>
      <w:r>
        <w:t>干部职工切实增强资源忧患意识、节约意识和责任意识，从节约一度电、一滴水、一升油、一张纸等点滴小事做起，勤俭办事。首先，在能源节约方面，我们采取了一系列措施。我们进行了能源的监测和测算，及时发现和解决了能源浪费的问题。通过推广使用节能设备和绿色建筑材料，有效降低了办公楼的能耗。每个办公室也组织员工节能意识培训，提醒大家关掉电源、灯光等，从个人行为入手，</w:t>
      </w:r>
      <w:r>
        <w:rPr>
          <w:rFonts w:hint="eastAsia"/>
        </w:rPr>
        <w:t>实现了节约用电的目标。其次，在资源利用方面，我们注重了办公用品的节约使用。通过智能化管理，我们及时了解到办公用品的存量和使用情况，避免了资源浪费。我们还鼓励残联</w:t>
      </w:r>
      <w:r>
        <w:t>系统</w:t>
      </w:r>
      <w:r>
        <w:rPr>
          <w:rFonts w:hint="eastAsia"/>
        </w:rPr>
        <w:t>员工减少打印，尽量使用电子文档，并提供了便利的电子文档管理系统，使文档的利用率大大提高。通过</w:t>
      </w:r>
      <w:r>
        <w:t>2022、2023两年的不懈努力，区残联机关及下属单位（含区残疾人综合服务中心）于2023年6月通过市、区两级</w:t>
      </w:r>
      <w:r>
        <w:rPr>
          <w:rFonts w:hint="eastAsia"/>
        </w:rPr>
        <w:t>水</w:t>
      </w:r>
      <w:r>
        <w:t>务局和节水办检查验收，被评为“2022年度节水型单位”；于2023年9月被国家机关事务管理局、中央直属机关事务管理局、国家发改委和</w:t>
      </w:r>
      <w:r>
        <w:rPr>
          <w:rFonts w:hint="eastAsia"/>
          <w:lang w:eastAsia="zh-CN"/>
        </w:rPr>
        <w:t>财政部</w:t>
      </w:r>
      <w:r>
        <w:t>联合授予全国</w:t>
      </w:r>
      <w:r>
        <w:rPr>
          <w:rFonts w:hint="eastAsia"/>
        </w:rPr>
        <w:t>“节约型机关”称号，颁发“节约型机关”证书；节约型机关和公共机构节水单位两项创建活动取得良好成果。</w:t>
      </w:r>
    </w:p>
    <w:p w14:paraId="6DF1935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（四）部门管理制度</w:t>
      </w:r>
    </w:p>
    <w:p w14:paraId="7707AFA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内部管理制度》、《盘龙区残疾人综合服务中心“三重一大”集体决策制度》、《盘龙区残疾人综合服务中心办公会议事规则》、《盘龙区残疾人综合服务中心财务管理制度（试行）》等。</w:t>
      </w:r>
    </w:p>
    <w:p w14:paraId="6C97694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（五）部门资金来源及使用情况</w:t>
      </w:r>
    </w:p>
    <w:p w14:paraId="50E56B7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1.部门资金来源。</w:t>
      </w:r>
    </w:p>
    <w:p w14:paraId="574B5FD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3</w:t>
      </w:r>
      <w:r>
        <w:rPr>
          <w:rFonts w:hint="eastAsia" w:ascii="仿宋_GB2312" w:hAnsi="仿宋_GB2312" w:cs="仿宋_GB2312"/>
          <w:sz w:val="32"/>
          <w:szCs w:val="32"/>
        </w:rPr>
        <w:t>年盘龙区残疾人综合服务中心资金收入共计</w:t>
      </w:r>
      <w:r>
        <w:rPr>
          <w:rFonts w:ascii="仿宋_GB2312" w:hAnsi="仿宋_GB2312" w:cs="仿宋_GB2312"/>
          <w:sz w:val="32"/>
          <w:szCs w:val="32"/>
        </w:rPr>
        <w:t>60.57</w:t>
      </w:r>
      <w:r>
        <w:rPr>
          <w:rFonts w:hint="eastAsia" w:ascii="仿宋_GB2312" w:hAnsi="仿宋_GB2312" w:cs="仿宋_GB2312"/>
          <w:sz w:val="32"/>
          <w:szCs w:val="32"/>
        </w:rPr>
        <w:t>万元，来源主要有区级预算收入、纳入预算管理的非税收入和上级转移支付资金。</w:t>
      </w:r>
    </w:p>
    <w:p w14:paraId="4500A91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3</w:t>
      </w:r>
      <w:r>
        <w:rPr>
          <w:rFonts w:hint="eastAsia" w:ascii="仿宋_GB2312" w:hAnsi="仿宋_GB2312" w:cs="仿宋_GB2312"/>
          <w:sz w:val="32"/>
          <w:szCs w:val="32"/>
        </w:rPr>
        <w:t>年初下达预算收入</w:t>
      </w:r>
      <w:r>
        <w:rPr>
          <w:rFonts w:ascii="仿宋_GB2312" w:hAnsi="仿宋_GB2312" w:cs="仿宋_GB2312"/>
          <w:sz w:val="32"/>
          <w:szCs w:val="32"/>
        </w:rPr>
        <w:t>106.54</w:t>
      </w:r>
      <w:r>
        <w:rPr>
          <w:rFonts w:hint="eastAsia" w:ascii="仿宋_GB2312" w:hAnsi="仿宋_GB2312" w:cs="仿宋_GB2312"/>
          <w:sz w:val="32"/>
          <w:szCs w:val="32"/>
        </w:rPr>
        <w:t>万元，年中调整追减预算收入</w:t>
      </w:r>
      <w:r>
        <w:rPr>
          <w:rFonts w:ascii="仿宋_GB2312" w:hAnsi="仿宋_GB2312" w:cs="仿宋_GB2312"/>
          <w:sz w:val="32"/>
          <w:szCs w:val="32"/>
        </w:rPr>
        <w:t>45.97</w:t>
      </w:r>
      <w:r>
        <w:rPr>
          <w:rFonts w:hint="eastAsia" w:ascii="仿宋_GB2312" w:hAnsi="仿宋_GB2312" w:cs="仿宋_GB2312"/>
          <w:sz w:val="32"/>
          <w:szCs w:val="32"/>
        </w:rPr>
        <w:t>万元，年末执行预算收入合计</w:t>
      </w:r>
      <w:r>
        <w:rPr>
          <w:rFonts w:ascii="仿宋_GB2312" w:hAnsi="仿宋_GB2312" w:cs="仿宋_GB2312"/>
          <w:sz w:val="32"/>
          <w:szCs w:val="32"/>
        </w:rPr>
        <w:t>60.57</w:t>
      </w:r>
      <w:r>
        <w:rPr>
          <w:rFonts w:hint="eastAsia" w:ascii="仿宋_GB2312" w:hAnsi="仿宋_GB2312" w:cs="仿宋_GB2312"/>
          <w:sz w:val="32"/>
          <w:szCs w:val="32"/>
        </w:rPr>
        <w:t>万元，其中：一般公共预算财政拨款收入</w:t>
      </w:r>
      <w:r>
        <w:rPr>
          <w:rFonts w:ascii="仿宋_GB2312" w:hAnsi="仿宋_GB2312" w:cs="仿宋_GB2312"/>
          <w:sz w:val="32"/>
          <w:szCs w:val="32"/>
        </w:rPr>
        <w:t>56.73</w:t>
      </w:r>
      <w:r>
        <w:rPr>
          <w:rFonts w:hint="eastAsia" w:ascii="仿宋_GB2312" w:hAnsi="仿宋_GB2312" w:cs="仿宋_GB2312"/>
          <w:sz w:val="32"/>
          <w:szCs w:val="32"/>
        </w:rPr>
        <w:t>万元、其他收入：</w:t>
      </w:r>
      <w:r>
        <w:rPr>
          <w:rFonts w:ascii="仿宋_GB2312" w:hAnsi="仿宋_GB2312" w:cs="仿宋_GB2312"/>
          <w:sz w:val="32"/>
          <w:szCs w:val="32"/>
        </w:rPr>
        <w:t>3.84</w:t>
      </w:r>
      <w:r>
        <w:rPr>
          <w:rFonts w:hint="eastAsia" w:ascii="仿宋_GB2312" w:hAnsi="仿宋_GB2312" w:cs="仿宋_GB2312"/>
          <w:sz w:val="32"/>
          <w:szCs w:val="32"/>
        </w:rPr>
        <w:t>万元。</w:t>
      </w:r>
    </w:p>
    <w:p w14:paraId="3D57000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2.部门资金使用情况。</w:t>
      </w:r>
    </w:p>
    <w:p w14:paraId="53386FC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3</w:t>
      </w:r>
      <w:r>
        <w:rPr>
          <w:rFonts w:hint="eastAsia" w:ascii="仿宋_GB2312" w:hAnsi="仿宋_GB2312" w:cs="仿宋_GB2312"/>
          <w:sz w:val="32"/>
          <w:szCs w:val="32"/>
        </w:rPr>
        <w:t>年经费共计支出</w:t>
      </w:r>
      <w:r>
        <w:rPr>
          <w:rFonts w:ascii="仿宋_GB2312" w:hAnsi="仿宋_GB2312" w:cs="仿宋_GB2312"/>
          <w:sz w:val="32"/>
          <w:szCs w:val="32"/>
        </w:rPr>
        <w:t>62.75</w:t>
      </w:r>
      <w:r>
        <w:rPr>
          <w:rFonts w:hint="eastAsia" w:ascii="仿宋_GB2312" w:hAnsi="仿宋_GB2312" w:cs="仿宋_GB2312"/>
          <w:sz w:val="32"/>
          <w:szCs w:val="32"/>
        </w:rPr>
        <w:t>万元，其中：基本支出</w:t>
      </w:r>
      <w:r>
        <w:rPr>
          <w:rFonts w:ascii="仿宋_GB2312" w:hAnsi="仿宋_GB2312" w:cs="仿宋_GB2312"/>
          <w:sz w:val="32"/>
          <w:szCs w:val="32"/>
        </w:rPr>
        <w:t>52.89</w:t>
      </w:r>
      <w:r>
        <w:rPr>
          <w:rFonts w:hint="eastAsia" w:ascii="仿宋_GB2312" w:hAnsi="仿宋_GB2312" w:cs="仿宋_GB2312"/>
          <w:sz w:val="32"/>
          <w:szCs w:val="32"/>
        </w:rPr>
        <w:t>万元、项目支出</w:t>
      </w:r>
      <w:r>
        <w:rPr>
          <w:rFonts w:ascii="仿宋_GB2312" w:hAnsi="仿宋_GB2312" w:cs="仿宋_GB2312"/>
          <w:sz w:val="32"/>
          <w:szCs w:val="32"/>
        </w:rPr>
        <w:t>9.86</w:t>
      </w:r>
      <w:r>
        <w:rPr>
          <w:rFonts w:hint="eastAsia" w:ascii="仿宋_GB2312" w:hAnsi="仿宋_GB2312" w:cs="仿宋_GB2312"/>
          <w:sz w:val="32"/>
          <w:szCs w:val="32"/>
        </w:rPr>
        <w:t>万元（全部</w:t>
      </w:r>
      <w:r>
        <w:rPr>
          <w:rFonts w:ascii="仿宋_GB2312" w:hAnsi="仿宋_GB2312" w:cs="仿宋_GB2312"/>
          <w:sz w:val="32"/>
          <w:szCs w:val="32"/>
        </w:rPr>
        <w:t>为</w:t>
      </w:r>
      <w:r>
        <w:rPr>
          <w:rFonts w:hint="eastAsia" w:ascii="仿宋_GB2312" w:hAnsi="仿宋_GB2312" w:cs="仿宋_GB2312"/>
          <w:sz w:val="32"/>
          <w:szCs w:val="32"/>
        </w:rPr>
        <w:t>其他残疾人事业支出项目）。</w:t>
      </w:r>
    </w:p>
    <w:p w14:paraId="54FF41A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（六）政府采购情况</w:t>
      </w:r>
    </w:p>
    <w:p w14:paraId="2C1EBC1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盘龙区残疾人综合服务中心2022年无政府采购。</w:t>
      </w:r>
    </w:p>
    <w:p w14:paraId="6C13C09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（七）固定资产情况</w:t>
      </w:r>
    </w:p>
    <w:p w14:paraId="3C3B989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截至202</w:t>
      </w:r>
      <w:r>
        <w:rPr>
          <w:rFonts w:ascii="仿宋_GB2312" w:hAnsi="仿宋_GB2312" w:cs="仿宋_GB2312"/>
          <w:sz w:val="32"/>
          <w:szCs w:val="32"/>
        </w:rPr>
        <w:t>3</w:t>
      </w:r>
      <w:r>
        <w:rPr>
          <w:rFonts w:hint="eastAsia" w:ascii="仿宋_GB2312" w:hAnsi="仿宋_GB2312" w:cs="仿宋_GB2312"/>
          <w:sz w:val="32"/>
          <w:szCs w:val="32"/>
        </w:rPr>
        <w:t>年12月31日，昆明市盘龙区残疾人综合服务中心固定资产原值</w:t>
      </w:r>
      <w:r>
        <w:rPr>
          <w:rFonts w:ascii="仿宋_GB2312" w:hAnsi="仿宋_GB2312" w:cs="仿宋_GB2312"/>
          <w:sz w:val="32"/>
          <w:szCs w:val="32"/>
        </w:rPr>
        <w:t>3.24</w:t>
      </w:r>
      <w:r>
        <w:rPr>
          <w:rFonts w:hint="eastAsia" w:ascii="仿宋_GB2312" w:hAnsi="仿宋_GB2312" w:cs="仿宋_GB2312"/>
          <w:sz w:val="32"/>
          <w:szCs w:val="32"/>
        </w:rPr>
        <w:t>万元，固定资产累计折旧</w:t>
      </w:r>
      <w:r>
        <w:rPr>
          <w:rFonts w:ascii="仿宋_GB2312" w:hAnsi="仿宋_GB2312" w:cs="仿宋_GB2312"/>
          <w:sz w:val="32"/>
          <w:szCs w:val="32"/>
        </w:rPr>
        <w:t>0.72</w:t>
      </w:r>
      <w:r>
        <w:rPr>
          <w:rFonts w:hint="eastAsia" w:ascii="仿宋_GB2312" w:hAnsi="仿宋_GB2312" w:cs="仿宋_GB2312"/>
          <w:sz w:val="32"/>
          <w:szCs w:val="32"/>
        </w:rPr>
        <w:t>万元，固定资产净值为</w:t>
      </w:r>
      <w:r>
        <w:rPr>
          <w:rFonts w:ascii="仿宋_GB2312" w:hAnsi="仿宋_GB2312" w:cs="仿宋_GB2312"/>
          <w:sz w:val="32"/>
          <w:szCs w:val="32"/>
        </w:rPr>
        <w:t>2.52</w:t>
      </w:r>
      <w:r>
        <w:rPr>
          <w:rFonts w:hint="eastAsia" w:ascii="仿宋_GB2312" w:hAnsi="仿宋_GB2312" w:cs="仿宋_GB2312"/>
          <w:sz w:val="32"/>
          <w:szCs w:val="32"/>
        </w:rPr>
        <w:t>万元；无形资产</w:t>
      </w:r>
      <w:r>
        <w:rPr>
          <w:rFonts w:ascii="仿宋_GB2312" w:hAnsi="仿宋_GB2312" w:cs="仿宋_GB2312"/>
          <w:sz w:val="32"/>
          <w:szCs w:val="32"/>
        </w:rPr>
        <w:t>0.68</w:t>
      </w:r>
      <w:r>
        <w:rPr>
          <w:rFonts w:hint="eastAsia" w:ascii="仿宋_GB2312" w:hAnsi="仿宋_GB2312" w:cs="仿宋_GB2312"/>
          <w:sz w:val="32"/>
          <w:szCs w:val="32"/>
        </w:rPr>
        <w:t>万元，无形资产累计摊销</w:t>
      </w:r>
      <w:r>
        <w:rPr>
          <w:rFonts w:ascii="仿宋_GB2312" w:hAnsi="仿宋_GB2312" w:cs="仿宋_GB2312"/>
          <w:sz w:val="32"/>
          <w:szCs w:val="32"/>
        </w:rPr>
        <w:t>0.64</w:t>
      </w:r>
      <w:r>
        <w:rPr>
          <w:rFonts w:hint="eastAsia" w:ascii="仿宋_GB2312" w:hAnsi="仿宋_GB2312" w:cs="仿宋_GB2312"/>
          <w:sz w:val="32"/>
          <w:szCs w:val="32"/>
        </w:rPr>
        <w:t>万元，无形资产净值为</w:t>
      </w:r>
      <w:r>
        <w:rPr>
          <w:rFonts w:ascii="仿宋_GB2312" w:hAnsi="仿宋_GB2312" w:cs="仿宋_GB2312"/>
          <w:sz w:val="32"/>
          <w:szCs w:val="32"/>
        </w:rPr>
        <w:t>0.38</w:t>
      </w:r>
      <w:r>
        <w:rPr>
          <w:rFonts w:hint="eastAsia" w:ascii="仿宋_GB2312" w:hAnsi="仿宋_GB2312" w:cs="仿宋_GB2312"/>
          <w:sz w:val="32"/>
          <w:szCs w:val="32"/>
        </w:rPr>
        <w:t>万元。202</w:t>
      </w:r>
      <w:r>
        <w:rPr>
          <w:rFonts w:ascii="仿宋_GB2312" w:hAnsi="仿宋_GB2312" w:cs="仿宋_GB2312"/>
          <w:sz w:val="32"/>
          <w:szCs w:val="32"/>
        </w:rPr>
        <w:t>3</w:t>
      </w:r>
      <w:r>
        <w:rPr>
          <w:rFonts w:hint="eastAsia" w:ascii="仿宋_GB2312" w:hAnsi="仿宋_GB2312" w:cs="仿宋_GB2312"/>
          <w:sz w:val="32"/>
          <w:szCs w:val="32"/>
        </w:rPr>
        <w:t>年无新增固定资产和无形资产。</w:t>
      </w:r>
    </w:p>
    <w:p w14:paraId="422E124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二、绩效目标</w:t>
      </w:r>
    </w:p>
    <w:p w14:paraId="133109C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（一）部门总目标</w:t>
      </w:r>
    </w:p>
    <w:p w14:paraId="5387885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为辖区残疾人提供职业技能培训、职业介绍、康复治疗及训练、用品用具供应、法律援助、政策咨询、文化交流、文体娱乐等多方面服务的残疾人综合服务。</w:t>
      </w:r>
    </w:p>
    <w:p w14:paraId="5DF0595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（二）部门项目具体计划目标</w:t>
      </w:r>
    </w:p>
    <w:p w14:paraId="7DE7F19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1.维护管理残疾人综合服务设施和做好安全保卫工作。</w:t>
      </w:r>
    </w:p>
    <w:p w14:paraId="28BD2FE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2.组织开展“五类”残疾人协会活动。</w:t>
      </w:r>
    </w:p>
    <w:p w14:paraId="565FD01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3.继续合作开展昆明市聋儿听力语言训练康复项目。</w:t>
      </w:r>
    </w:p>
    <w:p w14:paraId="15528AE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4.健全服务形式，规范残疾人法律救助站建设。</w:t>
      </w:r>
    </w:p>
    <w:p w14:paraId="0113DA8D">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仿宋_GB2312" w:hAnsi="仿宋_GB2312" w:cs="仿宋_GB2312"/>
          <w:sz w:val="32"/>
          <w:szCs w:val="32"/>
        </w:rPr>
      </w:pPr>
      <w:r>
        <w:rPr>
          <w:rFonts w:ascii="仿宋_GB2312" w:hAnsi="仿宋_GB2312" w:cs="仿宋_GB2312"/>
          <w:sz w:val="32"/>
          <w:szCs w:val="32"/>
        </w:rPr>
        <w:t>5</w:t>
      </w:r>
      <w:r>
        <w:rPr>
          <w:rFonts w:hint="eastAsia" w:ascii="仿宋_GB2312" w:hAnsi="仿宋_GB2312" w:cs="仿宋_GB2312"/>
          <w:sz w:val="32"/>
          <w:szCs w:val="32"/>
        </w:rPr>
        <w:t>.残疾人辅具需求筛查和辅助器具适配服务工作。</w:t>
      </w:r>
    </w:p>
    <w:p w14:paraId="5497ED2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ascii="仿宋_GB2312" w:hAnsi="仿宋_GB2312" w:cs="仿宋_GB2312"/>
          <w:sz w:val="32"/>
          <w:szCs w:val="32"/>
        </w:rPr>
        <w:t>6</w:t>
      </w:r>
      <w:r>
        <w:rPr>
          <w:rFonts w:hint="eastAsia" w:ascii="仿宋_GB2312" w:hAnsi="仿宋_GB2312" w:cs="仿宋_GB2312"/>
          <w:sz w:val="32"/>
          <w:szCs w:val="32"/>
        </w:rPr>
        <w:t>.配合区残疾人就业服务站开展残疾人职业技能和生产实用技术培训工作。</w:t>
      </w:r>
    </w:p>
    <w:p w14:paraId="437197B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ascii="仿宋_GB2312" w:hAnsi="仿宋_GB2312" w:cs="仿宋_GB2312"/>
          <w:sz w:val="32"/>
          <w:szCs w:val="32"/>
        </w:rPr>
        <w:t>7</w:t>
      </w:r>
      <w:r>
        <w:rPr>
          <w:rFonts w:hint="eastAsia" w:ascii="仿宋_GB2312" w:hAnsi="仿宋_GB2312" w:cs="仿宋_GB2312"/>
          <w:sz w:val="32"/>
          <w:szCs w:val="32"/>
        </w:rPr>
        <w:t>.积极开展节约型机关和公共机构节水单位两项创建工作。</w:t>
      </w:r>
    </w:p>
    <w:p w14:paraId="22262D6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三、评价思路和过程</w:t>
      </w:r>
    </w:p>
    <w:p w14:paraId="119981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（一）评价思路</w:t>
      </w:r>
    </w:p>
    <w:p w14:paraId="4FD6C2F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确认当年度部门整体支出的绩效目标→梳理部门内部管理制度及存量资源→分析确定当年度部门整体支出的评价重点→构建绩效评价指标体系。</w:t>
      </w:r>
    </w:p>
    <w:p w14:paraId="69BCC32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（二）评价目的</w:t>
      </w:r>
    </w:p>
    <w:p w14:paraId="48ADC18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通过收集单位基本情况、202</w:t>
      </w:r>
      <w:r>
        <w:rPr>
          <w:rFonts w:ascii="仿宋_GB2312" w:hAnsi="仿宋_GB2312" w:cs="仿宋_GB2312"/>
          <w:sz w:val="32"/>
          <w:szCs w:val="32"/>
        </w:rPr>
        <w:t>3</w:t>
      </w:r>
      <w:r>
        <w:rPr>
          <w:rFonts w:hint="eastAsia" w:ascii="仿宋_GB2312" w:hAnsi="仿宋_GB2312" w:cs="仿宋_GB2312"/>
          <w:sz w:val="32"/>
          <w:szCs w:val="32"/>
        </w:rPr>
        <w:t>年预算制定与预算明细、202</w:t>
      </w:r>
      <w:r>
        <w:rPr>
          <w:rFonts w:ascii="仿宋_GB2312" w:hAnsi="仿宋_GB2312" w:cs="仿宋_GB2312"/>
          <w:sz w:val="32"/>
          <w:szCs w:val="32"/>
        </w:rPr>
        <w:t>3</w:t>
      </w:r>
      <w:r>
        <w:rPr>
          <w:rFonts w:hint="eastAsia" w:ascii="仿宋_GB2312" w:hAnsi="仿宋_GB2312" w:cs="仿宋_GB2312"/>
          <w:sz w:val="32"/>
          <w:szCs w:val="32"/>
        </w:rPr>
        <w:t>年年度工作计划及组织架构等信息，分析本单位资源配置的合理性及中长期规划目标完成与履职情况，总结经验做法，找出预算绩效管理中的薄弱环节，提出改进建议，提高财政资金的使用效益。</w:t>
      </w:r>
    </w:p>
    <w:p w14:paraId="6A9F03A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（三）评价依据</w:t>
      </w:r>
    </w:p>
    <w:p w14:paraId="0EFAC2D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盘龙区残疾人综合服务中心202</w:t>
      </w:r>
      <w:r>
        <w:rPr>
          <w:rFonts w:ascii="仿宋_GB2312" w:hAnsi="仿宋_GB2312" w:cs="仿宋_GB2312"/>
          <w:sz w:val="32"/>
          <w:szCs w:val="32"/>
        </w:rPr>
        <w:t>3</w:t>
      </w:r>
      <w:r>
        <w:rPr>
          <w:rFonts w:hint="eastAsia" w:ascii="仿宋_GB2312" w:hAnsi="仿宋_GB2312" w:cs="仿宋_GB2312"/>
          <w:sz w:val="32"/>
          <w:szCs w:val="32"/>
        </w:rPr>
        <w:t>年整体绩效评价主要依据是参照：《昆明市盘龙区财政局关于下达202</w:t>
      </w:r>
      <w:r>
        <w:rPr>
          <w:rFonts w:ascii="仿宋_GB2312" w:hAnsi="仿宋_GB2312" w:cs="仿宋_GB2312"/>
          <w:sz w:val="32"/>
          <w:szCs w:val="32"/>
        </w:rPr>
        <w:t>3</w:t>
      </w:r>
      <w:r>
        <w:rPr>
          <w:rFonts w:hint="eastAsia" w:ascii="仿宋_GB2312" w:hAnsi="仿宋_GB2312" w:cs="仿宋_GB2312"/>
          <w:sz w:val="32"/>
          <w:szCs w:val="32"/>
        </w:rPr>
        <w:t>年部门预算的批复》（盘财〔202</w:t>
      </w:r>
      <w:r>
        <w:rPr>
          <w:rFonts w:ascii="仿宋_GB2312" w:hAnsi="仿宋_GB2312" w:cs="仿宋_GB2312"/>
          <w:sz w:val="32"/>
          <w:szCs w:val="32"/>
        </w:rPr>
        <w:t>3</w:t>
      </w:r>
      <w:r>
        <w:rPr>
          <w:rFonts w:hint="eastAsia" w:ascii="仿宋_GB2312" w:hAnsi="仿宋_GB2312" w:cs="仿宋_GB2312"/>
          <w:sz w:val="32"/>
          <w:szCs w:val="32"/>
        </w:rPr>
        <w:t>〕1号）、《昆明市盘龙区财政局关于开展2023年度区级预算支出绩效自评工作的通知》（盘财绩〔202</w:t>
      </w:r>
      <w:r>
        <w:rPr>
          <w:rFonts w:ascii="仿宋_GB2312" w:hAnsi="仿宋_GB2312" w:cs="仿宋_GB2312"/>
          <w:sz w:val="32"/>
          <w:szCs w:val="32"/>
        </w:rPr>
        <w:t>4</w:t>
      </w:r>
      <w:r>
        <w:rPr>
          <w:rFonts w:hint="eastAsia" w:ascii="仿宋_GB2312" w:hAnsi="仿宋_GB2312" w:cs="仿宋_GB2312"/>
          <w:sz w:val="32"/>
          <w:szCs w:val="32"/>
        </w:rPr>
        <w:t>〕</w:t>
      </w:r>
      <w:r>
        <w:rPr>
          <w:rFonts w:ascii="仿宋_GB2312" w:hAnsi="仿宋_GB2312" w:cs="仿宋_GB2312"/>
          <w:sz w:val="32"/>
          <w:szCs w:val="32"/>
        </w:rPr>
        <w:t>5</w:t>
      </w:r>
      <w:r>
        <w:rPr>
          <w:rFonts w:hint="eastAsia" w:ascii="仿宋_GB2312" w:hAnsi="仿宋_GB2312" w:cs="仿宋_GB2312"/>
          <w:sz w:val="32"/>
          <w:szCs w:val="32"/>
        </w:rPr>
        <w:t>号）、《盘龙区区级部门预算绩效自评管理暂行办法》（盘财〔2018〕71号）、202</w:t>
      </w:r>
      <w:r>
        <w:rPr>
          <w:rFonts w:ascii="仿宋_GB2312" w:hAnsi="仿宋_GB2312" w:cs="仿宋_GB2312"/>
          <w:sz w:val="32"/>
          <w:szCs w:val="32"/>
        </w:rPr>
        <w:t>3</w:t>
      </w:r>
      <w:r>
        <w:rPr>
          <w:rFonts w:hint="eastAsia" w:ascii="仿宋_GB2312" w:hAnsi="仿宋_GB2312" w:cs="仿宋_GB2312"/>
          <w:sz w:val="32"/>
          <w:szCs w:val="32"/>
        </w:rPr>
        <w:t>年度盘龙区残疾人综合服务中心预算执行情况表、202</w:t>
      </w:r>
      <w:r>
        <w:rPr>
          <w:rFonts w:ascii="仿宋_GB2312" w:hAnsi="仿宋_GB2312" w:cs="仿宋_GB2312"/>
          <w:sz w:val="32"/>
          <w:szCs w:val="32"/>
        </w:rPr>
        <w:t>3</w:t>
      </w:r>
      <w:r>
        <w:rPr>
          <w:rFonts w:hint="eastAsia" w:ascii="仿宋_GB2312" w:hAnsi="仿宋_GB2312" w:cs="仿宋_GB2312"/>
          <w:sz w:val="32"/>
          <w:szCs w:val="32"/>
        </w:rPr>
        <w:t>年1-12月预算绩效跟踪表、中央、省、市、区党委政府对部门或项目的相关要求等，对202</w:t>
      </w:r>
      <w:r>
        <w:rPr>
          <w:rFonts w:ascii="仿宋_GB2312" w:hAnsi="仿宋_GB2312" w:cs="仿宋_GB2312"/>
          <w:sz w:val="32"/>
          <w:szCs w:val="32"/>
        </w:rPr>
        <w:t>3</w:t>
      </w:r>
      <w:r>
        <w:rPr>
          <w:rFonts w:hint="eastAsia" w:ascii="仿宋_GB2312" w:hAnsi="仿宋_GB2312" w:cs="仿宋_GB2312"/>
          <w:sz w:val="32"/>
          <w:szCs w:val="32"/>
        </w:rPr>
        <w:t>年度预算支出情况进行分析评价。</w:t>
      </w:r>
    </w:p>
    <w:p w14:paraId="7C34911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（四）评价对象及评价时段</w:t>
      </w:r>
    </w:p>
    <w:p w14:paraId="0E2E5BD4">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盘龙区残疾人综合服务中心对202</w:t>
      </w:r>
      <w:r>
        <w:rPr>
          <w:rFonts w:ascii="仿宋_GB2312" w:hAnsi="仿宋_GB2312" w:cs="仿宋_GB2312"/>
          <w:sz w:val="32"/>
          <w:szCs w:val="32"/>
        </w:rPr>
        <w:t>3</w:t>
      </w:r>
      <w:r>
        <w:rPr>
          <w:rFonts w:hint="eastAsia" w:ascii="仿宋_GB2312" w:hAnsi="仿宋_GB2312" w:cs="仿宋_GB2312"/>
          <w:sz w:val="32"/>
          <w:szCs w:val="32"/>
        </w:rPr>
        <w:t>年度区级预算安排的基本支出、项目支出进行评价。评价分为季度评价和年度评价，每个季度对整体支出绩效和项目支出绩效跟踪，及时将跟踪结果反馈区级财政部门，年度终了，对整个会计年度的支出情况做全面绩效分析。</w:t>
      </w:r>
    </w:p>
    <w:p w14:paraId="73BA841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四、评价结论和绩效分析</w:t>
      </w:r>
    </w:p>
    <w:p w14:paraId="4887882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（一）评价结论</w:t>
      </w:r>
    </w:p>
    <w:p w14:paraId="03813554">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1.评价结果</w:t>
      </w:r>
    </w:p>
    <w:p w14:paraId="0B7CB7E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202</w:t>
      </w:r>
      <w:r>
        <w:rPr>
          <w:rFonts w:ascii="仿宋_GB2312" w:hAnsi="仿宋_GB2312" w:cs="仿宋_GB2312"/>
          <w:sz w:val="32"/>
          <w:szCs w:val="32"/>
        </w:rPr>
        <w:t>3</w:t>
      </w:r>
      <w:r>
        <w:rPr>
          <w:rFonts w:hint="eastAsia" w:ascii="仿宋_GB2312" w:hAnsi="仿宋_GB2312" w:cs="仿宋_GB2312"/>
          <w:sz w:val="32"/>
          <w:szCs w:val="32"/>
        </w:rPr>
        <w:t>年残疾人基本支出和项目支出资金使用严格按照</w:t>
      </w:r>
      <w:r>
        <w:rPr>
          <w:rFonts w:hint="eastAsia" w:ascii="仿宋_GB2312" w:hAnsi="仿宋_GB2312" w:cs="仿宋_GB2312"/>
          <w:sz w:val="32"/>
          <w:szCs w:val="32"/>
          <w:lang w:eastAsia="zh-CN"/>
        </w:rPr>
        <w:t>《中华人民共和国预算法》</w:t>
      </w:r>
      <w:r>
        <w:rPr>
          <w:rFonts w:hint="eastAsia" w:ascii="仿宋_GB2312" w:hAnsi="仿宋_GB2312" w:cs="仿宋_GB2312"/>
          <w:sz w:val="32"/>
          <w:szCs w:val="32"/>
        </w:rPr>
        <w:t>、</w:t>
      </w:r>
      <w:r>
        <w:rPr>
          <w:rFonts w:hint="eastAsia" w:ascii="仿宋_GB2312" w:hAnsi="仿宋_GB2312" w:cs="仿宋_GB2312"/>
          <w:sz w:val="32"/>
          <w:szCs w:val="32"/>
          <w:lang w:eastAsia="zh-CN"/>
        </w:rPr>
        <w:t>《中华人民共和国会计法》</w:t>
      </w:r>
      <w:r>
        <w:rPr>
          <w:rFonts w:hint="eastAsia" w:ascii="仿宋_GB2312" w:hAnsi="仿宋_GB2312" w:cs="仿宋_GB2312"/>
          <w:sz w:val="32"/>
          <w:szCs w:val="32"/>
        </w:rPr>
        <w:t>执行，符合中央、省、市文件要求，财政资金的投入，进一步完善了为残疾人服务体系，提高了残疾人服务水平，不断改善对残疾人的服务，增加残疾人幸福感和社会参与感，促进残疾人全面发展。本单位整体绩效指标评价体系总分100分，自评得分100分。</w:t>
      </w:r>
    </w:p>
    <w:p w14:paraId="53B1CE3C">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2.主要绩效</w:t>
      </w:r>
    </w:p>
    <w:p w14:paraId="542ACF37">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w:t>
      </w:r>
      <w:r>
        <w:rPr>
          <w:rFonts w:hint="eastAsia"/>
        </w:rPr>
        <w:t xml:space="preserve"> </w:t>
      </w:r>
      <w:r>
        <w:rPr>
          <w:rFonts w:hint="eastAsia" w:ascii="仿宋_GB2312" w:hAnsi="仿宋_GB2312" w:cs="仿宋_GB2312"/>
          <w:sz w:val="32"/>
          <w:szCs w:val="32"/>
        </w:rPr>
        <w:t>管好残疾人综合服务设施，服务来访群众和残疾人。全年接待来访群众和残疾人服务对象3800余人次，无重大安全责任事故发生。</w:t>
      </w:r>
    </w:p>
    <w:p w14:paraId="625D048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w:t>
      </w:r>
      <w:r>
        <w:rPr>
          <w:rFonts w:ascii="仿宋_GB2312" w:hAnsi="仿宋_GB2312" w:cs="仿宋_GB2312"/>
          <w:sz w:val="32"/>
          <w:szCs w:val="32"/>
        </w:rPr>
        <w:t>2</w:t>
      </w:r>
      <w:r>
        <w:rPr>
          <w:rFonts w:hint="eastAsia" w:ascii="仿宋_GB2312" w:hAnsi="仿宋_GB2312" w:cs="仿宋_GB2312"/>
          <w:sz w:val="32"/>
          <w:szCs w:val="32"/>
        </w:rPr>
        <w:t>）继续合作开展昆明市聋儿听力语言训练康复项目</w:t>
      </w:r>
      <w:r>
        <w:rPr>
          <w:rFonts w:ascii="仿宋_GB2312" w:hAnsi="仿宋_GB2312" w:cs="仿宋_GB2312"/>
          <w:sz w:val="32"/>
          <w:szCs w:val="32"/>
        </w:rPr>
        <w:t>,</w:t>
      </w:r>
      <w:r>
        <w:rPr>
          <w:rFonts w:hint="eastAsia" w:ascii="仿宋_GB2312" w:hAnsi="仿宋_GB2312" w:cs="仿宋_GB2312"/>
          <w:sz w:val="32"/>
          <w:szCs w:val="32"/>
        </w:rPr>
        <w:t>全年为我市85名（盘龙区6名）0-14残障聋儿提供了优质的听力、语言康复训练服务。</w:t>
      </w:r>
    </w:p>
    <w:p w14:paraId="157C4DF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w:t>
      </w:r>
      <w:r>
        <w:rPr>
          <w:rFonts w:ascii="仿宋_GB2312" w:hAnsi="仿宋_GB2312" w:cs="仿宋_GB2312"/>
          <w:sz w:val="32"/>
          <w:szCs w:val="32"/>
        </w:rPr>
        <w:t>3</w:t>
      </w:r>
      <w:r>
        <w:rPr>
          <w:rFonts w:hint="eastAsia" w:ascii="仿宋_GB2312" w:hAnsi="仿宋_GB2312" w:cs="仿宋_GB2312"/>
          <w:sz w:val="32"/>
          <w:szCs w:val="32"/>
        </w:rPr>
        <w:t>）组织区“五类”残疾人协会开展了志愿者服务、文化交流、观影娱乐、义务劳动、社会融合等形式</w:t>
      </w:r>
      <w:r>
        <w:rPr>
          <w:rFonts w:ascii="仿宋_GB2312" w:hAnsi="仿宋_GB2312" w:cs="仿宋_GB2312"/>
          <w:sz w:val="32"/>
          <w:szCs w:val="32"/>
        </w:rPr>
        <w:t>多样</w:t>
      </w:r>
      <w:r>
        <w:rPr>
          <w:rFonts w:hint="eastAsia" w:ascii="仿宋_GB2312" w:hAnsi="仿宋_GB2312" w:cs="仿宋_GB2312"/>
          <w:sz w:val="32"/>
          <w:szCs w:val="32"/>
        </w:rPr>
        <w:t>的活动，累计参加活动人次达587人次，丰富了我区残疾人的精神文化生活。</w:t>
      </w:r>
    </w:p>
    <w:p w14:paraId="133E148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w:t>
      </w:r>
      <w:r>
        <w:rPr>
          <w:rFonts w:ascii="仿宋_GB2312" w:hAnsi="仿宋_GB2312" w:cs="仿宋_GB2312"/>
          <w:sz w:val="32"/>
          <w:szCs w:val="32"/>
        </w:rPr>
        <w:t>4</w:t>
      </w:r>
      <w:r>
        <w:rPr>
          <w:rFonts w:hint="eastAsia" w:ascii="仿宋_GB2312" w:hAnsi="仿宋_GB2312" w:cs="仿宋_GB2312"/>
          <w:sz w:val="32"/>
          <w:szCs w:val="32"/>
        </w:rPr>
        <w:t>）积极配合区残疾人就业服务站开展中式烹调师、食品腌制、家居清洁、机动车驾驶为主要内容的残疾人农村实用生产技术和城镇职业技能培训，提供完善的培训环境和</w:t>
      </w:r>
      <w:r>
        <w:rPr>
          <w:rFonts w:ascii="仿宋_GB2312" w:hAnsi="仿宋_GB2312" w:cs="仿宋_GB2312"/>
          <w:sz w:val="32"/>
          <w:szCs w:val="32"/>
        </w:rPr>
        <w:t>服务</w:t>
      </w:r>
      <w:r>
        <w:rPr>
          <w:rFonts w:hint="eastAsia" w:ascii="仿宋_GB2312" w:hAnsi="仿宋_GB2312" w:cs="仿宋_GB2312"/>
          <w:sz w:val="32"/>
          <w:szCs w:val="32"/>
        </w:rPr>
        <w:t>，全</w:t>
      </w:r>
      <w:r>
        <w:rPr>
          <w:rFonts w:ascii="仿宋_GB2312" w:hAnsi="仿宋_GB2312" w:cs="仿宋_GB2312"/>
          <w:sz w:val="32"/>
          <w:szCs w:val="32"/>
        </w:rPr>
        <w:t>年</w:t>
      </w:r>
      <w:r>
        <w:rPr>
          <w:rFonts w:hint="eastAsia" w:ascii="仿宋_GB2312" w:hAnsi="仿宋_GB2312" w:cs="仿宋_GB2312"/>
          <w:sz w:val="32"/>
          <w:szCs w:val="32"/>
        </w:rPr>
        <w:t>培训残疾人159名。</w:t>
      </w:r>
    </w:p>
    <w:p w14:paraId="427732A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w:t>
      </w:r>
      <w:r>
        <w:rPr>
          <w:rFonts w:ascii="仿宋_GB2312" w:hAnsi="仿宋_GB2312" w:cs="仿宋_GB2312"/>
          <w:sz w:val="32"/>
          <w:szCs w:val="32"/>
        </w:rPr>
        <w:t>5</w:t>
      </w:r>
      <w:r>
        <w:rPr>
          <w:rFonts w:hint="eastAsia" w:ascii="仿宋_GB2312" w:hAnsi="仿宋_GB2312" w:cs="仿宋_GB2312"/>
          <w:sz w:val="32"/>
          <w:szCs w:val="32"/>
        </w:rPr>
        <w:t>）组织开展了辖区残疾人辅具需求筛查工作，全年为辖区135名有辅具需求的残疾人提供辅具需求评估服务，为98人名残疾人提供辅助器具适配服务，其中10名听障残疾人适配助听器，5名肢体残疾人适配假肢，83名盲人适配盲杖，有效帮助残疾人改善及补偿残障功能。</w:t>
      </w:r>
    </w:p>
    <w:p w14:paraId="34E7264C">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rPr>
      </w:pPr>
      <w:r>
        <w:rPr>
          <w:rFonts w:hint="eastAsia" w:ascii="仿宋_GB2312" w:hAnsi="仿宋_GB2312" w:cs="仿宋_GB2312"/>
          <w:sz w:val="32"/>
          <w:szCs w:val="32"/>
        </w:rPr>
        <w:t>（</w:t>
      </w:r>
      <w:r>
        <w:rPr>
          <w:rFonts w:ascii="仿宋_GB2312" w:hAnsi="仿宋_GB2312" w:cs="仿宋_GB2312"/>
          <w:sz w:val="32"/>
          <w:szCs w:val="32"/>
        </w:rPr>
        <w:t>6</w:t>
      </w:r>
      <w:r>
        <w:rPr>
          <w:rFonts w:hint="eastAsia" w:ascii="仿宋_GB2312" w:hAnsi="仿宋_GB2312" w:cs="仿宋_GB2312"/>
          <w:sz w:val="32"/>
          <w:szCs w:val="32"/>
        </w:rPr>
        <w:t>）积极配合区残联综合业务科开展残疾人法律救助站工作，全年处理来信、来访55件，办结率达100%，进一步保障残疾人合法权益。</w:t>
      </w:r>
    </w:p>
    <w:p w14:paraId="52DDD9E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6.积极开展节约型机关和公共机构节水单位两项创建工作，通过2022、2023两年的不懈努力，区残联机关及下属单位（含区残疾人综合服务中心）于2023年6月通过市、区两级水务局和节水办检查验收，被评为“2022年度节水型单位”；于2023年9月被国家机关事务管理局、中央直属机关事务管理局、国家发改委和</w:t>
      </w:r>
      <w:r>
        <w:rPr>
          <w:rFonts w:hint="eastAsia" w:ascii="仿宋_GB2312" w:hAnsi="仿宋_GB2312" w:cs="仿宋_GB2312"/>
          <w:sz w:val="32"/>
          <w:szCs w:val="32"/>
          <w:lang w:eastAsia="zh-CN"/>
        </w:rPr>
        <w:t>财政部</w:t>
      </w:r>
      <w:r>
        <w:rPr>
          <w:rFonts w:hint="eastAsia" w:ascii="仿宋_GB2312" w:hAnsi="仿宋_GB2312" w:cs="仿宋_GB2312"/>
          <w:sz w:val="32"/>
          <w:szCs w:val="32"/>
        </w:rPr>
        <w:t>联合授予全国“节约型机关”称号，颁发“节约型机关”证书；节约型机关和公共机构节水单位两项创建活动取得良好成果。</w:t>
      </w:r>
    </w:p>
    <w:p w14:paraId="0C21CE1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（二）具体绩效分析</w:t>
      </w:r>
    </w:p>
    <w:p w14:paraId="56FCB4A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评价组对本单位整体绩效从部门决策、部门管理和部门绩效三个方面设立11个二级指标、45个三级指标，按照不同权重对项目绩效进行量化评价，具体评价情况如下：</w:t>
      </w:r>
    </w:p>
    <w:p w14:paraId="39B0A6E3">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1.部门决策（总分35分，评价得分35分）</w:t>
      </w:r>
    </w:p>
    <w:p w14:paraId="02DF6A4F">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部门目标：部门中长期规划目标、年度规划目标明确，部门详细工作计划与年度工作目标对应匹配，绩效目标合理可量化，符合部门制定的中长期实施规划计，符合部门“三定”方案确定的职责，与部门年度工作目标、任务相一致。（总分12分，评价得分12分）</w:t>
      </w:r>
    </w:p>
    <w:p w14:paraId="73C275D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部门职能：①职能明确、设定依据充分，有“三定”文件，部门详细工作目标与部门职能对应匹配，部门年度具体工作与部门职能对应匹配，部门内设科室及下属单位具体职责明确。（总分10分，评价得分10分）</w:t>
      </w:r>
    </w:p>
    <w:p w14:paraId="5D69B102">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资源配置：部门年度基本支出预算根据人员经费、公用经费标准进行合理编制，部门年度项目支出预算程序、预算依据、适用范围合理，部门核定人员的编制与部门工作内容合理，部门现有办公资源能否满足部门日常工作需求。（总分13分，评价得分13分）</w:t>
      </w:r>
    </w:p>
    <w:p w14:paraId="341B573C">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2.部门管理（总分20分，评价得分20分）</w:t>
      </w:r>
    </w:p>
    <w:p w14:paraId="5D752AA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预算管理：部门基本支出本年度决算数与预算数的比率为100%，项目支出本年度决算数与预算数的比率100%；部门本年度“三公”经费预算数与上年度“三公”经费预算数的变动比率0%；根据年中预算实际执行情况及时合规进行预算调整。（总分7分，评价得分7分）</w:t>
      </w:r>
    </w:p>
    <w:p w14:paraId="224B7E5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（2）财务管理：财务管理制度健全；资金使用合规；有明确的财务监控监督措施，监控、监督措施执行有效。（总分6分，评价得分6分）</w:t>
      </w:r>
    </w:p>
    <w:p w14:paraId="431A92AA">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（3）人力资源管理：部门本年度实际在职人员数与编制数的比率为95%；有具体的人力资源管理制度文件和参照文件；严格按照相关文件对各类型人员进行管理和考核。（总分2分，评价得分2分）</w:t>
      </w:r>
    </w:p>
    <w:p w14:paraId="1210ABE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（4）资产管理：固定资产在用率98%；已制定固定资产管理办法、资产使用办法等管理制度，相关管理制度合法、合规、完整，相关管理制度得到有效执行。（总分2分，评价得分2分）</w:t>
      </w:r>
    </w:p>
    <w:p w14:paraId="03AE6DD1">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（5）业务管理：已制定业务管理、项目管理等管理制度，相关管理制度合法、合规、完整，能得到有效执行；政府采购方式、程序都规范；有定期指导记录、考核结果。（总分3分，评价得分3分）</w:t>
      </w:r>
    </w:p>
    <w:p w14:paraId="20371B90">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b/>
          <w:bCs/>
          <w:sz w:val="32"/>
          <w:szCs w:val="32"/>
        </w:rPr>
      </w:pPr>
      <w:r>
        <w:rPr>
          <w:rFonts w:hint="eastAsia" w:ascii="仿宋_GB2312" w:hAnsi="仿宋_GB2312" w:cs="仿宋_GB2312"/>
          <w:b/>
          <w:bCs/>
          <w:sz w:val="32"/>
          <w:szCs w:val="32"/>
        </w:rPr>
        <w:t>3.部门绩效（总分45分，评价得分45分）</w:t>
      </w:r>
    </w:p>
    <w:p w14:paraId="16B8B5B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部门产出：重点项目全部完成；帮困、医疗补贴等社会保障工作全部完成；残疾人助学工作全部完成；各类康复服务计划全部完成；就业安置及培训计划全部完成；残疾人信息化统计、阳光关爱服务等政府采购项目按制度严格执行政府采购流程；年度内部门实际完成工作数中达到上级部门和同级政府目标要求。（总分18分，评价得分18分）</w:t>
      </w:r>
    </w:p>
    <w:p w14:paraId="7FD5757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部门效果：投诉信访事件有所减少：助困、助学等社会保障项目在各类残疾人保障中的覆盖率达90%以上；各类康复服务项目有明显的康复效果；有效促进残疾人就业；残疾人对区残联现提供服务及补贴政策的知晓程度达80%以上；残联系统相关人员及辖区内残疾人对残联工作的满意达85%。（总分21分，评价得分21分）</w:t>
      </w:r>
    </w:p>
    <w:p w14:paraId="0E012DCE">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（3）部门可持续发展：部门管理人员能期接受培训；按规定内容、规定时限公开预决算信息、绩效信息及其他信息，各处室、下属单位等信息共享。（总分6分，评价得分6分）</w:t>
      </w:r>
    </w:p>
    <w:p w14:paraId="01AB24B9">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五、主要经验做法</w:t>
      </w:r>
    </w:p>
    <w:p w14:paraId="1FE545F0">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残疾人综合服务中心作为残疾人服务</w:t>
      </w:r>
      <w:r>
        <w:rPr>
          <w:rFonts w:ascii="仿宋_GB2312" w:hAnsi="仿宋_GB2312" w:cs="仿宋_GB2312"/>
          <w:sz w:val="32"/>
          <w:szCs w:val="32"/>
        </w:rPr>
        <w:t>的机构</w:t>
      </w:r>
      <w:r>
        <w:rPr>
          <w:rFonts w:hint="eastAsia" w:ascii="仿宋_GB2312" w:hAnsi="仿宋_GB2312" w:cs="仿宋_GB2312"/>
          <w:sz w:val="32"/>
          <w:szCs w:val="32"/>
        </w:rPr>
        <w:t>，是联系残疾人群众的桥梁和纽带，必须积极履职尽责，大胆实践，勇于开拓创新。</w:t>
      </w:r>
    </w:p>
    <w:p w14:paraId="2540FD6A">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sz w:val="32"/>
          <w:szCs w:val="32"/>
        </w:rPr>
      </w:pPr>
      <w:r>
        <w:rPr>
          <w:rFonts w:hint="eastAsia" w:ascii="仿宋_GB2312" w:hAnsi="仿宋_GB2312" w:cs="仿宋_GB2312"/>
          <w:b/>
          <w:bCs/>
          <w:sz w:val="32"/>
          <w:szCs w:val="32"/>
        </w:rPr>
        <w:t>一是</w:t>
      </w:r>
      <w:r>
        <w:rPr>
          <w:rFonts w:hint="eastAsia" w:ascii="仿宋_GB2312" w:hAnsi="仿宋_GB2312" w:cs="仿宋_GB2312"/>
          <w:sz w:val="32"/>
          <w:szCs w:val="32"/>
        </w:rPr>
        <w:t>加强工作宣传力度，增强社会公众对残疾人服务中心的认知和残疾人群体的接纳程度；</w:t>
      </w:r>
    </w:p>
    <w:p w14:paraId="34C94729">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sz w:val="32"/>
          <w:szCs w:val="32"/>
        </w:rPr>
      </w:pPr>
      <w:r>
        <w:rPr>
          <w:rFonts w:hint="eastAsia" w:ascii="仿宋_GB2312" w:hAnsi="仿宋_GB2312" w:cs="仿宋_GB2312"/>
          <w:b/>
          <w:bCs/>
          <w:sz w:val="32"/>
          <w:szCs w:val="32"/>
        </w:rPr>
        <w:t>二是</w:t>
      </w:r>
      <w:r>
        <w:rPr>
          <w:rFonts w:hint="eastAsia" w:ascii="仿宋_GB2312" w:hAnsi="仿宋_GB2312" w:cs="仿宋_GB2312"/>
          <w:sz w:val="32"/>
          <w:szCs w:val="32"/>
        </w:rPr>
        <w:t>精细管理，提供工作质量和效率，全面落实绩效管理目标责任制，多部门协作，共同推进项目各项任务指标的落实；</w:t>
      </w:r>
    </w:p>
    <w:p w14:paraId="58306CC1">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sz w:val="32"/>
          <w:szCs w:val="32"/>
        </w:rPr>
      </w:pPr>
      <w:r>
        <w:rPr>
          <w:rFonts w:hint="eastAsia" w:ascii="仿宋_GB2312" w:hAnsi="仿宋_GB2312" w:cs="仿宋_GB2312"/>
          <w:b/>
          <w:bCs/>
          <w:sz w:val="32"/>
          <w:szCs w:val="32"/>
        </w:rPr>
        <w:t>三是</w:t>
      </w:r>
      <w:r>
        <w:rPr>
          <w:rFonts w:hint="eastAsia" w:ascii="仿宋_GB2312" w:hAnsi="仿宋_GB2312" w:cs="仿宋_GB2312"/>
          <w:sz w:val="32"/>
          <w:szCs w:val="32"/>
        </w:rPr>
        <w:t>根据实际服务人数进行费用结算，保证财政资金使用效率；</w:t>
      </w:r>
    </w:p>
    <w:p w14:paraId="3BF3C5D7">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ascii="仿宋_GB2312" w:hAnsi="仿宋_GB2312" w:cs="仿宋_GB2312"/>
          <w:sz w:val="32"/>
          <w:szCs w:val="32"/>
        </w:rPr>
      </w:pPr>
      <w:r>
        <w:rPr>
          <w:rFonts w:hint="eastAsia" w:ascii="仿宋_GB2312" w:hAnsi="仿宋_GB2312" w:cs="仿宋_GB2312"/>
          <w:b/>
          <w:bCs/>
          <w:sz w:val="32"/>
          <w:szCs w:val="32"/>
        </w:rPr>
        <w:t>四是</w:t>
      </w:r>
      <w:r>
        <w:rPr>
          <w:rFonts w:hint="eastAsia" w:ascii="仿宋_GB2312" w:hAnsi="仿宋_GB2312" w:cs="仿宋_GB2312"/>
          <w:sz w:val="32"/>
          <w:szCs w:val="32"/>
        </w:rPr>
        <w:t>严格执行资金使用管理的相关规定。强化领导，建立健全绩效自评组织体系；结合实际，确定自评范围及考评指标，在充分发挥历年开展目标考核经验的基础上结合上年实际，研究确定年度绩效考核范围和考评指标；措施到位，扎实推进绩效自评工作；制定指标做到全面、合理、公正，坚持定性与定量相结合，以定量为主，80%以上的指标进行量化；考评过程与考评结果相结合。</w:t>
      </w:r>
    </w:p>
    <w:p w14:paraId="1C9A854B">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六、存在的问题</w:t>
      </w:r>
    </w:p>
    <w:p w14:paraId="31DF5A78">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残疾人事业项目经费主要由上级项目经费和区级预算组成，残疾人对项目效果期望值高，而残疾人综合服务群体大，投入成本高，残疾人事业项目经费保障与广大残疾人服务需求矛盾突出。</w:t>
      </w:r>
    </w:p>
    <w:p w14:paraId="160B4716">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黑体" w:hAnsi="黑体" w:eastAsia="黑体" w:cs="黑体"/>
          <w:sz w:val="32"/>
          <w:szCs w:val="32"/>
        </w:rPr>
      </w:pPr>
      <w:r>
        <w:rPr>
          <w:rFonts w:hint="eastAsia" w:ascii="黑体" w:hAnsi="黑体" w:eastAsia="黑体" w:cs="黑体"/>
          <w:sz w:val="32"/>
          <w:szCs w:val="32"/>
        </w:rPr>
        <w:t>七、改进措施及建议</w:t>
      </w:r>
    </w:p>
    <w:p w14:paraId="04C2E67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1.加强政策学习，提高思想认识。加强单位对</w:t>
      </w:r>
      <w:r>
        <w:rPr>
          <w:rFonts w:hint="eastAsia" w:ascii="仿宋_GB2312" w:hAnsi="仿宋_GB2312" w:cs="仿宋_GB2312"/>
          <w:sz w:val="32"/>
          <w:szCs w:val="32"/>
          <w:lang w:eastAsia="zh-CN"/>
        </w:rPr>
        <w:t>《中华人民共和国预算法》</w:t>
      </w:r>
      <w:r>
        <w:rPr>
          <w:rFonts w:hint="eastAsia" w:ascii="仿宋_GB2312" w:hAnsi="仿宋_GB2312" w:cs="仿宋_GB2312"/>
          <w:sz w:val="32"/>
          <w:szCs w:val="32"/>
        </w:rPr>
        <w:t>等相关法规、制度的学习，提高单位领导对全面预算管理的重视程度，增强单位各业务科室及财务人员的预算意识，坚持先有预算、后有支出，没有预算不得支出的支出理念。</w:t>
      </w:r>
    </w:p>
    <w:p w14:paraId="75C17253">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ascii="仿宋_GB2312" w:hAnsi="仿宋_GB2312" w:cs="仿宋_GB2312"/>
          <w:sz w:val="32"/>
          <w:szCs w:val="32"/>
        </w:rPr>
      </w:pPr>
      <w:r>
        <w:rPr>
          <w:rFonts w:hint="eastAsia" w:ascii="仿宋_GB2312" w:hAnsi="仿宋_GB2312" w:cs="仿宋_GB2312"/>
          <w:sz w:val="32"/>
          <w:szCs w:val="32"/>
        </w:rPr>
        <w:t>2.结合工作实际，提高预算科学性。预算编制前根据年度内单位可预见的工作任务，确定单位年度预算目标，细化预算指标，科学合理编制部门预算，推进预算编制科学化、准确化。</w:t>
      </w:r>
    </w:p>
    <w:p w14:paraId="7DD24A35">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szCs w:val="30"/>
          <w:highlight w:val="yellow"/>
        </w:rPr>
      </w:pPr>
      <w:r>
        <w:rPr>
          <w:rFonts w:hint="eastAsia" w:ascii="仿宋_GB2312" w:hAnsi="仿宋_GB2312" w:cs="仿宋_GB2312"/>
          <w:sz w:val="32"/>
          <w:szCs w:val="32"/>
        </w:rPr>
        <w:t>3.加大对残疾人工作的经费投入，提高残疾人工作者业务能力，提升残疾人服务水平，更好的为残疾人提供服务。</w:t>
      </w:r>
    </w:p>
    <w:sectPr>
      <w:pgSz w:w="11906" w:h="16838"/>
      <w:pgMar w:top="1587" w:right="1587" w:bottom="1440"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E553C">
    <w:pPr>
      <w:pStyle w:val="5"/>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7A80A7">
                          <w:pPr>
                            <w:pStyle w:val="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27A80A7">
                    <w:pPr>
                      <w:pStyle w:val="5"/>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66FF7">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32FB3">
    <w:pPr>
      <w:pStyle w:val="5"/>
      <w:ind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CF7DE1">
                          <w:pPr>
                            <w:ind w:firstLine="60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67CF7DE1">
                    <w:pPr>
                      <w:ind w:firstLine="60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00"/>
      </w:pPr>
      <w:r>
        <w:separator/>
      </w:r>
    </w:p>
  </w:footnote>
  <w:footnote w:type="continuationSeparator" w:id="1">
    <w:p>
      <w:pPr>
        <w:spacing w:line="36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DEA3">
    <w:pPr>
      <w:pStyle w:val="6"/>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AB31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8FB5B">
    <w:pPr>
      <w:pStyle w:val="6"/>
      <w:pBdr>
        <w:bottom w:val="single" w:color="auto" w:sz="6" w:space="3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0"/>
  <w:drawingGridVerticalSpacing w:val="204"/>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hMmQ3NjRjNmRhYjg2N2Y4NDgyOTFhODcxNGM5NDUifQ=="/>
  </w:docVars>
  <w:rsids>
    <w:rsidRoot w:val="00203805"/>
    <w:rsid w:val="00052158"/>
    <w:rsid w:val="00052238"/>
    <w:rsid w:val="00064F87"/>
    <w:rsid w:val="000A4E4F"/>
    <w:rsid w:val="000B3102"/>
    <w:rsid w:val="00121B7E"/>
    <w:rsid w:val="001311BD"/>
    <w:rsid w:val="00180807"/>
    <w:rsid w:val="001E1CC0"/>
    <w:rsid w:val="001E6ECC"/>
    <w:rsid w:val="00203805"/>
    <w:rsid w:val="00235A05"/>
    <w:rsid w:val="00256ECF"/>
    <w:rsid w:val="002A4077"/>
    <w:rsid w:val="002A57AF"/>
    <w:rsid w:val="002C7F15"/>
    <w:rsid w:val="003174E6"/>
    <w:rsid w:val="003B2444"/>
    <w:rsid w:val="004229B8"/>
    <w:rsid w:val="0046221E"/>
    <w:rsid w:val="0047317D"/>
    <w:rsid w:val="00490511"/>
    <w:rsid w:val="004B1B3F"/>
    <w:rsid w:val="004B5286"/>
    <w:rsid w:val="0051283A"/>
    <w:rsid w:val="005721C3"/>
    <w:rsid w:val="005A227A"/>
    <w:rsid w:val="0060079F"/>
    <w:rsid w:val="006514F5"/>
    <w:rsid w:val="006D4A47"/>
    <w:rsid w:val="00732696"/>
    <w:rsid w:val="00746E9A"/>
    <w:rsid w:val="00880AE6"/>
    <w:rsid w:val="00892132"/>
    <w:rsid w:val="008D00AF"/>
    <w:rsid w:val="008F4E6F"/>
    <w:rsid w:val="00903A36"/>
    <w:rsid w:val="009042DF"/>
    <w:rsid w:val="00921A40"/>
    <w:rsid w:val="00956EDA"/>
    <w:rsid w:val="00982615"/>
    <w:rsid w:val="009C185E"/>
    <w:rsid w:val="009D269C"/>
    <w:rsid w:val="009D5E4E"/>
    <w:rsid w:val="009F1440"/>
    <w:rsid w:val="009F4DA9"/>
    <w:rsid w:val="00A4314C"/>
    <w:rsid w:val="00A95646"/>
    <w:rsid w:val="00B3064F"/>
    <w:rsid w:val="00B62565"/>
    <w:rsid w:val="00BC758C"/>
    <w:rsid w:val="00C43833"/>
    <w:rsid w:val="00CE1348"/>
    <w:rsid w:val="00D121D3"/>
    <w:rsid w:val="00D311F5"/>
    <w:rsid w:val="00D76980"/>
    <w:rsid w:val="00D805D4"/>
    <w:rsid w:val="00D82D69"/>
    <w:rsid w:val="00D90862"/>
    <w:rsid w:val="00DD4165"/>
    <w:rsid w:val="00DE3E65"/>
    <w:rsid w:val="00E51F4A"/>
    <w:rsid w:val="00F066CB"/>
    <w:rsid w:val="00F10387"/>
    <w:rsid w:val="00F41600"/>
    <w:rsid w:val="00F93EE3"/>
    <w:rsid w:val="00FB3959"/>
    <w:rsid w:val="00FC3495"/>
    <w:rsid w:val="02B64773"/>
    <w:rsid w:val="08792779"/>
    <w:rsid w:val="08874479"/>
    <w:rsid w:val="09E65F21"/>
    <w:rsid w:val="0A5C1F3E"/>
    <w:rsid w:val="0AC91726"/>
    <w:rsid w:val="0B430E5C"/>
    <w:rsid w:val="0C7B4653"/>
    <w:rsid w:val="0C980740"/>
    <w:rsid w:val="0ECE3874"/>
    <w:rsid w:val="12562F32"/>
    <w:rsid w:val="1465358E"/>
    <w:rsid w:val="14AC5EC1"/>
    <w:rsid w:val="1798478C"/>
    <w:rsid w:val="1A2746E7"/>
    <w:rsid w:val="1BB43181"/>
    <w:rsid w:val="1DF77F84"/>
    <w:rsid w:val="1FD13917"/>
    <w:rsid w:val="1FD36BDF"/>
    <w:rsid w:val="20746A5E"/>
    <w:rsid w:val="21C32357"/>
    <w:rsid w:val="27EF494B"/>
    <w:rsid w:val="2B090312"/>
    <w:rsid w:val="2B0F45C8"/>
    <w:rsid w:val="2B160365"/>
    <w:rsid w:val="2C5C2091"/>
    <w:rsid w:val="2CCD48C1"/>
    <w:rsid w:val="2CEA1E31"/>
    <w:rsid w:val="2D9E681D"/>
    <w:rsid w:val="2DCC55E9"/>
    <w:rsid w:val="2DE56A43"/>
    <w:rsid w:val="2E1D55C2"/>
    <w:rsid w:val="2E9B17B7"/>
    <w:rsid w:val="2F1B0C91"/>
    <w:rsid w:val="300D7A86"/>
    <w:rsid w:val="305A4261"/>
    <w:rsid w:val="31056813"/>
    <w:rsid w:val="336D1FC6"/>
    <w:rsid w:val="34E36269"/>
    <w:rsid w:val="35BD4AC5"/>
    <w:rsid w:val="36861E7B"/>
    <w:rsid w:val="36885794"/>
    <w:rsid w:val="381432B1"/>
    <w:rsid w:val="38273008"/>
    <w:rsid w:val="388E693A"/>
    <w:rsid w:val="38A7274C"/>
    <w:rsid w:val="38F5389F"/>
    <w:rsid w:val="39394D72"/>
    <w:rsid w:val="3BEE2538"/>
    <w:rsid w:val="3BF15D13"/>
    <w:rsid w:val="3D872F9D"/>
    <w:rsid w:val="3D8A0644"/>
    <w:rsid w:val="3E1638C8"/>
    <w:rsid w:val="3E521716"/>
    <w:rsid w:val="442D41F6"/>
    <w:rsid w:val="453741C8"/>
    <w:rsid w:val="48936351"/>
    <w:rsid w:val="48B11E62"/>
    <w:rsid w:val="494B5EE5"/>
    <w:rsid w:val="49E36398"/>
    <w:rsid w:val="4B6D462F"/>
    <w:rsid w:val="4D0E0A27"/>
    <w:rsid w:val="508349D1"/>
    <w:rsid w:val="519A5D3D"/>
    <w:rsid w:val="51D03A58"/>
    <w:rsid w:val="53880F5F"/>
    <w:rsid w:val="54CC7C15"/>
    <w:rsid w:val="56970990"/>
    <w:rsid w:val="59BB15D0"/>
    <w:rsid w:val="5AA0424C"/>
    <w:rsid w:val="5B003F5D"/>
    <w:rsid w:val="5B395309"/>
    <w:rsid w:val="5B833A73"/>
    <w:rsid w:val="5BE20312"/>
    <w:rsid w:val="5E2558D5"/>
    <w:rsid w:val="5E841717"/>
    <w:rsid w:val="5FA016B7"/>
    <w:rsid w:val="5FAF1CA3"/>
    <w:rsid w:val="5FB8276B"/>
    <w:rsid w:val="641F7BE3"/>
    <w:rsid w:val="64587DE1"/>
    <w:rsid w:val="653D7CCA"/>
    <w:rsid w:val="6967468B"/>
    <w:rsid w:val="69944ACE"/>
    <w:rsid w:val="69E112AA"/>
    <w:rsid w:val="6A6715BE"/>
    <w:rsid w:val="6AD74018"/>
    <w:rsid w:val="6B146AB5"/>
    <w:rsid w:val="6EFE7E8F"/>
    <w:rsid w:val="70257B58"/>
    <w:rsid w:val="72C34A85"/>
    <w:rsid w:val="76C30D63"/>
    <w:rsid w:val="774D1D19"/>
    <w:rsid w:val="77E96C76"/>
    <w:rsid w:val="7865792A"/>
    <w:rsid w:val="7A3C0572"/>
    <w:rsid w:val="7D5269A4"/>
    <w:rsid w:val="7D666535"/>
    <w:rsid w:val="7D7D2B78"/>
    <w:rsid w:val="7E600133"/>
    <w:rsid w:val="7EA51C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1044" w:firstLineChars="200"/>
      <w:jc w:val="both"/>
    </w:pPr>
    <w:rPr>
      <w:rFonts w:ascii="Calibri" w:hAnsi="Calibri" w:eastAsia="仿宋_GB2312" w:cs="Times New Roman"/>
      <w:kern w:val="2"/>
      <w:sz w:val="30"/>
      <w:szCs w:val="22"/>
      <w:lang w:val="en-US" w:eastAsia="zh-CN" w:bidi="ar-SA"/>
    </w:rPr>
  </w:style>
  <w:style w:type="paragraph" w:styleId="2">
    <w:name w:val="heading 1"/>
    <w:basedOn w:val="1"/>
    <w:next w:val="1"/>
    <w:qFormat/>
    <w:uiPriority w:val="9"/>
    <w:pPr>
      <w:keepNext/>
      <w:keepLines/>
      <w:spacing w:before="340" w:after="330" w:line="578" w:lineRule="auto"/>
      <w:jc w:val="center"/>
      <w:outlineLvl w:val="0"/>
    </w:pPr>
    <w:rPr>
      <w:rFonts w:eastAsia="方正小标宋简体"/>
      <w:b/>
      <w:bCs/>
      <w:kern w:val="44"/>
      <w:sz w:val="44"/>
      <w:szCs w:val="44"/>
    </w:rPr>
  </w:style>
  <w:style w:type="paragraph" w:styleId="3">
    <w:name w:val="heading 2"/>
    <w:basedOn w:val="1"/>
    <w:next w:val="1"/>
    <w:unhideWhenUsed/>
    <w:qFormat/>
    <w:uiPriority w:val="0"/>
    <w:pPr>
      <w:keepNext/>
      <w:keepLines/>
      <w:jc w:val="left"/>
      <w:outlineLvl w:val="1"/>
    </w:pPr>
    <w:rPr>
      <w:rFonts w:ascii="Arial" w:hAnsi="Arial" w:eastAsia="黑体"/>
      <w:b/>
    </w:rPr>
  </w:style>
  <w:style w:type="paragraph" w:styleId="4">
    <w:name w:val="heading 3"/>
    <w:basedOn w:val="1"/>
    <w:next w:val="1"/>
    <w:link w:val="12"/>
    <w:unhideWhenUsed/>
    <w:qFormat/>
    <w:uiPriority w:val="0"/>
    <w:pPr>
      <w:keepNext/>
      <w:keepLines/>
      <w:jc w:val="left"/>
      <w:outlineLvl w:val="2"/>
    </w:pPr>
    <w:rPr>
      <w:rFonts w:eastAsia="楷体"/>
      <w:b/>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0"/>
    <w:pPr>
      <w:spacing w:before="100" w:beforeAutospacing="1" w:after="100" w:afterAutospacing="1"/>
      <w:jc w:val="left"/>
    </w:pPr>
    <w:rPr>
      <w:kern w:val="0"/>
      <w:sz w:val="24"/>
    </w:rPr>
  </w:style>
  <w:style w:type="paragraph" w:customStyle="1" w:styleId="10">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 w:type="paragraph" w:customStyle="1" w:styleId="11">
    <w:name w:val="TOC 标题1"/>
    <w:basedOn w:val="2"/>
    <w:next w:val="1"/>
    <w:qFormat/>
    <w:uiPriority w:val="99"/>
    <w:pPr>
      <w:widowControl/>
      <w:spacing w:before="480" w:after="0" w:line="276" w:lineRule="auto"/>
      <w:jc w:val="left"/>
      <w:outlineLvl w:val="9"/>
    </w:pPr>
    <w:rPr>
      <w:rFonts w:ascii="Cambria" w:hAnsi="Cambria" w:eastAsia="宋体" w:cs="Cambria"/>
      <w:color w:val="365F91"/>
      <w:kern w:val="0"/>
      <w:sz w:val="28"/>
      <w:szCs w:val="28"/>
    </w:rPr>
  </w:style>
  <w:style w:type="character" w:customStyle="1" w:styleId="12">
    <w:name w:val="标题 3 字符"/>
    <w:link w:val="4"/>
    <w:qFormat/>
    <w:uiPriority w:val="0"/>
    <w:rPr>
      <w:rFonts w:eastAsia="楷体"/>
      <w:b/>
      <w:sz w:val="30"/>
    </w:rPr>
  </w:style>
  <w:style w:type="character" w:customStyle="1" w:styleId="13">
    <w:name w:val="页眉 字符"/>
    <w:basedOn w:val="9"/>
    <w:link w:val="6"/>
    <w:qFormat/>
    <w:uiPriority w:val="99"/>
    <w:rPr>
      <w:rFonts w:ascii="Calibri" w:hAnsi="Calibri" w:eastAsia="仿宋_GB231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5323</Words>
  <Characters>5604</Characters>
  <Lines>53</Lines>
  <Paragraphs>15</Paragraphs>
  <TotalTime>131</TotalTime>
  <ScaleCrop>false</ScaleCrop>
  <LinksUpToDate>false</LinksUpToDate>
  <CharactersWithSpaces>5629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方</cp:lastModifiedBy>
  <cp:lastPrinted>2023-04-26T05:59:00Z</cp:lastPrinted>
  <dcterms:modified xsi:type="dcterms:W3CDTF">2025-07-17T08:48:33Z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3B89B83290DC4E14A9B9702CC2C3C352_13</vt:lpwstr>
  </property>
  <property fmtid="{D5CDD505-2E9C-101B-9397-08002B2CF9AE}" pid="4" name="KSOTemplateDocerSaveRecord">
    <vt:lpwstr>eyJoZGlkIjoiYWM4OTdjYmM5OTc1ZTExMjliOThhNWZiOGFiODE3Y2QiLCJ1c2VySWQiOiIxMTIxMzIwNzkyIn0=</vt:lpwstr>
  </property>
</Properties>
</file>