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906D29">
      <w:pPr>
        <w:autoSpaceDE w:val="0"/>
        <w:autoSpaceDN w:val="0"/>
        <w:spacing w:before="100" w:beforeAutospacing="1" w:after="100" w:afterAutospacing="1" w:line="590" w:lineRule="atLeast"/>
        <w:jc w:val="center"/>
      </w:pPr>
      <w:r>
        <w:rPr>
          <w:rFonts w:hint="eastAsia" w:ascii="方正小标宋简体" w:eastAsia="方正小标宋简体"/>
          <w:sz w:val="36"/>
          <w:szCs w:val="36"/>
        </w:rPr>
        <w:t>昆明市盘龙区道路桥梁管理处部门2020年度部门决算</w:t>
      </w:r>
    </w:p>
    <w:p w14:paraId="5E0CF0A9">
      <w:pPr>
        <w:autoSpaceDE w:val="0"/>
        <w:autoSpaceDN w:val="0"/>
        <w:spacing w:before="100" w:beforeAutospacing="1" w:after="100" w:afterAutospacing="1" w:line="590" w:lineRule="atLeast"/>
        <w:jc w:val="center"/>
      </w:pPr>
      <w:r>
        <w:rPr>
          <w:rFonts w:ascii="Times New Roman" w:hAnsi="Times New Roman" w:cs="Times New Roman"/>
          <w:sz w:val="36"/>
          <w:szCs w:val="36"/>
        </w:rPr>
        <w:t> </w:t>
      </w:r>
    </w:p>
    <w:p w14:paraId="5C631CA8">
      <w:pPr>
        <w:autoSpaceDE w:val="0"/>
        <w:autoSpaceDN w:val="0"/>
        <w:spacing w:before="100" w:beforeAutospacing="1" w:after="100" w:afterAutospacing="1" w:line="590" w:lineRule="atLeast"/>
        <w:jc w:val="center"/>
      </w:pPr>
      <w:r>
        <w:rPr>
          <w:rFonts w:hint="eastAsia" w:ascii="黑体" w:hAnsi="黑体" w:eastAsia="黑体"/>
          <w:sz w:val="36"/>
          <w:szCs w:val="36"/>
        </w:rPr>
        <w:t>目录</w:t>
      </w:r>
      <w:bookmarkStart w:id="0" w:name="_GoBack"/>
      <w:bookmarkEnd w:id="0"/>
    </w:p>
    <w:p w14:paraId="79DA5103">
      <w:pPr>
        <w:autoSpaceDE w:val="0"/>
        <w:autoSpaceDN w:val="0"/>
        <w:spacing w:before="100" w:beforeAutospacing="1" w:after="100" w:afterAutospacing="1" w:line="590" w:lineRule="atLeast"/>
      </w:pPr>
      <w:r>
        <w:rPr>
          <w:rFonts w:hint="eastAsia" w:ascii="黑体" w:hAnsi="黑体" w:eastAsia="黑体"/>
          <w:sz w:val="30"/>
          <w:szCs w:val="30"/>
        </w:rPr>
        <w:t>第一部分</w:t>
      </w:r>
      <w:r>
        <w:rPr>
          <w:rFonts w:ascii="Calibri" w:hAnsi="Calibri" w:eastAsia="黑体"/>
          <w:sz w:val="30"/>
          <w:szCs w:val="30"/>
        </w:rPr>
        <w:t> </w:t>
      </w:r>
      <w:r>
        <w:rPr>
          <w:rFonts w:hint="eastAsia" w:ascii="黑体" w:hAnsi="黑体" w:eastAsia="黑体"/>
          <w:sz w:val="30"/>
          <w:szCs w:val="30"/>
        </w:rPr>
        <w:t xml:space="preserve"> 昆明市盘龙区道路桥梁管理处概况</w:t>
      </w:r>
    </w:p>
    <w:p w14:paraId="39B29B5E">
      <w:pPr>
        <w:autoSpaceDE w:val="0"/>
        <w:autoSpaceDN w:val="0"/>
        <w:spacing w:before="100" w:beforeAutospacing="1" w:after="100" w:afterAutospacing="1" w:line="590" w:lineRule="atLeast"/>
      </w:pPr>
      <w:r>
        <w:rPr>
          <w:rFonts w:hint="eastAsia" w:ascii="楷体" w:hAnsi="楷体" w:eastAsia="楷体"/>
          <w:sz w:val="30"/>
          <w:szCs w:val="30"/>
        </w:rPr>
        <w:t>一、主要职能</w:t>
      </w:r>
    </w:p>
    <w:p w14:paraId="0607F625">
      <w:pPr>
        <w:autoSpaceDE w:val="0"/>
        <w:autoSpaceDN w:val="0"/>
        <w:spacing w:before="100" w:beforeAutospacing="1" w:after="100" w:afterAutospacing="1" w:line="590" w:lineRule="atLeast"/>
      </w:pPr>
      <w:r>
        <w:rPr>
          <w:rFonts w:hint="eastAsia" w:ascii="楷体" w:hAnsi="楷体" w:eastAsia="楷体"/>
          <w:sz w:val="30"/>
          <w:szCs w:val="30"/>
        </w:rPr>
        <w:t>二、部门基本情况</w:t>
      </w:r>
    </w:p>
    <w:p w14:paraId="100F082D">
      <w:pPr>
        <w:autoSpaceDE w:val="0"/>
        <w:autoSpaceDN w:val="0"/>
        <w:spacing w:before="100" w:beforeAutospacing="1" w:after="100" w:afterAutospacing="1" w:line="590" w:lineRule="atLeast"/>
      </w:pPr>
      <w:r>
        <w:rPr>
          <w:rFonts w:hint="eastAsia" w:ascii="黑体" w:hAnsi="黑体" w:eastAsia="黑体"/>
          <w:sz w:val="30"/>
          <w:szCs w:val="30"/>
        </w:rPr>
        <w:t>第二部分</w:t>
      </w:r>
      <w:r>
        <w:rPr>
          <w:rFonts w:ascii="Calibri" w:hAnsi="Calibri" w:eastAsia="黑体"/>
          <w:sz w:val="30"/>
          <w:szCs w:val="30"/>
        </w:rPr>
        <w:t> </w:t>
      </w:r>
      <w:r>
        <w:rPr>
          <w:rFonts w:hint="eastAsia" w:ascii="黑体" w:hAnsi="黑体" w:eastAsia="黑体"/>
          <w:sz w:val="30"/>
          <w:szCs w:val="30"/>
        </w:rPr>
        <w:t xml:space="preserve"> 2020年度部门决算表</w:t>
      </w:r>
    </w:p>
    <w:p w14:paraId="6D2EA2ED">
      <w:pPr>
        <w:autoSpaceDE w:val="0"/>
        <w:autoSpaceDN w:val="0"/>
        <w:spacing w:before="100" w:beforeAutospacing="1" w:after="100" w:afterAutospacing="1" w:line="590" w:lineRule="atLeast"/>
      </w:pPr>
      <w:r>
        <w:rPr>
          <w:rFonts w:hint="eastAsia" w:ascii="楷体" w:hAnsi="楷体" w:eastAsia="楷体"/>
          <w:sz w:val="30"/>
          <w:szCs w:val="30"/>
        </w:rPr>
        <w:t>一、收入支出决算总表</w:t>
      </w:r>
    </w:p>
    <w:p w14:paraId="711D375D">
      <w:pPr>
        <w:autoSpaceDE w:val="0"/>
        <w:autoSpaceDN w:val="0"/>
        <w:spacing w:before="100" w:beforeAutospacing="1" w:after="100" w:afterAutospacing="1" w:line="590" w:lineRule="atLeast"/>
      </w:pPr>
      <w:r>
        <w:rPr>
          <w:rFonts w:hint="eastAsia" w:ascii="楷体" w:hAnsi="楷体" w:eastAsia="楷体"/>
          <w:sz w:val="30"/>
          <w:szCs w:val="30"/>
        </w:rPr>
        <w:t>二、收入决算表</w:t>
      </w:r>
    </w:p>
    <w:p w14:paraId="0B62E668">
      <w:pPr>
        <w:autoSpaceDE w:val="0"/>
        <w:autoSpaceDN w:val="0"/>
        <w:spacing w:before="100" w:beforeAutospacing="1" w:after="100" w:afterAutospacing="1" w:line="590" w:lineRule="atLeast"/>
      </w:pPr>
      <w:r>
        <w:rPr>
          <w:rFonts w:hint="eastAsia" w:ascii="楷体" w:hAnsi="楷体" w:eastAsia="楷体"/>
          <w:sz w:val="30"/>
          <w:szCs w:val="30"/>
        </w:rPr>
        <w:t>三、支出决算表</w:t>
      </w:r>
    </w:p>
    <w:p w14:paraId="655D2665">
      <w:pPr>
        <w:autoSpaceDE w:val="0"/>
        <w:autoSpaceDN w:val="0"/>
        <w:spacing w:before="100" w:beforeAutospacing="1" w:after="100" w:afterAutospacing="1" w:line="590" w:lineRule="atLeast"/>
      </w:pPr>
      <w:r>
        <w:rPr>
          <w:rFonts w:hint="eastAsia" w:ascii="楷体" w:hAnsi="楷体" w:eastAsia="楷体"/>
          <w:sz w:val="30"/>
          <w:szCs w:val="30"/>
        </w:rPr>
        <w:t>四、财政拨款收入支出决算表</w:t>
      </w:r>
    </w:p>
    <w:p w14:paraId="2D2F2A80">
      <w:pPr>
        <w:autoSpaceDE w:val="0"/>
        <w:autoSpaceDN w:val="0"/>
        <w:spacing w:before="100" w:beforeAutospacing="1" w:after="100" w:afterAutospacing="1" w:line="590" w:lineRule="atLeast"/>
      </w:pPr>
      <w:r>
        <w:rPr>
          <w:rFonts w:hint="eastAsia" w:ascii="楷体" w:hAnsi="楷体" w:eastAsia="楷体"/>
          <w:sz w:val="30"/>
          <w:szCs w:val="30"/>
        </w:rPr>
        <w:t>五、一般公共预算财政拨款收入支出决算表</w:t>
      </w:r>
    </w:p>
    <w:p w14:paraId="62AB8B07">
      <w:pPr>
        <w:autoSpaceDE w:val="0"/>
        <w:autoSpaceDN w:val="0"/>
        <w:spacing w:before="100" w:beforeAutospacing="1" w:after="100" w:afterAutospacing="1" w:line="590" w:lineRule="atLeast"/>
      </w:pPr>
      <w:r>
        <w:rPr>
          <w:rFonts w:hint="eastAsia" w:ascii="楷体" w:hAnsi="楷体" w:eastAsia="楷体"/>
          <w:sz w:val="30"/>
          <w:szCs w:val="30"/>
        </w:rPr>
        <w:t>六、一般公共预算财政拨款基本支出决算表</w:t>
      </w:r>
    </w:p>
    <w:p w14:paraId="6D5D6FD3">
      <w:pPr>
        <w:autoSpaceDE w:val="0"/>
        <w:autoSpaceDN w:val="0"/>
        <w:spacing w:before="100" w:beforeAutospacing="1" w:after="100" w:afterAutospacing="1" w:line="590" w:lineRule="atLeast"/>
      </w:pPr>
      <w:r>
        <w:rPr>
          <w:rFonts w:hint="eastAsia" w:ascii="楷体" w:hAnsi="楷体" w:eastAsia="楷体"/>
          <w:sz w:val="30"/>
          <w:szCs w:val="30"/>
        </w:rPr>
        <w:t>七、政府性基金预算财政拨款收入支出决算表</w:t>
      </w:r>
    </w:p>
    <w:p w14:paraId="61183145">
      <w:pPr>
        <w:autoSpaceDE w:val="0"/>
        <w:autoSpaceDN w:val="0"/>
        <w:spacing w:before="100" w:beforeAutospacing="1" w:after="100" w:afterAutospacing="1" w:line="590" w:lineRule="atLeast"/>
      </w:pPr>
      <w:r>
        <w:rPr>
          <w:rFonts w:hint="eastAsia" w:ascii="楷体" w:hAnsi="楷体" w:eastAsia="楷体"/>
          <w:sz w:val="30"/>
          <w:szCs w:val="30"/>
        </w:rPr>
        <w:t>八、国有资本经营预算财政拨款收入支出决算表</w:t>
      </w:r>
    </w:p>
    <w:p w14:paraId="028573D1">
      <w:pPr>
        <w:autoSpaceDE w:val="0"/>
        <w:autoSpaceDN w:val="0"/>
        <w:spacing w:before="100" w:beforeAutospacing="1" w:after="100" w:afterAutospacing="1" w:line="590" w:lineRule="atLeast"/>
      </w:pPr>
      <w:r>
        <w:rPr>
          <w:rFonts w:hint="eastAsia" w:ascii="楷体" w:hAnsi="楷体" w:eastAsia="楷体"/>
          <w:sz w:val="30"/>
          <w:szCs w:val="30"/>
        </w:rPr>
        <w:t>九、</w:t>
      </w:r>
      <w:r>
        <w:rPr>
          <w:rFonts w:ascii="Times New Roman" w:hAnsi="Times New Roman" w:cs="Times New Roman"/>
          <w:sz w:val="30"/>
          <w:szCs w:val="30"/>
        </w:rPr>
        <w:t>“</w:t>
      </w:r>
      <w:r>
        <w:rPr>
          <w:rFonts w:hint="eastAsia" w:ascii="楷体" w:hAnsi="楷体" w:eastAsia="楷体"/>
          <w:sz w:val="30"/>
          <w:szCs w:val="30"/>
        </w:rPr>
        <w:t>三公</w:t>
      </w:r>
      <w:r>
        <w:rPr>
          <w:rFonts w:ascii="Times New Roman" w:hAnsi="Times New Roman" w:cs="Times New Roman"/>
          <w:sz w:val="30"/>
          <w:szCs w:val="30"/>
        </w:rPr>
        <w:t>”</w:t>
      </w:r>
      <w:r>
        <w:rPr>
          <w:rFonts w:hint="eastAsia" w:ascii="楷体" w:hAnsi="楷体" w:eastAsia="楷体"/>
          <w:sz w:val="30"/>
          <w:szCs w:val="30"/>
        </w:rPr>
        <w:t>经费、行政参公单位机关运行经费情况表</w:t>
      </w:r>
    </w:p>
    <w:p w14:paraId="6C00D61F">
      <w:pPr>
        <w:autoSpaceDE w:val="0"/>
        <w:autoSpaceDN w:val="0"/>
        <w:spacing w:before="100" w:beforeAutospacing="1" w:after="100" w:afterAutospacing="1" w:line="590" w:lineRule="atLeast"/>
      </w:pPr>
      <w:r>
        <w:rPr>
          <w:rFonts w:hint="eastAsia" w:ascii="黑体" w:hAnsi="黑体" w:eastAsia="黑体"/>
          <w:sz w:val="30"/>
          <w:szCs w:val="30"/>
        </w:rPr>
        <w:t>第三部分</w:t>
      </w:r>
      <w:r>
        <w:rPr>
          <w:rFonts w:ascii="Calibri" w:hAnsi="Calibri" w:eastAsia="黑体"/>
          <w:sz w:val="30"/>
          <w:szCs w:val="30"/>
        </w:rPr>
        <w:t> </w:t>
      </w:r>
      <w:r>
        <w:rPr>
          <w:rFonts w:hint="eastAsia" w:ascii="黑体" w:hAnsi="黑体" w:eastAsia="黑体"/>
          <w:sz w:val="30"/>
          <w:szCs w:val="30"/>
        </w:rPr>
        <w:t xml:space="preserve"> 2020年度部门决算情况说明</w:t>
      </w:r>
    </w:p>
    <w:p w14:paraId="07B3E128">
      <w:pPr>
        <w:autoSpaceDE w:val="0"/>
        <w:autoSpaceDN w:val="0"/>
        <w:spacing w:before="100" w:beforeAutospacing="1" w:after="100" w:afterAutospacing="1" w:line="590" w:lineRule="atLeast"/>
      </w:pPr>
      <w:r>
        <w:rPr>
          <w:rFonts w:hint="eastAsia" w:ascii="楷体" w:hAnsi="楷体" w:eastAsia="楷体"/>
          <w:sz w:val="30"/>
          <w:szCs w:val="30"/>
        </w:rPr>
        <w:t>一、收入决算情况说明</w:t>
      </w:r>
    </w:p>
    <w:p w14:paraId="5A579A01">
      <w:pPr>
        <w:autoSpaceDE w:val="0"/>
        <w:autoSpaceDN w:val="0"/>
        <w:spacing w:before="100" w:beforeAutospacing="1" w:after="100" w:afterAutospacing="1" w:line="590" w:lineRule="atLeast"/>
      </w:pPr>
      <w:r>
        <w:rPr>
          <w:rFonts w:hint="eastAsia" w:ascii="楷体" w:hAnsi="楷体" w:eastAsia="楷体"/>
          <w:sz w:val="30"/>
          <w:szCs w:val="30"/>
        </w:rPr>
        <w:t>二、支出决算情况说明</w:t>
      </w:r>
    </w:p>
    <w:p w14:paraId="10DA3138">
      <w:pPr>
        <w:autoSpaceDE w:val="0"/>
        <w:autoSpaceDN w:val="0"/>
        <w:spacing w:before="100" w:beforeAutospacing="1" w:after="100" w:afterAutospacing="1" w:line="590" w:lineRule="atLeast"/>
      </w:pPr>
      <w:r>
        <w:rPr>
          <w:rFonts w:hint="eastAsia" w:ascii="楷体" w:hAnsi="楷体" w:eastAsia="楷体"/>
          <w:sz w:val="30"/>
          <w:szCs w:val="30"/>
        </w:rPr>
        <w:t>三、一般公共预算财政拨款支出决算情况说明</w:t>
      </w:r>
    </w:p>
    <w:p w14:paraId="3C7E8827">
      <w:pPr>
        <w:autoSpaceDE w:val="0"/>
        <w:autoSpaceDN w:val="0"/>
        <w:spacing w:before="100" w:beforeAutospacing="1" w:after="100" w:afterAutospacing="1" w:line="590" w:lineRule="atLeast"/>
      </w:pPr>
      <w:r>
        <w:rPr>
          <w:rFonts w:hint="eastAsia" w:ascii="楷体" w:hAnsi="楷体" w:eastAsia="楷体"/>
          <w:sz w:val="30"/>
          <w:szCs w:val="30"/>
        </w:rPr>
        <w:t>四、一般公共预算财政拨款</w:t>
      </w:r>
      <w:r>
        <w:rPr>
          <w:rFonts w:ascii="Times New Roman" w:hAnsi="Times New Roman" w:cs="Times New Roman"/>
          <w:sz w:val="30"/>
          <w:szCs w:val="30"/>
        </w:rPr>
        <w:t>“</w:t>
      </w:r>
      <w:r>
        <w:rPr>
          <w:rFonts w:hint="eastAsia" w:ascii="楷体" w:hAnsi="楷体" w:eastAsia="楷体"/>
          <w:sz w:val="30"/>
          <w:szCs w:val="30"/>
        </w:rPr>
        <w:t>三公</w:t>
      </w:r>
      <w:r>
        <w:rPr>
          <w:rFonts w:ascii="Times New Roman" w:hAnsi="Times New Roman" w:cs="Times New Roman"/>
          <w:sz w:val="30"/>
          <w:szCs w:val="30"/>
        </w:rPr>
        <w:t>”</w:t>
      </w:r>
      <w:r>
        <w:rPr>
          <w:rFonts w:hint="eastAsia" w:ascii="楷体" w:hAnsi="楷体" w:eastAsia="楷体"/>
          <w:sz w:val="30"/>
          <w:szCs w:val="30"/>
        </w:rPr>
        <w:t>经费支出决算情况说明</w:t>
      </w:r>
    </w:p>
    <w:p w14:paraId="398C77F6">
      <w:pPr>
        <w:autoSpaceDE w:val="0"/>
        <w:autoSpaceDN w:val="0"/>
        <w:spacing w:before="100" w:beforeAutospacing="1" w:after="100" w:afterAutospacing="1" w:line="590" w:lineRule="atLeast"/>
      </w:pPr>
      <w:r>
        <w:rPr>
          <w:rFonts w:hint="eastAsia" w:ascii="黑体" w:hAnsi="黑体" w:eastAsia="黑体"/>
          <w:sz w:val="30"/>
          <w:szCs w:val="30"/>
        </w:rPr>
        <w:t>第四部分</w:t>
      </w:r>
      <w:r>
        <w:rPr>
          <w:rFonts w:ascii="Calibri" w:hAnsi="Calibri" w:eastAsia="黑体"/>
          <w:sz w:val="30"/>
          <w:szCs w:val="30"/>
        </w:rPr>
        <w:t> </w:t>
      </w:r>
      <w:r>
        <w:rPr>
          <w:rFonts w:hint="eastAsia" w:ascii="黑体" w:hAnsi="黑体" w:eastAsia="黑体"/>
          <w:sz w:val="30"/>
          <w:szCs w:val="30"/>
        </w:rPr>
        <w:t xml:space="preserve"> 其他重要事项及相关口径情况说明</w:t>
      </w:r>
    </w:p>
    <w:p w14:paraId="10D80993">
      <w:pPr>
        <w:autoSpaceDE w:val="0"/>
        <w:autoSpaceDN w:val="0"/>
        <w:spacing w:before="100" w:beforeAutospacing="1" w:after="100" w:afterAutospacing="1" w:line="590" w:lineRule="atLeast"/>
      </w:pPr>
      <w:r>
        <w:rPr>
          <w:rFonts w:hint="eastAsia" w:ascii="楷体" w:hAnsi="楷体" w:eastAsia="楷体"/>
          <w:sz w:val="30"/>
          <w:szCs w:val="30"/>
        </w:rPr>
        <w:t>一、机关运行经费支出情况</w:t>
      </w:r>
    </w:p>
    <w:p w14:paraId="6855437C">
      <w:pPr>
        <w:autoSpaceDE w:val="0"/>
        <w:autoSpaceDN w:val="0"/>
        <w:spacing w:before="100" w:beforeAutospacing="1" w:after="100" w:afterAutospacing="1" w:line="590" w:lineRule="atLeast"/>
      </w:pPr>
      <w:r>
        <w:rPr>
          <w:rFonts w:hint="eastAsia" w:ascii="楷体" w:hAnsi="楷体" w:eastAsia="楷体"/>
          <w:sz w:val="30"/>
          <w:szCs w:val="30"/>
        </w:rPr>
        <w:t>二、国有资产占用情况</w:t>
      </w:r>
    </w:p>
    <w:p w14:paraId="2EB514A0">
      <w:pPr>
        <w:autoSpaceDE w:val="0"/>
        <w:autoSpaceDN w:val="0"/>
        <w:spacing w:before="100" w:beforeAutospacing="1" w:after="100" w:afterAutospacing="1" w:line="590" w:lineRule="atLeast"/>
      </w:pPr>
      <w:r>
        <w:rPr>
          <w:rFonts w:hint="eastAsia" w:ascii="楷体" w:hAnsi="楷体" w:eastAsia="楷体"/>
          <w:sz w:val="30"/>
          <w:szCs w:val="30"/>
        </w:rPr>
        <w:t>三、政府采购支出情况</w:t>
      </w:r>
    </w:p>
    <w:p w14:paraId="65767203">
      <w:pPr>
        <w:autoSpaceDE w:val="0"/>
        <w:autoSpaceDN w:val="0"/>
        <w:spacing w:before="100" w:beforeAutospacing="1" w:after="100" w:afterAutospacing="1" w:line="590" w:lineRule="atLeast"/>
      </w:pPr>
      <w:r>
        <w:rPr>
          <w:rFonts w:hint="eastAsia" w:ascii="楷体" w:hAnsi="楷体" w:eastAsia="楷体"/>
          <w:sz w:val="30"/>
          <w:szCs w:val="30"/>
        </w:rPr>
        <w:t>四、部门绩效自评情况</w:t>
      </w:r>
    </w:p>
    <w:p w14:paraId="59006434">
      <w:pPr>
        <w:autoSpaceDE w:val="0"/>
        <w:autoSpaceDN w:val="0"/>
        <w:spacing w:before="100" w:beforeAutospacing="1" w:after="100" w:afterAutospacing="1" w:line="590" w:lineRule="atLeast"/>
      </w:pPr>
      <w:r>
        <w:rPr>
          <w:rFonts w:hint="eastAsia" w:ascii="楷体" w:hAnsi="楷体" w:eastAsia="楷体"/>
          <w:sz w:val="30"/>
          <w:szCs w:val="30"/>
        </w:rPr>
        <w:t>（一）部门整体支出绩效自评情况</w:t>
      </w:r>
    </w:p>
    <w:p w14:paraId="0A558872">
      <w:pPr>
        <w:autoSpaceDE w:val="0"/>
        <w:autoSpaceDN w:val="0"/>
        <w:spacing w:before="100" w:beforeAutospacing="1" w:after="100" w:afterAutospacing="1" w:line="590" w:lineRule="atLeast"/>
      </w:pPr>
      <w:r>
        <w:rPr>
          <w:rFonts w:hint="eastAsia" w:ascii="楷体" w:hAnsi="楷体" w:eastAsia="楷体"/>
          <w:sz w:val="30"/>
          <w:szCs w:val="30"/>
        </w:rPr>
        <w:t>（二）部门整体支出绩效自评表</w:t>
      </w:r>
    </w:p>
    <w:p w14:paraId="43164162">
      <w:pPr>
        <w:autoSpaceDE w:val="0"/>
        <w:autoSpaceDN w:val="0"/>
        <w:spacing w:before="100" w:beforeAutospacing="1" w:after="100" w:afterAutospacing="1" w:line="590" w:lineRule="atLeast"/>
      </w:pPr>
      <w:r>
        <w:rPr>
          <w:rFonts w:hint="eastAsia" w:ascii="楷体" w:hAnsi="楷体" w:eastAsia="楷体"/>
          <w:sz w:val="30"/>
          <w:szCs w:val="30"/>
        </w:rPr>
        <w:t>（三）项目支出绩效自评表</w:t>
      </w:r>
    </w:p>
    <w:p w14:paraId="7BB329B0">
      <w:pPr>
        <w:autoSpaceDE w:val="0"/>
        <w:autoSpaceDN w:val="0"/>
        <w:spacing w:before="100" w:beforeAutospacing="1" w:after="100" w:afterAutospacing="1" w:line="590" w:lineRule="atLeast"/>
      </w:pPr>
      <w:r>
        <w:rPr>
          <w:rFonts w:hint="eastAsia" w:ascii="楷体" w:hAnsi="楷体" w:eastAsia="楷体"/>
          <w:sz w:val="30"/>
          <w:szCs w:val="30"/>
        </w:rPr>
        <w:t>五、其他重要事项情况说明</w:t>
      </w:r>
    </w:p>
    <w:p w14:paraId="13C7CE68">
      <w:pPr>
        <w:autoSpaceDE w:val="0"/>
        <w:autoSpaceDN w:val="0"/>
        <w:spacing w:before="100" w:beforeAutospacing="1" w:after="100" w:afterAutospacing="1" w:line="590" w:lineRule="atLeast"/>
      </w:pPr>
      <w:r>
        <w:rPr>
          <w:rFonts w:hint="eastAsia" w:ascii="楷体" w:hAnsi="楷体" w:eastAsia="楷体"/>
          <w:sz w:val="30"/>
          <w:szCs w:val="30"/>
        </w:rPr>
        <w:t>六、相关口径说明</w:t>
      </w:r>
    </w:p>
    <w:p w14:paraId="2A1DFA63">
      <w:pPr>
        <w:autoSpaceDE w:val="0"/>
        <w:autoSpaceDN w:val="0"/>
        <w:spacing w:before="100" w:beforeAutospacing="1" w:after="100" w:afterAutospacing="1" w:line="590" w:lineRule="atLeast"/>
      </w:pPr>
      <w:r>
        <w:rPr>
          <w:rFonts w:hint="eastAsia" w:ascii="黑体" w:hAnsi="黑体" w:eastAsia="黑体"/>
          <w:sz w:val="30"/>
          <w:szCs w:val="30"/>
        </w:rPr>
        <w:t>第五部分</w:t>
      </w:r>
      <w:r>
        <w:rPr>
          <w:rFonts w:ascii="Calibri" w:hAnsi="Calibri" w:eastAsia="黑体"/>
          <w:sz w:val="30"/>
          <w:szCs w:val="30"/>
        </w:rPr>
        <w:t> </w:t>
      </w:r>
      <w:r>
        <w:rPr>
          <w:rFonts w:hint="eastAsia" w:ascii="黑体" w:hAnsi="黑体" w:eastAsia="黑体"/>
          <w:sz w:val="30"/>
          <w:szCs w:val="30"/>
        </w:rPr>
        <w:t xml:space="preserve"> 名词解释</w:t>
      </w:r>
    </w:p>
    <w:p w14:paraId="5D5019A9">
      <w:pPr>
        <w:autoSpaceDE w:val="0"/>
        <w:autoSpaceDN w:val="0"/>
        <w:spacing w:before="100" w:beforeAutospacing="1" w:after="100" w:afterAutospacing="1" w:line="600" w:lineRule="atLeast"/>
      </w:pPr>
      <w:r>
        <w:rPr>
          <w:rFonts w:ascii="Times New Roman" w:hAnsi="Times New Roman" w:cs="Times New Roman"/>
          <w:sz w:val="30"/>
          <w:szCs w:val="30"/>
        </w:rPr>
        <w:t> </w:t>
      </w:r>
    </w:p>
    <w:p w14:paraId="3E575293">
      <w:pPr>
        <w:autoSpaceDE w:val="0"/>
        <w:autoSpaceDN w:val="0"/>
        <w:spacing w:before="100" w:beforeAutospacing="1" w:after="100" w:afterAutospacing="1" w:line="600" w:lineRule="atLeast"/>
      </w:pPr>
      <w:r>
        <w:rPr>
          <w:rFonts w:ascii="Times New Roman" w:hAnsi="Times New Roman" w:cs="Times New Roman"/>
          <w:sz w:val="30"/>
          <w:szCs w:val="30"/>
        </w:rPr>
        <w:t> </w:t>
      </w:r>
    </w:p>
    <w:p w14:paraId="15C96F15">
      <w:pPr>
        <w:autoSpaceDE w:val="0"/>
        <w:autoSpaceDN w:val="0"/>
        <w:spacing w:before="100" w:beforeAutospacing="1" w:after="100" w:afterAutospacing="1" w:line="600" w:lineRule="atLeast"/>
      </w:pPr>
      <w:r>
        <w:rPr>
          <w:rFonts w:ascii="Times New Roman" w:hAnsi="Times New Roman" w:cs="Times New Roman"/>
          <w:sz w:val="30"/>
          <w:szCs w:val="30"/>
        </w:rPr>
        <w:t> </w:t>
      </w:r>
    </w:p>
    <w:p w14:paraId="2F8DC96B">
      <w:pPr>
        <w:autoSpaceDE w:val="0"/>
        <w:autoSpaceDN w:val="0"/>
        <w:spacing w:before="100" w:beforeAutospacing="1" w:after="100" w:afterAutospacing="1" w:line="600" w:lineRule="atLeast"/>
      </w:pPr>
      <w:r>
        <w:rPr>
          <w:rFonts w:ascii="Times New Roman" w:hAnsi="Times New Roman" w:cs="Times New Roman"/>
          <w:sz w:val="30"/>
          <w:szCs w:val="30"/>
        </w:rPr>
        <w:t> </w:t>
      </w:r>
    </w:p>
    <w:p w14:paraId="209C2BDE">
      <w:pPr>
        <w:autoSpaceDE w:val="0"/>
        <w:autoSpaceDN w:val="0"/>
        <w:spacing w:before="100" w:beforeAutospacing="1" w:after="100" w:afterAutospacing="1" w:line="590" w:lineRule="atLeast"/>
        <w:jc w:val="center"/>
      </w:pPr>
      <w:r>
        <w:rPr>
          <w:rFonts w:hint="eastAsia" w:ascii="黑体" w:hAnsi="黑体" w:eastAsia="黑体"/>
          <w:sz w:val="32"/>
          <w:szCs w:val="32"/>
        </w:rPr>
        <w:t>第一部分</w:t>
      </w:r>
      <w:r>
        <w:rPr>
          <w:rFonts w:ascii="Calibri" w:hAnsi="Calibri" w:eastAsia="黑体"/>
          <w:sz w:val="32"/>
          <w:szCs w:val="32"/>
        </w:rPr>
        <w:t> </w:t>
      </w:r>
      <w:r>
        <w:rPr>
          <w:rFonts w:hint="eastAsia" w:ascii="黑体" w:hAnsi="黑体" w:eastAsia="黑体"/>
          <w:sz w:val="32"/>
          <w:szCs w:val="32"/>
        </w:rPr>
        <w:t xml:space="preserve"> 昆明市盘龙区道路桥梁管理处概况</w:t>
      </w:r>
    </w:p>
    <w:p w14:paraId="5AE62C45">
      <w:pPr>
        <w:autoSpaceDE w:val="0"/>
        <w:autoSpaceDN w:val="0"/>
        <w:spacing w:before="100" w:beforeAutospacing="1" w:after="100" w:afterAutospacing="1" w:line="590" w:lineRule="atLeast"/>
        <w:ind w:firstLine="600"/>
      </w:pPr>
      <w:r>
        <w:rPr>
          <w:rFonts w:hint="eastAsia" w:ascii="黑体" w:hAnsi="黑体" w:eastAsia="黑体"/>
          <w:sz w:val="30"/>
          <w:szCs w:val="30"/>
        </w:rPr>
        <w:t>一、主要职能</w:t>
      </w:r>
    </w:p>
    <w:p w14:paraId="7BA967B0">
      <w:pPr>
        <w:autoSpaceDE w:val="0"/>
        <w:autoSpaceDN w:val="0"/>
        <w:spacing w:before="100" w:beforeAutospacing="1" w:after="100" w:afterAutospacing="1" w:line="590" w:lineRule="atLeast"/>
        <w:ind w:firstLine="600"/>
      </w:pPr>
      <w:r>
        <w:rPr>
          <w:rFonts w:hint="eastAsia" w:ascii="楷体" w:hAnsi="楷体" w:eastAsia="楷体"/>
          <w:sz w:val="30"/>
          <w:szCs w:val="30"/>
        </w:rPr>
        <w:t>（一）主要职能</w:t>
      </w:r>
    </w:p>
    <w:p w14:paraId="0C566329">
      <w:pPr>
        <w:ind w:firstLine="640" w:firstLineChars="200"/>
        <w:rPr>
          <w:rFonts w:ascii="仿宋" w:hAnsi="仿宋" w:eastAsia="仿宋"/>
          <w:sz w:val="32"/>
          <w:szCs w:val="32"/>
        </w:rPr>
      </w:pPr>
      <w:r>
        <w:rPr>
          <w:rFonts w:hint="eastAsia" w:ascii="仿宋" w:hAnsi="仿宋" w:eastAsia="仿宋"/>
          <w:sz w:val="32"/>
          <w:szCs w:val="32"/>
        </w:rPr>
        <w:t>认真贯彻执行国家、省、市政府有关城市道路桥梁管理的法律、法规、法令，负责盘龙辖区城市道路、桥梁 、地下通道设施的维修养护和管理工作；依据国务院《城市道路管理条例》负责辖区内城市道路开挖、占道围栏的审核、审批工作及审批件的批后管理，对违反城市道路管理规定的行为进行查处；负责辖区城市道路的大中修工程；编制年度维修养护工作计划和归口统计工作；对涉及群众“行路难”问题,及时处置“12345”便民热线、网格化案件,以及各级人大、</w:t>
      </w:r>
      <w:r>
        <w:rPr>
          <w:rFonts w:hint="eastAsia" w:ascii="仿宋" w:hAnsi="仿宋" w:eastAsia="仿宋"/>
          <w:sz w:val="32"/>
          <w:szCs w:val="32"/>
          <w:lang w:eastAsia="zh-CN"/>
        </w:rPr>
        <w:t>政协委员</w:t>
      </w:r>
      <w:r>
        <w:rPr>
          <w:rFonts w:hint="eastAsia" w:ascii="仿宋" w:hAnsi="仿宋" w:eastAsia="仿宋"/>
          <w:sz w:val="32"/>
          <w:szCs w:val="32"/>
        </w:rPr>
        <w:t>提出的批评、建议和提案，及时提出处理意见，并将执行结果向上级作出报告；认真完成区委、区政府及上级业务部门交办的其他工作。</w:t>
      </w:r>
    </w:p>
    <w:p w14:paraId="66D82381">
      <w:pPr>
        <w:autoSpaceDE w:val="0"/>
        <w:autoSpaceDN w:val="0"/>
        <w:spacing w:before="100" w:beforeAutospacing="1" w:after="100" w:afterAutospacing="1" w:line="590" w:lineRule="atLeast"/>
        <w:ind w:firstLine="600"/>
      </w:pPr>
      <w:r>
        <w:rPr>
          <w:rFonts w:hint="eastAsia" w:ascii="楷体" w:hAnsi="楷体" w:eastAsia="楷体"/>
          <w:sz w:val="30"/>
          <w:szCs w:val="30"/>
        </w:rPr>
        <w:t>（二）2020年度重点工作任务介绍</w:t>
      </w:r>
    </w:p>
    <w:p w14:paraId="06056A98">
      <w:pPr>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1、道路维护</w:t>
      </w:r>
    </w:p>
    <w:p w14:paraId="39668EDC">
      <w:pPr>
        <w:ind w:firstLine="640" w:firstLineChars="200"/>
        <w:rPr>
          <w:rFonts w:ascii="仿宋" w:hAnsi="仿宋" w:eastAsia="仿宋"/>
          <w:sz w:val="32"/>
          <w:szCs w:val="32"/>
        </w:rPr>
      </w:pPr>
      <w:r>
        <w:rPr>
          <w:rFonts w:hint="eastAsia" w:ascii="仿宋" w:hAnsi="仿宋" w:eastAsia="仿宋" w:cs="华文仿宋"/>
          <w:color w:val="000000"/>
          <w:sz w:val="32"/>
          <w:szCs w:val="32"/>
        </w:rPr>
        <w:t>坚持“团结、务实、敬业、创新”的精神，遵循“养护作业标准化，服务措施人性化”的服务理念，认真做好城市道路预防性维修养护工作</w:t>
      </w:r>
      <w:r>
        <w:rPr>
          <w:rFonts w:hint="eastAsia" w:ascii="仿宋" w:hAnsi="仿宋" w:eastAsia="仿宋"/>
          <w:sz w:val="32"/>
          <w:szCs w:val="32"/>
        </w:rPr>
        <w:t>，重点完成了盘龙区市容环境整治提升（背街小巷修补项目）。全年共铺装沥青路面44527平方米、人行道块3893平方米、立缘石461米、平缘石461米，更换检查井164座，更换沟盖板200米，新划交通标线400米。确保道路完好率98%以上，保证我区道路设施完好、有序、通畅。</w:t>
      </w:r>
    </w:p>
    <w:p w14:paraId="1E675290">
      <w:pPr>
        <w:ind w:firstLine="480" w:firstLineChars="150"/>
        <w:rPr>
          <w:rFonts w:ascii="仿宋" w:hAnsi="仿宋" w:eastAsia="仿宋" w:cs="仿宋"/>
          <w:sz w:val="32"/>
          <w:szCs w:val="32"/>
        </w:rPr>
      </w:pPr>
      <w:r>
        <w:rPr>
          <w:rFonts w:hint="eastAsia" w:ascii="仿宋" w:hAnsi="仿宋" w:eastAsia="仿宋" w:cs="仿宋"/>
          <w:sz w:val="32"/>
          <w:szCs w:val="32"/>
        </w:rPr>
        <w:t>2、桥梁维护</w:t>
      </w:r>
    </w:p>
    <w:p w14:paraId="13A60583">
      <w:pPr>
        <w:ind w:firstLine="640" w:firstLineChars="200"/>
        <w:rPr>
          <w:rFonts w:ascii="仿宋" w:hAnsi="仿宋" w:eastAsia="仿宋"/>
          <w:sz w:val="32"/>
          <w:szCs w:val="32"/>
        </w:rPr>
      </w:pPr>
      <w:r>
        <w:rPr>
          <w:rFonts w:hint="eastAsia" w:ascii="仿宋" w:hAnsi="仿宋" w:eastAsia="仿宋" w:cs="华文仿宋"/>
          <w:sz w:val="32"/>
          <w:szCs w:val="32"/>
        </w:rPr>
        <w:t>加大巡查力度，做好桥梁维护工作，特别对北站隧道，敷润桥，北京路凤凰村、同德广场人行天桥，虹桥立交桥等进行专项维护。全年共维护桥梁护栏73.9米、机非隔离带钢制栏杆83米、护栏端柱4根、桥梁伸缩缝61.3米、桥面破损149.2平方米、机非隔离栏防撞墩5.5米、</w:t>
      </w:r>
      <w:r>
        <w:rPr>
          <w:rFonts w:hint="eastAsia" w:ascii="仿宋" w:hAnsi="仿宋" w:eastAsia="仿宋"/>
          <w:sz w:val="32"/>
          <w:szCs w:val="32"/>
        </w:rPr>
        <w:t>防撞墙顶部钢制栏杆6米、安装彩钢瓦15.5米</w:t>
      </w:r>
      <w:r>
        <w:rPr>
          <w:rFonts w:hint="eastAsia" w:ascii="仿宋" w:hAnsi="仿宋" w:eastAsia="仿宋" w:cs="华文仿宋"/>
          <w:sz w:val="32"/>
          <w:szCs w:val="32"/>
        </w:rPr>
        <w:t>。</w:t>
      </w:r>
    </w:p>
    <w:p w14:paraId="1641DC34">
      <w:pPr>
        <w:ind w:firstLine="640" w:firstLineChars="200"/>
        <w:rPr>
          <w:rFonts w:ascii="仿宋" w:hAnsi="仿宋" w:eastAsia="仿宋" w:cs="仿宋"/>
          <w:bCs/>
          <w:sz w:val="32"/>
          <w:szCs w:val="32"/>
        </w:rPr>
      </w:pPr>
      <w:r>
        <w:rPr>
          <w:rFonts w:hint="eastAsia" w:ascii="仿宋" w:hAnsi="仿宋" w:eastAsia="仿宋" w:cs="仿宋"/>
          <w:bCs/>
          <w:sz w:val="32"/>
          <w:szCs w:val="32"/>
        </w:rPr>
        <w:t>3、做好路政管理工作。</w:t>
      </w:r>
    </w:p>
    <w:p w14:paraId="05A4F381">
      <w:pPr>
        <w:ind w:firstLine="640" w:firstLineChars="200"/>
        <w:rPr>
          <w:rFonts w:ascii="仿宋" w:hAnsi="仿宋" w:eastAsia="仿宋" w:cs="华文仿宋"/>
          <w:sz w:val="32"/>
          <w:szCs w:val="32"/>
        </w:rPr>
      </w:pPr>
      <w:r>
        <w:rPr>
          <w:rFonts w:hint="eastAsia" w:ascii="仿宋" w:hAnsi="仿宋" w:eastAsia="仿宋" w:cs="华文仿宋"/>
          <w:sz w:val="32"/>
          <w:szCs w:val="32"/>
        </w:rPr>
        <w:t>按照《云南省建设管理条例》、《昆明市城市道路管理条例》等法律法规，</w:t>
      </w:r>
      <w:r>
        <w:rPr>
          <w:rFonts w:hint="eastAsia" w:ascii="仿宋" w:hAnsi="仿宋" w:eastAsia="仿宋" w:cs="华文仿宋"/>
          <w:kern w:val="32"/>
          <w:sz w:val="32"/>
          <w:szCs w:val="32"/>
        </w:rPr>
        <w:t>对盘龙辖区内道路开挖、开设临时车辆通道口及临时占用城市道路（围栏）进行审批、管理、收费、办证。</w:t>
      </w:r>
      <w:r>
        <w:rPr>
          <w:rFonts w:hint="eastAsia" w:ascii="仿宋" w:hAnsi="仿宋" w:eastAsia="仿宋" w:cs="华文仿宋"/>
          <w:sz w:val="32"/>
          <w:szCs w:val="32"/>
        </w:rPr>
        <w:t>全年共办理围栏占道</w:t>
      </w:r>
      <w:r>
        <w:rPr>
          <w:rFonts w:hint="eastAsia"/>
          <w:sz w:val="32"/>
          <w:szCs w:val="32"/>
        </w:rPr>
        <w:t>497</w:t>
      </w:r>
      <w:r>
        <w:rPr>
          <w:rFonts w:hint="eastAsia" w:ascii="仿宋" w:hAnsi="仿宋" w:eastAsia="仿宋" w:cs="华文仿宋"/>
          <w:sz w:val="32"/>
          <w:szCs w:val="32"/>
        </w:rPr>
        <w:t>起、开挖22起，收取占道、开挖费</w:t>
      </w:r>
      <w:r>
        <w:rPr>
          <w:rFonts w:hint="eastAsia"/>
          <w:sz w:val="32"/>
          <w:szCs w:val="32"/>
        </w:rPr>
        <w:t>282097.63</w:t>
      </w:r>
      <w:r>
        <w:rPr>
          <w:rFonts w:hint="eastAsia" w:ascii="仿宋" w:hAnsi="仿宋" w:eastAsia="仿宋" w:cs="华文仿宋"/>
          <w:sz w:val="32"/>
          <w:szCs w:val="32"/>
        </w:rPr>
        <w:t>元。</w:t>
      </w:r>
    </w:p>
    <w:p w14:paraId="2BC27C08">
      <w:pPr>
        <w:ind w:firstLine="640" w:firstLineChars="200"/>
        <w:rPr>
          <w:rFonts w:ascii="黑体" w:hAnsi="黑体" w:eastAsia="黑体"/>
          <w:b/>
          <w:sz w:val="32"/>
          <w:szCs w:val="32"/>
        </w:rPr>
      </w:pPr>
      <w:r>
        <w:rPr>
          <w:rFonts w:hint="eastAsia" w:ascii="仿宋" w:hAnsi="仿宋" w:eastAsia="仿宋"/>
          <w:sz w:val="32"/>
          <w:szCs w:val="32"/>
        </w:rPr>
        <w:t>4、加大路政巡查力度，加强辖区内在建工程重点管理，有效制止违章行为，高标准监管市政设施维护及挖掘修复质量。</w:t>
      </w:r>
    </w:p>
    <w:p w14:paraId="31563B1F">
      <w:pPr>
        <w:ind w:firstLine="640" w:firstLineChars="200"/>
        <w:rPr>
          <w:rFonts w:ascii="仿宋" w:hAnsi="仿宋" w:eastAsia="仿宋"/>
          <w:sz w:val="32"/>
          <w:szCs w:val="32"/>
          <w:lang w:val="zh-CN"/>
        </w:rPr>
      </w:pPr>
      <w:r>
        <w:rPr>
          <w:rFonts w:hint="eastAsia" w:ascii="仿宋" w:hAnsi="仿宋" w:eastAsia="仿宋"/>
          <w:sz w:val="32"/>
          <w:szCs w:val="32"/>
        </w:rPr>
        <w:t>5、全年接听并及时处置完成网格化案件277件、12345热线204件。</w:t>
      </w:r>
      <w:r>
        <w:rPr>
          <w:rFonts w:hint="eastAsia" w:ascii="仿宋" w:hAnsi="仿宋" w:eastAsia="仿宋"/>
          <w:sz w:val="32"/>
          <w:szCs w:val="32"/>
          <w:lang w:val="zh-CN"/>
        </w:rPr>
        <w:t>接听率100%，及时回复处理率100%，做到事事有落实，件件有回复，</w:t>
      </w:r>
      <w:r>
        <w:rPr>
          <w:rFonts w:hint="eastAsia" w:ascii="仿宋" w:hAnsi="仿宋" w:eastAsia="仿宋"/>
          <w:sz w:val="32"/>
          <w:szCs w:val="32"/>
        </w:rPr>
        <w:t>在规定时间内给了市民一个满意的答复</w:t>
      </w:r>
      <w:r>
        <w:rPr>
          <w:rFonts w:hint="eastAsia" w:ascii="仿宋" w:hAnsi="仿宋" w:eastAsia="仿宋"/>
          <w:sz w:val="32"/>
          <w:szCs w:val="32"/>
          <w:lang w:val="zh-CN"/>
        </w:rPr>
        <w:t>。</w:t>
      </w:r>
    </w:p>
    <w:p w14:paraId="55479D86">
      <w:pPr>
        <w:autoSpaceDE w:val="0"/>
        <w:autoSpaceDN w:val="0"/>
        <w:spacing w:before="100" w:beforeAutospacing="1" w:after="100" w:afterAutospacing="1" w:line="590" w:lineRule="atLeast"/>
        <w:ind w:firstLine="600"/>
      </w:pPr>
      <w:r>
        <w:rPr>
          <w:rFonts w:hint="eastAsia" w:ascii="黑体" w:hAnsi="黑体" w:eastAsia="黑体"/>
          <w:sz w:val="30"/>
          <w:szCs w:val="30"/>
        </w:rPr>
        <w:t>二、部门基本情况</w:t>
      </w:r>
    </w:p>
    <w:p w14:paraId="0FA2DCF8">
      <w:pPr>
        <w:autoSpaceDE w:val="0"/>
        <w:autoSpaceDN w:val="0"/>
        <w:spacing w:before="100" w:beforeAutospacing="1" w:after="100" w:afterAutospacing="1" w:line="590" w:lineRule="atLeast"/>
        <w:ind w:firstLine="600"/>
      </w:pPr>
      <w:r>
        <w:rPr>
          <w:rFonts w:hint="eastAsia" w:ascii="楷体" w:hAnsi="楷体" w:eastAsia="楷体"/>
          <w:sz w:val="30"/>
          <w:szCs w:val="30"/>
        </w:rPr>
        <w:t>（一）部门决算单位构成</w:t>
      </w:r>
    </w:p>
    <w:p w14:paraId="160687A1">
      <w:pPr>
        <w:autoSpaceDE w:val="0"/>
        <w:autoSpaceDN w:val="0"/>
        <w:spacing w:before="100" w:beforeAutospacing="1" w:after="100" w:afterAutospacing="1" w:line="590" w:lineRule="atLeast"/>
        <w:ind w:firstLine="600"/>
        <w:rPr>
          <w:rFonts w:ascii="仿宋" w:hAnsi="仿宋" w:eastAsia="仿宋"/>
          <w:sz w:val="30"/>
          <w:szCs w:val="30"/>
        </w:rPr>
      </w:pPr>
      <w:r>
        <w:rPr>
          <w:rFonts w:hint="eastAsia" w:ascii="仿宋" w:hAnsi="仿宋" w:eastAsia="仿宋"/>
          <w:sz w:val="30"/>
          <w:szCs w:val="30"/>
        </w:rPr>
        <w:t>纳入昆明市盘龙区道路桥梁管理处部门2020年度部门决算编报的单位共1个。其中：行政单位0个，参照公务员法管理的事业单位0个，其他事业单位0个。</w:t>
      </w:r>
    </w:p>
    <w:p w14:paraId="0BDD8B11">
      <w:pPr>
        <w:autoSpaceDE w:val="0"/>
        <w:autoSpaceDN w:val="0"/>
        <w:spacing w:before="100" w:beforeAutospacing="1" w:after="100" w:afterAutospacing="1" w:line="590" w:lineRule="atLeast"/>
        <w:ind w:firstLine="600"/>
      </w:pPr>
      <w:r>
        <w:rPr>
          <w:rFonts w:hint="eastAsia" w:ascii="楷体" w:hAnsi="楷体" w:eastAsia="楷体"/>
          <w:sz w:val="30"/>
          <w:szCs w:val="30"/>
        </w:rPr>
        <w:t>（二）部门人员和车辆的编制及实有情况</w:t>
      </w:r>
    </w:p>
    <w:p w14:paraId="0F4603EE">
      <w:pPr>
        <w:autoSpaceDE w:val="0"/>
        <w:autoSpaceDN w:val="0"/>
        <w:spacing w:before="100" w:beforeAutospacing="1" w:after="100" w:afterAutospacing="1" w:line="590" w:lineRule="atLeast"/>
        <w:ind w:firstLine="600"/>
      </w:pPr>
      <w:r>
        <w:rPr>
          <w:rFonts w:hint="eastAsia" w:ascii="仿宋" w:hAnsi="仿宋" w:eastAsia="仿宋"/>
          <w:sz w:val="30"/>
          <w:szCs w:val="30"/>
        </w:rPr>
        <w:t>昆明市盘龙区道路桥梁管理处部门2020年末实有人员编制120人。其中：行政编制0人（含行政工勤编制0人），事业编制120人（含参公管理事业编制0人）；在职在编实有行政人员0人（含行政工勤人员0人），事业人员96.00人（含参公管理事业人员0人）。</w:t>
      </w:r>
    </w:p>
    <w:p w14:paraId="6166FBCD">
      <w:pPr>
        <w:autoSpaceDE w:val="0"/>
        <w:autoSpaceDN w:val="0"/>
        <w:spacing w:before="100" w:beforeAutospacing="1" w:after="100" w:afterAutospacing="1" w:line="590" w:lineRule="atLeast"/>
        <w:ind w:firstLine="600"/>
      </w:pPr>
      <w:r>
        <w:rPr>
          <w:rFonts w:hint="eastAsia" w:ascii="仿宋" w:hAnsi="仿宋" w:eastAsia="仿宋"/>
          <w:sz w:val="30"/>
          <w:szCs w:val="30"/>
        </w:rPr>
        <w:t>离退休人员148人。其中：离休1人，退休147人。</w:t>
      </w:r>
    </w:p>
    <w:p w14:paraId="593426E7">
      <w:pPr>
        <w:autoSpaceDE w:val="0"/>
        <w:autoSpaceDN w:val="0"/>
        <w:spacing w:before="100" w:beforeAutospacing="1" w:after="100" w:afterAutospacing="1" w:line="590" w:lineRule="atLeast"/>
        <w:ind w:firstLine="600"/>
        <w:rPr>
          <w:rFonts w:ascii="仿宋" w:hAnsi="仿宋" w:eastAsia="仿宋"/>
          <w:sz w:val="30"/>
          <w:szCs w:val="30"/>
        </w:rPr>
      </w:pPr>
      <w:r>
        <w:rPr>
          <w:rFonts w:hint="eastAsia" w:ascii="仿宋" w:hAnsi="仿宋" w:eastAsia="仿宋"/>
          <w:sz w:val="30"/>
          <w:szCs w:val="30"/>
        </w:rPr>
        <w:t>实有车辆编制8辆，在编实有车辆8辆。</w:t>
      </w:r>
    </w:p>
    <w:p w14:paraId="7C2728AC">
      <w:pPr>
        <w:autoSpaceDE w:val="0"/>
        <w:autoSpaceDN w:val="0"/>
        <w:spacing w:before="100" w:beforeAutospacing="1" w:after="100" w:afterAutospacing="1" w:line="590" w:lineRule="atLeast"/>
        <w:jc w:val="center"/>
      </w:pPr>
      <w:r>
        <w:rPr>
          <w:rFonts w:hint="eastAsia" w:ascii="黑体" w:hAnsi="黑体" w:eastAsia="黑体"/>
          <w:sz w:val="32"/>
          <w:szCs w:val="32"/>
        </w:rPr>
        <w:t>第二部分</w:t>
      </w:r>
      <w:r>
        <w:rPr>
          <w:rFonts w:ascii="Calibri" w:hAnsi="Calibri" w:eastAsia="黑体"/>
          <w:sz w:val="32"/>
          <w:szCs w:val="32"/>
        </w:rPr>
        <w:t> </w:t>
      </w:r>
      <w:r>
        <w:rPr>
          <w:rFonts w:hint="eastAsia" w:ascii="黑体" w:hAnsi="黑体" w:eastAsia="黑体"/>
          <w:sz w:val="32"/>
          <w:szCs w:val="32"/>
        </w:rPr>
        <w:t xml:space="preserve"> 2020年度部门决算表</w:t>
      </w:r>
    </w:p>
    <w:p w14:paraId="599B625E">
      <w:pPr>
        <w:autoSpaceDE w:val="0"/>
        <w:autoSpaceDN w:val="0"/>
        <w:spacing w:before="100" w:beforeAutospacing="1" w:after="100" w:afterAutospacing="1" w:line="590" w:lineRule="atLeast"/>
        <w:ind w:firstLine="600"/>
        <w:jc w:val="center"/>
        <w:rPr>
          <w:rFonts w:ascii="仿宋" w:hAnsi="仿宋" w:eastAsia="仿宋"/>
          <w:sz w:val="30"/>
          <w:szCs w:val="30"/>
        </w:rPr>
      </w:pPr>
      <w:r>
        <w:rPr>
          <w:rFonts w:hint="eastAsia" w:ascii="仿宋" w:hAnsi="仿宋" w:eastAsia="仿宋"/>
          <w:sz w:val="30"/>
          <w:szCs w:val="30"/>
        </w:rPr>
        <w:t>（详见附件）</w:t>
      </w:r>
    </w:p>
    <w:p w14:paraId="5E89A847">
      <w:pPr>
        <w:autoSpaceDE w:val="0"/>
        <w:autoSpaceDN w:val="0"/>
        <w:spacing w:before="100" w:beforeAutospacing="1" w:after="100" w:afterAutospacing="1" w:line="590" w:lineRule="atLeast"/>
        <w:ind w:firstLine="600"/>
        <w:rPr>
          <w:rFonts w:hint="eastAsia" w:ascii="Times New Roman" w:hAnsi="Times New Roman" w:cs="Times New Roman"/>
          <w:sz w:val="30"/>
          <w:szCs w:val="30"/>
        </w:rPr>
      </w:pPr>
      <w:r>
        <w:rPr>
          <w:rFonts w:hint="eastAsia" w:ascii="仿宋" w:hAnsi="仿宋" w:eastAsia="仿宋"/>
          <w:sz w:val="30"/>
          <w:szCs w:val="30"/>
        </w:rPr>
        <w:t>注：我处没有政府性基金收入，也没有使用政府基金安排的支出，故《政府性基金预算财政拨款收入支出决算表》无数据。</w:t>
      </w:r>
      <w:r>
        <w:rPr>
          <w:rFonts w:ascii="Times New Roman" w:hAnsi="Times New Roman" w:cs="Times New Roman"/>
          <w:sz w:val="30"/>
          <w:szCs w:val="30"/>
        </w:rPr>
        <w:t> </w:t>
      </w:r>
    </w:p>
    <w:p w14:paraId="1571BC06">
      <w:pPr>
        <w:autoSpaceDE w:val="0"/>
        <w:autoSpaceDN w:val="0"/>
        <w:spacing w:before="100" w:beforeAutospacing="1" w:after="100" w:afterAutospacing="1" w:line="590" w:lineRule="atLeast"/>
        <w:ind w:firstLine="600"/>
        <w:rPr>
          <w:rFonts w:hint="eastAsia" w:ascii="仿宋" w:hAnsi="仿宋" w:eastAsia="仿宋"/>
          <w:sz w:val="30"/>
          <w:szCs w:val="30"/>
        </w:rPr>
      </w:pPr>
      <w:r>
        <w:rPr>
          <w:rFonts w:hint="eastAsia" w:ascii="仿宋" w:hAnsi="仿宋" w:eastAsia="仿宋"/>
          <w:sz w:val="30"/>
          <w:szCs w:val="30"/>
        </w:rPr>
        <w:t>我处没有国有资本经营预算财政拨款收入支出,故《政府性基金预算财政拨款收入支出决算表》无数据。</w:t>
      </w:r>
      <w:r>
        <w:rPr>
          <w:rFonts w:ascii="Times New Roman" w:hAnsi="Times New Roman" w:cs="Times New Roman"/>
          <w:sz w:val="30"/>
          <w:szCs w:val="30"/>
        </w:rPr>
        <w:t> </w:t>
      </w:r>
    </w:p>
    <w:p w14:paraId="1F8EF18B">
      <w:pPr>
        <w:autoSpaceDE w:val="0"/>
        <w:autoSpaceDN w:val="0"/>
        <w:spacing w:before="100" w:beforeAutospacing="1" w:after="100" w:afterAutospacing="1" w:line="590" w:lineRule="atLeast"/>
        <w:jc w:val="center"/>
      </w:pPr>
      <w:r>
        <w:rPr>
          <w:rFonts w:hint="eastAsia" w:ascii="黑体" w:hAnsi="黑体" w:eastAsia="黑体"/>
          <w:sz w:val="32"/>
          <w:szCs w:val="32"/>
        </w:rPr>
        <w:t>第三部分</w:t>
      </w:r>
      <w:r>
        <w:rPr>
          <w:rFonts w:ascii="Calibri" w:hAnsi="Calibri" w:eastAsia="黑体"/>
          <w:sz w:val="32"/>
          <w:szCs w:val="32"/>
        </w:rPr>
        <w:t> </w:t>
      </w:r>
      <w:r>
        <w:rPr>
          <w:rFonts w:hint="eastAsia" w:ascii="黑体" w:hAnsi="黑体" w:eastAsia="黑体"/>
          <w:sz w:val="32"/>
          <w:szCs w:val="32"/>
        </w:rPr>
        <w:t xml:space="preserve"> 2020年度部门决算情况说明</w:t>
      </w:r>
    </w:p>
    <w:p w14:paraId="07E68E10">
      <w:pPr>
        <w:autoSpaceDE w:val="0"/>
        <w:autoSpaceDN w:val="0"/>
        <w:spacing w:before="100" w:beforeAutospacing="1" w:after="100" w:afterAutospacing="1" w:line="590" w:lineRule="atLeast"/>
        <w:ind w:firstLine="600"/>
      </w:pPr>
      <w:r>
        <w:rPr>
          <w:rFonts w:hint="eastAsia" w:ascii="黑体" w:hAnsi="黑体" w:eastAsia="黑体"/>
          <w:sz w:val="30"/>
          <w:szCs w:val="30"/>
        </w:rPr>
        <w:t>一、收入决算情况说明</w:t>
      </w:r>
    </w:p>
    <w:p w14:paraId="15A0FB6B">
      <w:pPr>
        <w:snapToGrid w:val="0"/>
        <w:spacing w:line="520" w:lineRule="exact"/>
        <w:ind w:firstLine="600" w:firstLineChars="200"/>
        <w:rPr>
          <w:rFonts w:ascii="仿宋" w:hAnsi="仿宋" w:eastAsia="仿宋"/>
          <w:sz w:val="30"/>
          <w:szCs w:val="30"/>
        </w:rPr>
      </w:pPr>
      <w:r>
        <w:rPr>
          <w:rFonts w:hint="eastAsia" w:ascii="仿宋" w:hAnsi="仿宋" w:eastAsia="仿宋"/>
          <w:sz w:val="30"/>
          <w:szCs w:val="30"/>
        </w:rPr>
        <w:t>昆明市盘龙区道路桥梁管理处部门2020年度收入合计2,595.99万元。其中：财政拨款收入2,595.99万元，占总收入的100.00%；上级补助收入0.00万元，占总收入的0.00%；事业收入0.00万元，占总收入的0.00%；经营收入0.00万元，占总收入的0.00%；附属单位缴款收入0.00万元，占总收入的0.00%；其他收入0.00万元，占总收入的0.00%。上年收收入合计2769.58万元，决算数较上年数减少6.3%，原因为项目资金较上年度减少。</w:t>
      </w:r>
    </w:p>
    <w:p w14:paraId="0F027C20">
      <w:pPr>
        <w:autoSpaceDE w:val="0"/>
        <w:autoSpaceDN w:val="0"/>
        <w:spacing w:before="100" w:beforeAutospacing="1" w:after="100" w:afterAutospacing="1" w:line="590" w:lineRule="atLeast"/>
        <w:ind w:firstLine="600"/>
      </w:pPr>
      <w:r>
        <w:rPr>
          <w:rFonts w:hint="eastAsia" w:ascii="黑体" w:hAnsi="黑体" w:eastAsia="黑体"/>
          <w:sz w:val="30"/>
          <w:szCs w:val="30"/>
        </w:rPr>
        <w:t>二、支出决算情况说明</w:t>
      </w:r>
    </w:p>
    <w:p w14:paraId="3BAF9E27">
      <w:pPr>
        <w:snapToGrid w:val="0"/>
        <w:spacing w:line="520" w:lineRule="exact"/>
        <w:ind w:firstLine="600" w:firstLineChars="200"/>
        <w:rPr>
          <w:rFonts w:ascii="仿宋" w:hAnsi="仿宋" w:eastAsia="仿宋"/>
          <w:sz w:val="30"/>
          <w:szCs w:val="30"/>
        </w:rPr>
      </w:pPr>
      <w:r>
        <w:rPr>
          <w:rFonts w:hint="eastAsia" w:ascii="仿宋" w:hAnsi="仿宋" w:eastAsia="仿宋"/>
          <w:sz w:val="30"/>
          <w:szCs w:val="30"/>
        </w:rPr>
        <w:t>昆明市盘龙区道路桥梁管理处部门2020年度支出合计2,595.99万元。其中：基本支出2,193.91万元，占总支出的84.51%；项目支出402.08万元，占总支出的15.49%；上缴上级支出、经营支出、对附属单位补助支出共0.00万元，占总支出的0.00%。支出数较上年数减少6.3%，原因为项目资金较上年度减少。</w:t>
      </w:r>
    </w:p>
    <w:p w14:paraId="1F616975">
      <w:pPr>
        <w:autoSpaceDE w:val="0"/>
        <w:autoSpaceDN w:val="0"/>
        <w:spacing w:before="100" w:beforeAutospacing="1" w:after="100" w:afterAutospacing="1" w:line="590" w:lineRule="atLeast"/>
        <w:ind w:firstLine="600"/>
      </w:pPr>
      <w:r>
        <w:rPr>
          <w:rFonts w:hint="eastAsia" w:ascii="楷体" w:hAnsi="楷体" w:eastAsia="楷体"/>
          <w:sz w:val="30"/>
          <w:szCs w:val="30"/>
        </w:rPr>
        <w:t>（一）基本支出情况</w:t>
      </w:r>
    </w:p>
    <w:p w14:paraId="6DE364B4">
      <w:pPr>
        <w:autoSpaceDE w:val="0"/>
        <w:autoSpaceDN w:val="0"/>
        <w:spacing w:before="100" w:beforeAutospacing="1" w:after="100" w:afterAutospacing="1" w:line="590" w:lineRule="atLeast"/>
        <w:ind w:firstLine="600"/>
        <w:rPr>
          <w:rFonts w:ascii="仿宋" w:hAnsi="仿宋" w:eastAsia="仿宋"/>
          <w:sz w:val="30"/>
          <w:szCs w:val="30"/>
        </w:rPr>
      </w:pPr>
      <w:r>
        <w:rPr>
          <w:rFonts w:hint="eastAsia" w:ascii="仿宋" w:hAnsi="仿宋" w:eastAsia="仿宋"/>
          <w:sz w:val="30"/>
          <w:szCs w:val="30"/>
        </w:rPr>
        <w:t>2020年度用于保障昆明市盘龙区道路桥梁管理处机关、下属事业单位等机构正常运转的日常支出2,193.91万元。包括基本工资、津贴补贴等人员经费支出2,060.18万元，占基本支出的93.90%。办公费、印刷费、水电费、办公设备购置等公用经费133.73万元，占基本支出的6.10%</w:t>
      </w:r>
      <w:r>
        <w:rPr>
          <w:rFonts w:hint="eastAsia" w:ascii="仿宋" w:hAnsi="仿宋" w:eastAsia="仿宋"/>
          <w:color w:val="000000"/>
          <w:sz w:val="30"/>
          <w:szCs w:val="30"/>
        </w:rPr>
        <w:t>。</w:t>
      </w:r>
      <w:r>
        <w:rPr>
          <w:rFonts w:hint="eastAsia" w:ascii="仿宋" w:hAnsi="仿宋" w:eastAsia="仿宋"/>
          <w:sz w:val="30"/>
          <w:szCs w:val="30"/>
        </w:rPr>
        <w:t>人员经费较上年度增加较大，增加原因为本年度新招录15名职工。</w:t>
      </w:r>
    </w:p>
    <w:p w14:paraId="3A0F224B">
      <w:pPr>
        <w:autoSpaceDE w:val="0"/>
        <w:autoSpaceDN w:val="0"/>
        <w:spacing w:before="100" w:beforeAutospacing="1" w:after="100" w:afterAutospacing="1" w:line="590" w:lineRule="atLeast"/>
        <w:ind w:firstLine="600"/>
      </w:pPr>
      <w:r>
        <w:rPr>
          <w:rFonts w:hint="eastAsia" w:ascii="楷体" w:hAnsi="楷体" w:eastAsia="楷体"/>
          <w:sz w:val="30"/>
          <w:szCs w:val="30"/>
        </w:rPr>
        <w:t>（二）项目支出情况</w:t>
      </w:r>
    </w:p>
    <w:p w14:paraId="54414B6C">
      <w:pPr>
        <w:ind w:firstLine="709"/>
        <w:rPr>
          <w:rFonts w:ascii="仿宋" w:hAnsi="仿宋" w:eastAsia="仿宋"/>
          <w:sz w:val="30"/>
          <w:szCs w:val="30"/>
        </w:rPr>
      </w:pPr>
      <w:r>
        <w:rPr>
          <w:rFonts w:hint="eastAsia" w:ascii="仿宋" w:hAnsi="仿宋" w:eastAsia="仿宋"/>
          <w:sz w:val="30"/>
          <w:szCs w:val="30"/>
        </w:rPr>
        <w:t>2020年度用于保障昆明市盘龙区道路桥梁管理处机构、下属事业单位等机构为完成特定的行政工作任务或事业发展目标，用于专项业务工作的经费支出402.08万元。较上年支出减少，项目支出因本年度项目大量为跨年度项目，项目均未完工，所以项目资金支出较少，待下年度项目完工后，项目资金使用量将增加。</w:t>
      </w:r>
    </w:p>
    <w:p w14:paraId="04A70CD8">
      <w:pPr>
        <w:autoSpaceDE w:val="0"/>
        <w:autoSpaceDN w:val="0"/>
        <w:spacing w:before="100" w:beforeAutospacing="1" w:after="100" w:afterAutospacing="1" w:line="590" w:lineRule="atLeast"/>
        <w:ind w:firstLine="600"/>
      </w:pPr>
      <w:r>
        <w:rPr>
          <w:rFonts w:hint="eastAsia" w:ascii="黑体" w:hAnsi="黑体" w:eastAsia="黑体"/>
          <w:sz w:val="30"/>
          <w:szCs w:val="30"/>
        </w:rPr>
        <w:t>三、一般公共预算财政拨款支出决算情况说明</w:t>
      </w:r>
    </w:p>
    <w:p w14:paraId="1C2BAAF3">
      <w:pPr>
        <w:autoSpaceDE w:val="0"/>
        <w:autoSpaceDN w:val="0"/>
        <w:spacing w:before="100" w:beforeAutospacing="1" w:after="100" w:afterAutospacing="1" w:line="590" w:lineRule="atLeast"/>
        <w:ind w:firstLine="600"/>
      </w:pPr>
      <w:r>
        <w:rPr>
          <w:rFonts w:hint="eastAsia" w:ascii="楷体" w:hAnsi="楷体" w:eastAsia="楷体"/>
          <w:sz w:val="30"/>
          <w:szCs w:val="30"/>
        </w:rPr>
        <w:t>（一）一般公共预算财政拨款支出决算总体情况</w:t>
      </w:r>
    </w:p>
    <w:p w14:paraId="5A828445">
      <w:pPr>
        <w:snapToGrid w:val="0"/>
        <w:spacing w:line="520" w:lineRule="exact"/>
        <w:ind w:firstLine="600" w:firstLineChars="200"/>
        <w:rPr>
          <w:rFonts w:ascii="仿宋" w:hAnsi="仿宋" w:eastAsia="仿宋"/>
          <w:sz w:val="30"/>
          <w:szCs w:val="30"/>
        </w:rPr>
      </w:pPr>
      <w:r>
        <w:rPr>
          <w:rFonts w:hint="eastAsia" w:ascii="仿宋" w:hAnsi="仿宋" w:eastAsia="仿宋"/>
          <w:sz w:val="30"/>
          <w:szCs w:val="30"/>
        </w:rPr>
        <w:t>昆明市盘龙区道路桥梁管理处部门2020年度一般公共预算财政拨款支出2,595.99万元，占本年支出合计的100.00%</w:t>
      </w:r>
      <w:r>
        <w:rPr>
          <w:rFonts w:hint="eastAsia" w:ascii="仿宋" w:hAnsi="仿宋" w:eastAsia="仿宋"/>
          <w:color w:val="000000"/>
          <w:sz w:val="30"/>
          <w:szCs w:val="30"/>
        </w:rPr>
        <w:t>。</w:t>
      </w:r>
      <w:r>
        <w:rPr>
          <w:rFonts w:hint="eastAsia" w:ascii="仿宋" w:hAnsi="仿宋" w:eastAsia="仿宋"/>
          <w:sz w:val="30"/>
          <w:szCs w:val="30"/>
        </w:rPr>
        <w:t>较上年数减少6.3%，原因为项目资金较上年度减少。</w:t>
      </w:r>
    </w:p>
    <w:p w14:paraId="5972AE7E">
      <w:pPr>
        <w:autoSpaceDE w:val="0"/>
        <w:autoSpaceDN w:val="0"/>
        <w:spacing w:before="100" w:beforeAutospacing="1" w:after="100" w:afterAutospacing="1" w:line="590" w:lineRule="atLeast"/>
        <w:ind w:firstLine="600"/>
      </w:pPr>
      <w:r>
        <w:rPr>
          <w:rFonts w:hint="eastAsia" w:ascii="楷体" w:hAnsi="楷体" w:eastAsia="楷体"/>
          <w:sz w:val="30"/>
          <w:szCs w:val="30"/>
        </w:rPr>
        <w:t>（二）一般公共预算财政拨款支出决算具体情况</w:t>
      </w:r>
    </w:p>
    <w:p w14:paraId="7AE1D9F8">
      <w:pPr>
        <w:autoSpaceDE w:val="0"/>
        <w:autoSpaceDN w:val="0"/>
        <w:spacing w:before="100" w:beforeAutospacing="1" w:after="100" w:afterAutospacing="1" w:line="590" w:lineRule="atLeast"/>
        <w:ind w:firstLine="600"/>
        <w:rPr>
          <w:rFonts w:ascii="仿宋" w:hAnsi="仿宋" w:eastAsia="仿宋"/>
          <w:color w:val="FF0000"/>
          <w:sz w:val="30"/>
          <w:szCs w:val="30"/>
        </w:rPr>
      </w:pPr>
      <w:r>
        <w:rPr>
          <w:rFonts w:hint="eastAsia" w:ascii="仿宋_GB2312" w:eastAsia="仿宋_GB2312"/>
          <w:sz w:val="30"/>
          <w:szCs w:val="30"/>
        </w:rPr>
        <w:t> </w:t>
      </w:r>
      <w:r>
        <w:rPr>
          <w:rFonts w:ascii="Calibri" w:hAnsi="Calibri" w:eastAsia="仿宋"/>
          <w:sz w:val="30"/>
          <w:szCs w:val="30"/>
        </w:rPr>
        <w:t> </w:t>
      </w:r>
      <w:r>
        <w:rPr>
          <w:rFonts w:hint="eastAsia" w:ascii="仿宋" w:hAnsi="仿宋" w:eastAsia="仿宋"/>
          <w:sz w:val="30"/>
          <w:szCs w:val="30"/>
        </w:rPr>
        <w:t>1.一般公共服务（类）支出0.00万元，占一般公共预算财政拨款总支出的0.00%。</w:t>
      </w:r>
    </w:p>
    <w:p w14:paraId="6B90002C">
      <w:pPr>
        <w:autoSpaceDE w:val="0"/>
        <w:autoSpaceDN w:val="0"/>
        <w:spacing w:before="100" w:beforeAutospacing="1" w:after="100" w:afterAutospacing="1" w:line="590" w:lineRule="atLeast"/>
        <w:ind w:firstLine="600"/>
        <w:rPr>
          <w:rFonts w:ascii="仿宋" w:hAnsi="仿宋" w:eastAsia="仿宋"/>
          <w:color w:val="FF0000"/>
          <w:sz w:val="30"/>
          <w:szCs w:val="30"/>
        </w:rPr>
      </w:pPr>
      <w:r>
        <w:rPr>
          <w:rFonts w:ascii="Calibri" w:hAnsi="Calibri" w:eastAsia="仿宋"/>
          <w:sz w:val="30"/>
          <w:szCs w:val="30"/>
        </w:rPr>
        <w:t> </w:t>
      </w:r>
      <w:r>
        <w:rPr>
          <w:rFonts w:hint="eastAsia" w:ascii="仿宋" w:hAnsi="仿宋" w:eastAsia="仿宋"/>
          <w:sz w:val="30"/>
          <w:szCs w:val="30"/>
        </w:rPr>
        <w:t xml:space="preserve"> 2.外交（类）支出0.00万元，占一般公共预算财政拨款总支出的0.00%。</w:t>
      </w:r>
    </w:p>
    <w:p w14:paraId="2100DC84">
      <w:pPr>
        <w:autoSpaceDE w:val="0"/>
        <w:autoSpaceDN w:val="0"/>
        <w:spacing w:before="100" w:beforeAutospacing="1" w:after="100" w:afterAutospacing="1" w:line="590" w:lineRule="atLeast"/>
        <w:ind w:firstLine="600"/>
        <w:rPr>
          <w:rFonts w:ascii="仿宋" w:hAnsi="仿宋" w:eastAsia="仿宋"/>
          <w:color w:val="FF0000"/>
          <w:sz w:val="30"/>
          <w:szCs w:val="30"/>
        </w:rPr>
      </w:pPr>
      <w:r>
        <w:rPr>
          <w:rFonts w:ascii="Calibri" w:hAnsi="Calibri" w:eastAsia="仿宋"/>
          <w:sz w:val="30"/>
          <w:szCs w:val="30"/>
        </w:rPr>
        <w:t> </w:t>
      </w:r>
      <w:r>
        <w:rPr>
          <w:rFonts w:hint="eastAsia" w:ascii="仿宋" w:hAnsi="仿宋" w:eastAsia="仿宋"/>
          <w:sz w:val="30"/>
          <w:szCs w:val="30"/>
        </w:rPr>
        <w:t xml:space="preserve"> 3.国防（类）支出0.00万元，占一般公共预算财政拨款总支出的0.00%。</w:t>
      </w:r>
    </w:p>
    <w:p w14:paraId="3724A35D">
      <w:pPr>
        <w:autoSpaceDE w:val="0"/>
        <w:autoSpaceDN w:val="0"/>
        <w:spacing w:before="100" w:beforeAutospacing="1" w:after="100" w:afterAutospacing="1" w:line="590" w:lineRule="atLeast"/>
        <w:ind w:firstLine="600"/>
        <w:rPr>
          <w:rFonts w:ascii="仿宋" w:hAnsi="仿宋" w:eastAsia="仿宋"/>
          <w:color w:val="FF0000"/>
          <w:sz w:val="30"/>
          <w:szCs w:val="30"/>
        </w:rPr>
      </w:pPr>
      <w:r>
        <w:rPr>
          <w:rFonts w:ascii="Calibri" w:hAnsi="Calibri" w:eastAsia="仿宋"/>
          <w:sz w:val="30"/>
          <w:szCs w:val="30"/>
        </w:rPr>
        <w:t> </w:t>
      </w:r>
      <w:r>
        <w:rPr>
          <w:rFonts w:hint="eastAsia" w:ascii="仿宋" w:hAnsi="仿宋" w:eastAsia="仿宋"/>
          <w:sz w:val="30"/>
          <w:szCs w:val="30"/>
        </w:rPr>
        <w:t xml:space="preserve"> 4.公共安全（类）支出0.00万元，占一般公共预算财政拨款总支出的0.00%。</w:t>
      </w:r>
    </w:p>
    <w:p w14:paraId="4D1B28FD">
      <w:pPr>
        <w:autoSpaceDE w:val="0"/>
        <w:autoSpaceDN w:val="0"/>
        <w:spacing w:before="100" w:beforeAutospacing="1" w:after="100" w:afterAutospacing="1" w:line="590" w:lineRule="atLeast"/>
        <w:ind w:firstLine="600"/>
        <w:rPr>
          <w:rFonts w:ascii="仿宋" w:hAnsi="仿宋" w:eastAsia="仿宋"/>
          <w:color w:val="FF0000"/>
          <w:sz w:val="30"/>
          <w:szCs w:val="30"/>
        </w:rPr>
      </w:pPr>
      <w:r>
        <w:rPr>
          <w:rFonts w:ascii="Calibri" w:hAnsi="Calibri" w:eastAsia="仿宋"/>
          <w:sz w:val="30"/>
          <w:szCs w:val="30"/>
        </w:rPr>
        <w:t> </w:t>
      </w:r>
      <w:r>
        <w:rPr>
          <w:rFonts w:hint="eastAsia" w:ascii="仿宋" w:hAnsi="仿宋" w:eastAsia="仿宋"/>
          <w:sz w:val="30"/>
          <w:szCs w:val="30"/>
        </w:rPr>
        <w:t xml:space="preserve"> 5.教育（类）支出0.00万元，占一般公共预算财政拨款总支出的0.00%。</w:t>
      </w:r>
    </w:p>
    <w:p w14:paraId="6F5ED8E9">
      <w:pPr>
        <w:autoSpaceDE w:val="0"/>
        <w:autoSpaceDN w:val="0"/>
        <w:spacing w:before="100" w:beforeAutospacing="1" w:after="100" w:afterAutospacing="1" w:line="590" w:lineRule="atLeast"/>
        <w:ind w:firstLine="600"/>
        <w:rPr>
          <w:rFonts w:ascii="仿宋" w:hAnsi="仿宋" w:eastAsia="仿宋"/>
          <w:color w:val="FF0000"/>
          <w:sz w:val="30"/>
          <w:szCs w:val="30"/>
        </w:rPr>
      </w:pPr>
      <w:r>
        <w:rPr>
          <w:rFonts w:ascii="Calibri" w:hAnsi="Calibri" w:eastAsia="仿宋"/>
          <w:sz w:val="30"/>
          <w:szCs w:val="30"/>
        </w:rPr>
        <w:t> </w:t>
      </w:r>
      <w:r>
        <w:rPr>
          <w:rFonts w:hint="eastAsia" w:ascii="仿宋" w:hAnsi="仿宋" w:eastAsia="仿宋"/>
          <w:sz w:val="30"/>
          <w:szCs w:val="30"/>
        </w:rPr>
        <w:t xml:space="preserve"> 6.科学技术（类）支出0.00万元，占一般公共预算财政拨款总支出的0.00%。</w:t>
      </w:r>
    </w:p>
    <w:p w14:paraId="2D4E11D3">
      <w:pPr>
        <w:autoSpaceDE w:val="0"/>
        <w:autoSpaceDN w:val="0"/>
        <w:spacing w:before="100" w:beforeAutospacing="1" w:after="100" w:afterAutospacing="1" w:line="590" w:lineRule="atLeast"/>
        <w:ind w:firstLine="600"/>
        <w:rPr>
          <w:rFonts w:ascii="仿宋" w:hAnsi="仿宋" w:eastAsia="仿宋"/>
          <w:color w:val="FF0000"/>
          <w:sz w:val="30"/>
          <w:szCs w:val="30"/>
        </w:rPr>
      </w:pPr>
      <w:r>
        <w:rPr>
          <w:rFonts w:ascii="Calibri" w:hAnsi="Calibri" w:eastAsia="仿宋"/>
          <w:sz w:val="30"/>
          <w:szCs w:val="30"/>
        </w:rPr>
        <w:t> </w:t>
      </w:r>
      <w:r>
        <w:rPr>
          <w:rFonts w:hint="eastAsia" w:ascii="仿宋" w:hAnsi="仿宋" w:eastAsia="仿宋"/>
          <w:sz w:val="30"/>
          <w:szCs w:val="30"/>
        </w:rPr>
        <w:t xml:space="preserve"> 7.文化旅游体育与传媒（类）支出0.00万元，占一般公共预算财政拨款总支出的0.00%。</w:t>
      </w:r>
    </w:p>
    <w:p w14:paraId="03D9AB7C">
      <w:pPr>
        <w:autoSpaceDE w:val="0"/>
        <w:autoSpaceDN w:val="0"/>
        <w:spacing w:before="100" w:beforeAutospacing="1" w:after="100" w:afterAutospacing="1" w:line="590" w:lineRule="atLeast"/>
        <w:ind w:firstLine="600"/>
        <w:rPr>
          <w:rFonts w:ascii="仿宋" w:hAnsi="仿宋" w:eastAsia="仿宋"/>
          <w:sz w:val="30"/>
          <w:szCs w:val="30"/>
        </w:rPr>
      </w:pPr>
      <w:r>
        <w:rPr>
          <w:rFonts w:ascii="Calibri" w:hAnsi="Calibri" w:eastAsia="仿宋"/>
          <w:sz w:val="30"/>
          <w:szCs w:val="30"/>
        </w:rPr>
        <w:t> </w:t>
      </w:r>
      <w:r>
        <w:rPr>
          <w:rFonts w:hint="eastAsia" w:ascii="仿宋" w:hAnsi="仿宋" w:eastAsia="仿宋"/>
          <w:sz w:val="30"/>
          <w:szCs w:val="30"/>
        </w:rPr>
        <w:t xml:space="preserve"> 8.社会保障和就业（类）支出225.83万元，占一般公共预算财政拨款总支出的8.70%。其中事业单位离退休费12.01万元、基本养老保险缴费支出156.08万元、职业年金缴费支出57.73万元。</w:t>
      </w:r>
    </w:p>
    <w:p w14:paraId="38E22585">
      <w:pPr>
        <w:autoSpaceDE w:val="0"/>
        <w:autoSpaceDN w:val="0"/>
        <w:spacing w:before="100" w:beforeAutospacing="1" w:after="100" w:afterAutospacing="1" w:line="590" w:lineRule="atLeast"/>
        <w:ind w:firstLine="600"/>
        <w:rPr>
          <w:rFonts w:ascii="仿宋" w:hAnsi="仿宋" w:eastAsia="仿宋"/>
          <w:sz w:val="30"/>
          <w:szCs w:val="30"/>
        </w:rPr>
      </w:pPr>
      <w:r>
        <w:rPr>
          <w:rFonts w:ascii="Calibri" w:hAnsi="Calibri" w:eastAsia="仿宋"/>
          <w:sz w:val="30"/>
          <w:szCs w:val="30"/>
        </w:rPr>
        <w:t> </w:t>
      </w:r>
      <w:r>
        <w:rPr>
          <w:rFonts w:hint="eastAsia" w:ascii="仿宋" w:hAnsi="仿宋" w:eastAsia="仿宋"/>
          <w:sz w:val="30"/>
          <w:szCs w:val="30"/>
        </w:rPr>
        <w:t xml:space="preserve"> 9.卫生健康（类）支出225.34万元，占一般公共预算财政拨款总支出的8.68%。其中事业单位医疗119.82万元、公务员医疗补助105.52万元。</w:t>
      </w:r>
    </w:p>
    <w:p w14:paraId="6CCEADF1">
      <w:pPr>
        <w:autoSpaceDE w:val="0"/>
        <w:autoSpaceDN w:val="0"/>
        <w:spacing w:before="100" w:beforeAutospacing="1" w:after="100" w:afterAutospacing="1" w:line="590" w:lineRule="atLeast"/>
        <w:ind w:firstLine="600"/>
        <w:rPr>
          <w:rFonts w:ascii="仿宋" w:hAnsi="仿宋" w:eastAsia="仿宋"/>
          <w:color w:val="FF0000"/>
          <w:sz w:val="30"/>
          <w:szCs w:val="30"/>
        </w:rPr>
      </w:pPr>
      <w:r>
        <w:rPr>
          <w:rFonts w:ascii="Calibri" w:hAnsi="Calibri" w:eastAsia="仿宋"/>
          <w:sz w:val="30"/>
          <w:szCs w:val="30"/>
        </w:rPr>
        <w:t> </w:t>
      </w:r>
      <w:r>
        <w:rPr>
          <w:rFonts w:hint="eastAsia" w:ascii="仿宋" w:hAnsi="仿宋" w:eastAsia="仿宋"/>
          <w:sz w:val="30"/>
          <w:szCs w:val="30"/>
        </w:rPr>
        <w:t xml:space="preserve"> 10.节能环保（类）支出0.00万元，占一般公共预算财政拨款总支出的0.00%。</w:t>
      </w:r>
    </w:p>
    <w:p w14:paraId="1659AC5E">
      <w:pPr>
        <w:autoSpaceDE w:val="0"/>
        <w:autoSpaceDN w:val="0"/>
        <w:spacing w:before="100" w:beforeAutospacing="1" w:after="100" w:afterAutospacing="1" w:line="590" w:lineRule="atLeast"/>
        <w:ind w:firstLine="600"/>
        <w:rPr>
          <w:rFonts w:ascii="仿宋" w:hAnsi="仿宋" w:eastAsia="仿宋"/>
          <w:sz w:val="30"/>
          <w:szCs w:val="30"/>
        </w:rPr>
      </w:pPr>
      <w:r>
        <w:rPr>
          <w:rFonts w:ascii="Calibri" w:hAnsi="Calibri" w:eastAsia="仿宋"/>
          <w:sz w:val="30"/>
          <w:szCs w:val="30"/>
        </w:rPr>
        <w:t> </w:t>
      </w:r>
      <w:r>
        <w:rPr>
          <w:rFonts w:hint="eastAsia" w:ascii="仿宋" w:hAnsi="仿宋" w:eastAsia="仿宋"/>
          <w:sz w:val="30"/>
          <w:szCs w:val="30"/>
        </w:rPr>
        <w:t xml:space="preserve"> 11.城乡社区（类）支出1,994.07万元，占一般公共预算财政拨款总支出的76.81%。其中工资福利支出1413.56万元、商品和服务支出133.73万元、对个人和家庭补助44.71万元、资本性支出402.08万元。</w:t>
      </w:r>
    </w:p>
    <w:p w14:paraId="002852D1">
      <w:pPr>
        <w:autoSpaceDE w:val="0"/>
        <w:autoSpaceDN w:val="0"/>
        <w:spacing w:before="100" w:beforeAutospacing="1" w:after="100" w:afterAutospacing="1" w:line="590" w:lineRule="atLeast"/>
        <w:ind w:firstLine="600"/>
        <w:rPr>
          <w:rFonts w:ascii="仿宋" w:hAnsi="仿宋" w:eastAsia="仿宋"/>
          <w:color w:val="FF0000"/>
          <w:sz w:val="30"/>
          <w:szCs w:val="30"/>
        </w:rPr>
      </w:pPr>
      <w:r>
        <w:rPr>
          <w:rFonts w:ascii="Calibri" w:hAnsi="Calibri" w:eastAsia="仿宋"/>
          <w:sz w:val="30"/>
          <w:szCs w:val="30"/>
        </w:rPr>
        <w:t> </w:t>
      </w:r>
      <w:r>
        <w:rPr>
          <w:rFonts w:hint="eastAsia" w:ascii="仿宋" w:hAnsi="仿宋" w:eastAsia="仿宋"/>
          <w:sz w:val="30"/>
          <w:szCs w:val="30"/>
        </w:rPr>
        <w:t xml:space="preserve"> 12.农林水（类）支出0.00万元，占一般公共预算财政拨款总支出的0.00%。</w:t>
      </w:r>
    </w:p>
    <w:p w14:paraId="364C76C8">
      <w:pPr>
        <w:autoSpaceDE w:val="0"/>
        <w:autoSpaceDN w:val="0"/>
        <w:spacing w:before="100" w:beforeAutospacing="1" w:after="100" w:afterAutospacing="1" w:line="590" w:lineRule="atLeast"/>
        <w:ind w:firstLine="600"/>
        <w:rPr>
          <w:rFonts w:ascii="仿宋" w:hAnsi="仿宋" w:eastAsia="仿宋"/>
          <w:color w:val="FF0000"/>
          <w:sz w:val="30"/>
          <w:szCs w:val="30"/>
        </w:rPr>
      </w:pPr>
      <w:r>
        <w:rPr>
          <w:rFonts w:ascii="Calibri" w:hAnsi="Calibri" w:eastAsia="仿宋"/>
          <w:sz w:val="30"/>
          <w:szCs w:val="30"/>
        </w:rPr>
        <w:t> </w:t>
      </w:r>
      <w:r>
        <w:rPr>
          <w:rFonts w:hint="eastAsia" w:ascii="仿宋" w:hAnsi="仿宋" w:eastAsia="仿宋"/>
          <w:sz w:val="30"/>
          <w:szCs w:val="30"/>
        </w:rPr>
        <w:t xml:space="preserve"> 13.交通运输（类）支出0.00万元，占一般公共预算财政拨款总支出的0.00%。</w:t>
      </w:r>
    </w:p>
    <w:p w14:paraId="33454C6D">
      <w:pPr>
        <w:autoSpaceDE w:val="0"/>
        <w:autoSpaceDN w:val="0"/>
        <w:spacing w:before="100" w:beforeAutospacing="1" w:after="100" w:afterAutospacing="1" w:line="590" w:lineRule="atLeast"/>
        <w:ind w:firstLine="600"/>
        <w:rPr>
          <w:rFonts w:ascii="仿宋" w:hAnsi="仿宋" w:eastAsia="仿宋"/>
          <w:color w:val="FF0000"/>
          <w:sz w:val="30"/>
          <w:szCs w:val="30"/>
        </w:rPr>
      </w:pPr>
      <w:r>
        <w:rPr>
          <w:rFonts w:ascii="Calibri" w:hAnsi="Calibri" w:eastAsia="仿宋"/>
          <w:sz w:val="30"/>
          <w:szCs w:val="30"/>
        </w:rPr>
        <w:t> </w:t>
      </w:r>
      <w:r>
        <w:rPr>
          <w:rFonts w:hint="eastAsia" w:ascii="仿宋" w:hAnsi="仿宋" w:eastAsia="仿宋"/>
          <w:sz w:val="30"/>
          <w:szCs w:val="30"/>
        </w:rPr>
        <w:t xml:space="preserve"> 14.资源勘探信息等（类）支出0.00万元，占一般公共预算财政拨款总支出的0.00%。</w:t>
      </w:r>
    </w:p>
    <w:p w14:paraId="3148743C">
      <w:pPr>
        <w:autoSpaceDE w:val="0"/>
        <w:autoSpaceDN w:val="0"/>
        <w:spacing w:before="100" w:beforeAutospacing="1" w:after="100" w:afterAutospacing="1" w:line="590" w:lineRule="atLeast"/>
        <w:ind w:firstLine="600"/>
        <w:rPr>
          <w:rFonts w:ascii="仿宋" w:hAnsi="仿宋" w:eastAsia="仿宋"/>
          <w:color w:val="FF0000"/>
          <w:sz w:val="30"/>
          <w:szCs w:val="30"/>
        </w:rPr>
      </w:pPr>
      <w:r>
        <w:rPr>
          <w:rFonts w:ascii="Calibri" w:hAnsi="Calibri" w:eastAsia="仿宋"/>
          <w:sz w:val="30"/>
          <w:szCs w:val="30"/>
        </w:rPr>
        <w:t> </w:t>
      </w:r>
      <w:r>
        <w:rPr>
          <w:rFonts w:hint="eastAsia" w:ascii="仿宋" w:hAnsi="仿宋" w:eastAsia="仿宋"/>
          <w:sz w:val="30"/>
          <w:szCs w:val="30"/>
        </w:rPr>
        <w:t xml:space="preserve"> 15.商业服务业等（类）支出0.00万元，占一般公共预算财政拨款总支出的0.00%。</w:t>
      </w:r>
    </w:p>
    <w:p w14:paraId="532FB7A8">
      <w:pPr>
        <w:autoSpaceDE w:val="0"/>
        <w:autoSpaceDN w:val="0"/>
        <w:spacing w:before="100" w:beforeAutospacing="1" w:after="100" w:afterAutospacing="1" w:line="590" w:lineRule="atLeast"/>
        <w:ind w:firstLine="600"/>
        <w:rPr>
          <w:rFonts w:ascii="仿宋" w:hAnsi="仿宋" w:eastAsia="仿宋"/>
          <w:color w:val="FF0000"/>
          <w:sz w:val="30"/>
          <w:szCs w:val="30"/>
        </w:rPr>
      </w:pPr>
      <w:r>
        <w:rPr>
          <w:rFonts w:ascii="Calibri" w:hAnsi="Calibri" w:eastAsia="仿宋"/>
          <w:sz w:val="30"/>
          <w:szCs w:val="30"/>
        </w:rPr>
        <w:t> </w:t>
      </w:r>
      <w:r>
        <w:rPr>
          <w:rFonts w:hint="eastAsia" w:ascii="仿宋" w:hAnsi="仿宋" w:eastAsia="仿宋"/>
          <w:sz w:val="30"/>
          <w:szCs w:val="30"/>
        </w:rPr>
        <w:t xml:space="preserve"> 16.金融（类）支出0.00万元，占一般公共预算财政拨款总支出的0.00%。</w:t>
      </w:r>
    </w:p>
    <w:p w14:paraId="1F48EBF7">
      <w:pPr>
        <w:autoSpaceDE w:val="0"/>
        <w:autoSpaceDN w:val="0"/>
        <w:spacing w:before="100" w:beforeAutospacing="1" w:after="100" w:afterAutospacing="1" w:line="590" w:lineRule="atLeast"/>
        <w:ind w:firstLine="600"/>
        <w:rPr>
          <w:rFonts w:ascii="仿宋" w:hAnsi="仿宋" w:eastAsia="仿宋"/>
          <w:color w:val="FF0000"/>
          <w:sz w:val="30"/>
          <w:szCs w:val="30"/>
        </w:rPr>
      </w:pPr>
      <w:r>
        <w:rPr>
          <w:rFonts w:ascii="Calibri" w:hAnsi="Calibri" w:eastAsia="仿宋"/>
          <w:sz w:val="30"/>
          <w:szCs w:val="30"/>
        </w:rPr>
        <w:t> </w:t>
      </w:r>
      <w:r>
        <w:rPr>
          <w:rFonts w:hint="eastAsia" w:ascii="仿宋" w:hAnsi="仿宋" w:eastAsia="仿宋"/>
          <w:sz w:val="30"/>
          <w:szCs w:val="30"/>
        </w:rPr>
        <w:t xml:space="preserve"> 17.援助其他地区（类）支出0.00万元，占一般公共预算财政拨款总支出的0.00%。</w:t>
      </w:r>
    </w:p>
    <w:p w14:paraId="1998BC20">
      <w:pPr>
        <w:autoSpaceDE w:val="0"/>
        <w:autoSpaceDN w:val="0"/>
        <w:spacing w:before="100" w:beforeAutospacing="1" w:after="100" w:afterAutospacing="1" w:line="590" w:lineRule="atLeast"/>
        <w:ind w:firstLine="600"/>
        <w:rPr>
          <w:rFonts w:ascii="仿宋" w:hAnsi="仿宋" w:eastAsia="仿宋"/>
          <w:color w:val="FF0000"/>
          <w:sz w:val="30"/>
          <w:szCs w:val="30"/>
        </w:rPr>
      </w:pPr>
      <w:r>
        <w:rPr>
          <w:rFonts w:ascii="Calibri" w:hAnsi="Calibri" w:eastAsia="仿宋"/>
          <w:sz w:val="30"/>
          <w:szCs w:val="30"/>
        </w:rPr>
        <w:t> </w:t>
      </w:r>
      <w:r>
        <w:rPr>
          <w:rFonts w:hint="eastAsia" w:ascii="仿宋" w:hAnsi="仿宋" w:eastAsia="仿宋"/>
          <w:sz w:val="30"/>
          <w:szCs w:val="30"/>
        </w:rPr>
        <w:t xml:space="preserve"> 18.自然资源海洋气象等（类）支出0.00万元，占一般公共预算财政拨款总支出的0.00%。</w:t>
      </w:r>
    </w:p>
    <w:p w14:paraId="4D4F0D80">
      <w:pPr>
        <w:autoSpaceDE w:val="0"/>
        <w:autoSpaceDN w:val="0"/>
        <w:spacing w:before="100" w:beforeAutospacing="1" w:after="100" w:afterAutospacing="1" w:line="590" w:lineRule="atLeast"/>
        <w:ind w:firstLine="600"/>
        <w:rPr>
          <w:rFonts w:ascii="仿宋" w:hAnsi="仿宋" w:eastAsia="仿宋"/>
          <w:color w:val="FF0000"/>
          <w:sz w:val="30"/>
          <w:szCs w:val="30"/>
        </w:rPr>
      </w:pPr>
      <w:r>
        <w:rPr>
          <w:rFonts w:ascii="Calibri" w:hAnsi="Calibri" w:eastAsia="仿宋"/>
          <w:sz w:val="30"/>
          <w:szCs w:val="30"/>
        </w:rPr>
        <w:t> </w:t>
      </w:r>
      <w:r>
        <w:rPr>
          <w:rFonts w:hint="eastAsia" w:ascii="仿宋" w:hAnsi="仿宋" w:eastAsia="仿宋"/>
          <w:sz w:val="30"/>
          <w:szCs w:val="30"/>
        </w:rPr>
        <w:t xml:space="preserve"> 19.住房保障（类）支出150.75万元，占一般公共预算财政拨款总支出的5.81%。主要用于住房公积金支出</w:t>
      </w:r>
      <w:r>
        <w:rPr>
          <w:rFonts w:hint="eastAsia" w:ascii="仿宋" w:hAnsi="仿宋" w:eastAsia="仿宋"/>
          <w:color w:val="00B050"/>
          <w:sz w:val="30"/>
          <w:szCs w:val="30"/>
        </w:rPr>
        <w:t>。</w:t>
      </w:r>
    </w:p>
    <w:p w14:paraId="2C02A0F6">
      <w:pPr>
        <w:autoSpaceDE w:val="0"/>
        <w:autoSpaceDN w:val="0"/>
        <w:spacing w:before="100" w:beforeAutospacing="1" w:after="100" w:afterAutospacing="1" w:line="590" w:lineRule="atLeast"/>
        <w:ind w:firstLine="600"/>
        <w:rPr>
          <w:rFonts w:ascii="仿宋" w:hAnsi="仿宋" w:eastAsia="仿宋"/>
          <w:color w:val="FF0000"/>
          <w:sz w:val="30"/>
          <w:szCs w:val="30"/>
        </w:rPr>
      </w:pPr>
      <w:r>
        <w:rPr>
          <w:rFonts w:ascii="Calibri" w:hAnsi="Calibri" w:eastAsia="仿宋"/>
          <w:sz w:val="30"/>
          <w:szCs w:val="30"/>
        </w:rPr>
        <w:t> </w:t>
      </w:r>
      <w:r>
        <w:rPr>
          <w:rFonts w:hint="eastAsia" w:ascii="仿宋" w:hAnsi="仿宋" w:eastAsia="仿宋"/>
          <w:sz w:val="30"/>
          <w:szCs w:val="30"/>
        </w:rPr>
        <w:t xml:space="preserve"> 20.粮油物资储备（类）支出0.00万元，占一般公共预算财政拨款总支出的0.00%。</w:t>
      </w:r>
    </w:p>
    <w:p w14:paraId="7C48A1AD">
      <w:pPr>
        <w:autoSpaceDE w:val="0"/>
        <w:autoSpaceDN w:val="0"/>
        <w:spacing w:before="100" w:beforeAutospacing="1" w:after="100" w:afterAutospacing="1" w:line="590" w:lineRule="atLeast"/>
        <w:ind w:firstLine="600"/>
        <w:rPr>
          <w:rFonts w:ascii="仿宋" w:hAnsi="仿宋" w:eastAsia="仿宋"/>
          <w:color w:val="FF0000"/>
          <w:sz w:val="30"/>
          <w:szCs w:val="30"/>
        </w:rPr>
      </w:pPr>
      <w:r>
        <w:rPr>
          <w:rFonts w:ascii="Calibri" w:hAnsi="Calibri" w:eastAsia="仿宋"/>
          <w:sz w:val="30"/>
          <w:szCs w:val="30"/>
        </w:rPr>
        <w:t> </w:t>
      </w:r>
      <w:r>
        <w:rPr>
          <w:rFonts w:hint="eastAsia" w:ascii="仿宋" w:hAnsi="仿宋" w:eastAsia="仿宋"/>
          <w:sz w:val="30"/>
          <w:szCs w:val="30"/>
        </w:rPr>
        <w:t xml:space="preserve"> 21.国有资本经营预算（类）支出0.00万元，占一般公共预算财政拨款总支出的0.00%。</w:t>
      </w:r>
    </w:p>
    <w:p w14:paraId="1A3BF137">
      <w:pPr>
        <w:autoSpaceDE w:val="0"/>
        <w:autoSpaceDN w:val="0"/>
        <w:spacing w:before="100" w:beforeAutospacing="1" w:after="100" w:afterAutospacing="1" w:line="590" w:lineRule="atLeast"/>
        <w:ind w:firstLine="600"/>
        <w:rPr>
          <w:rFonts w:ascii="仿宋" w:hAnsi="仿宋" w:eastAsia="仿宋"/>
          <w:color w:val="FF0000"/>
          <w:sz w:val="30"/>
          <w:szCs w:val="30"/>
        </w:rPr>
      </w:pPr>
      <w:r>
        <w:rPr>
          <w:rFonts w:ascii="Calibri" w:hAnsi="Calibri" w:eastAsia="仿宋"/>
          <w:sz w:val="30"/>
          <w:szCs w:val="30"/>
        </w:rPr>
        <w:t> </w:t>
      </w:r>
      <w:r>
        <w:rPr>
          <w:rFonts w:hint="eastAsia" w:ascii="仿宋" w:hAnsi="仿宋" w:eastAsia="仿宋"/>
          <w:sz w:val="30"/>
          <w:szCs w:val="30"/>
        </w:rPr>
        <w:t xml:space="preserve"> 22.灾害防治及应急管理（类）支出0.00万元，占一般公共预算财政拨款总支出的0.00%。</w:t>
      </w:r>
    </w:p>
    <w:p w14:paraId="50B318D6">
      <w:pPr>
        <w:autoSpaceDE w:val="0"/>
        <w:autoSpaceDN w:val="0"/>
        <w:spacing w:before="100" w:beforeAutospacing="1" w:after="100" w:afterAutospacing="1" w:line="590" w:lineRule="atLeast"/>
        <w:ind w:firstLine="600"/>
        <w:rPr>
          <w:rFonts w:ascii="仿宋" w:hAnsi="仿宋" w:eastAsia="仿宋"/>
          <w:color w:val="FF0000"/>
          <w:sz w:val="30"/>
          <w:szCs w:val="30"/>
        </w:rPr>
      </w:pPr>
      <w:r>
        <w:rPr>
          <w:rFonts w:ascii="Calibri" w:hAnsi="Calibri" w:eastAsia="仿宋"/>
          <w:sz w:val="30"/>
          <w:szCs w:val="30"/>
        </w:rPr>
        <w:t> </w:t>
      </w:r>
      <w:r>
        <w:rPr>
          <w:rFonts w:hint="eastAsia" w:ascii="仿宋" w:hAnsi="仿宋" w:eastAsia="仿宋"/>
          <w:sz w:val="30"/>
          <w:szCs w:val="30"/>
        </w:rPr>
        <w:t xml:space="preserve"> 23.其他（类）支出0.00万元，占一般公共预算财政拨款总支出的0.00%。</w:t>
      </w:r>
    </w:p>
    <w:p w14:paraId="36B5D850">
      <w:pPr>
        <w:autoSpaceDE w:val="0"/>
        <w:autoSpaceDN w:val="0"/>
        <w:spacing w:before="100" w:beforeAutospacing="1" w:after="100" w:afterAutospacing="1" w:line="590" w:lineRule="atLeast"/>
        <w:ind w:firstLine="600"/>
        <w:rPr>
          <w:rFonts w:ascii="仿宋" w:hAnsi="仿宋" w:eastAsia="仿宋"/>
          <w:color w:val="FF0000"/>
          <w:sz w:val="30"/>
          <w:szCs w:val="30"/>
        </w:rPr>
      </w:pPr>
      <w:r>
        <w:rPr>
          <w:rFonts w:ascii="Calibri" w:hAnsi="Calibri" w:eastAsia="仿宋"/>
          <w:sz w:val="30"/>
          <w:szCs w:val="30"/>
        </w:rPr>
        <w:t> </w:t>
      </w:r>
      <w:r>
        <w:rPr>
          <w:rFonts w:hint="eastAsia" w:ascii="仿宋" w:hAnsi="仿宋" w:eastAsia="仿宋"/>
          <w:sz w:val="30"/>
          <w:szCs w:val="30"/>
        </w:rPr>
        <w:t xml:space="preserve"> 24.债务还本（类）支出0.00万元，占一般公共预算财政拨款总支出的0.00%。</w:t>
      </w:r>
    </w:p>
    <w:p w14:paraId="5B81A6EA">
      <w:pPr>
        <w:autoSpaceDE w:val="0"/>
        <w:autoSpaceDN w:val="0"/>
        <w:spacing w:before="100" w:beforeAutospacing="1" w:after="100" w:afterAutospacing="1" w:line="590" w:lineRule="atLeast"/>
        <w:ind w:firstLine="600"/>
        <w:rPr>
          <w:rFonts w:ascii="仿宋" w:hAnsi="仿宋" w:eastAsia="仿宋"/>
          <w:color w:val="FF0000"/>
          <w:sz w:val="30"/>
          <w:szCs w:val="30"/>
        </w:rPr>
      </w:pPr>
      <w:r>
        <w:rPr>
          <w:rFonts w:ascii="Calibri" w:hAnsi="Calibri" w:eastAsia="仿宋"/>
          <w:sz w:val="30"/>
          <w:szCs w:val="30"/>
        </w:rPr>
        <w:t> </w:t>
      </w:r>
      <w:r>
        <w:rPr>
          <w:rFonts w:hint="eastAsia" w:ascii="仿宋" w:hAnsi="仿宋" w:eastAsia="仿宋"/>
          <w:sz w:val="30"/>
          <w:szCs w:val="30"/>
        </w:rPr>
        <w:t xml:space="preserve"> 25.债务付息（类）支出0.00万元，占一般公共预算财政拨款总支出的0.00%。</w:t>
      </w:r>
    </w:p>
    <w:p w14:paraId="126F9F9B">
      <w:pPr>
        <w:autoSpaceDE w:val="0"/>
        <w:autoSpaceDN w:val="0"/>
        <w:spacing w:before="100" w:beforeAutospacing="1" w:after="100" w:afterAutospacing="1" w:line="590" w:lineRule="atLeast"/>
        <w:ind w:firstLine="600"/>
        <w:rPr>
          <w:rFonts w:ascii="仿宋" w:hAnsi="仿宋" w:eastAsia="仿宋"/>
          <w:color w:val="FF0000"/>
          <w:sz w:val="30"/>
          <w:szCs w:val="30"/>
        </w:rPr>
      </w:pPr>
      <w:r>
        <w:rPr>
          <w:rFonts w:ascii="Calibri" w:hAnsi="Calibri" w:eastAsia="仿宋"/>
          <w:sz w:val="30"/>
          <w:szCs w:val="30"/>
        </w:rPr>
        <w:t> </w:t>
      </w:r>
      <w:r>
        <w:rPr>
          <w:rFonts w:hint="eastAsia" w:ascii="仿宋" w:hAnsi="仿宋" w:eastAsia="仿宋"/>
          <w:sz w:val="30"/>
          <w:szCs w:val="30"/>
        </w:rPr>
        <w:t xml:space="preserve"> 26.抗疫特别国债安排（类）支出0.00万元，占一般公共预算财政拨款总支出的0.00%。</w:t>
      </w:r>
    </w:p>
    <w:p w14:paraId="3227C61C">
      <w:pPr>
        <w:autoSpaceDE w:val="0"/>
        <w:autoSpaceDN w:val="0"/>
        <w:spacing w:before="100" w:beforeAutospacing="1" w:after="100" w:afterAutospacing="1" w:line="590" w:lineRule="atLeast"/>
        <w:ind w:firstLine="600"/>
      </w:pPr>
      <w:r>
        <w:rPr>
          <w:rFonts w:hint="eastAsia" w:ascii="黑体" w:hAnsi="黑体" w:eastAsia="黑体"/>
          <w:sz w:val="30"/>
          <w:szCs w:val="30"/>
        </w:rPr>
        <w:t>四、一般公共预算财政拨款</w:t>
      </w:r>
      <w:r>
        <w:rPr>
          <w:rFonts w:ascii="Times New Roman" w:hAnsi="Times New Roman" w:cs="Times New Roman"/>
          <w:sz w:val="30"/>
          <w:szCs w:val="30"/>
        </w:rPr>
        <w:t>“</w:t>
      </w:r>
      <w:r>
        <w:rPr>
          <w:rFonts w:hint="eastAsia" w:ascii="黑体" w:hAnsi="黑体" w:eastAsia="黑体"/>
          <w:sz w:val="30"/>
          <w:szCs w:val="30"/>
        </w:rPr>
        <w:t>三公</w:t>
      </w:r>
      <w:r>
        <w:rPr>
          <w:rFonts w:ascii="Times New Roman" w:hAnsi="Times New Roman" w:cs="Times New Roman"/>
          <w:sz w:val="30"/>
          <w:szCs w:val="30"/>
        </w:rPr>
        <w:t>”</w:t>
      </w:r>
      <w:r>
        <w:rPr>
          <w:rFonts w:hint="eastAsia" w:ascii="黑体" w:hAnsi="黑体" w:eastAsia="黑体"/>
          <w:sz w:val="30"/>
          <w:szCs w:val="30"/>
        </w:rPr>
        <w:t>经费支出决算情况说明</w:t>
      </w:r>
    </w:p>
    <w:p w14:paraId="0FF2332F">
      <w:pPr>
        <w:autoSpaceDE w:val="0"/>
        <w:autoSpaceDN w:val="0"/>
        <w:spacing w:before="100" w:beforeAutospacing="1" w:after="100" w:afterAutospacing="1" w:line="590" w:lineRule="atLeast"/>
        <w:ind w:firstLine="600"/>
      </w:pPr>
      <w:r>
        <w:rPr>
          <w:rFonts w:hint="eastAsia" w:ascii="楷体" w:hAnsi="楷体" w:eastAsia="楷体"/>
          <w:sz w:val="30"/>
          <w:szCs w:val="30"/>
        </w:rPr>
        <w:t>(一)</w:t>
      </w:r>
      <w:r>
        <w:rPr>
          <w:rFonts w:hint="eastAsia" w:ascii="黑体" w:hAnsi="黑体" w:eastAsia="黑体"/>
          <w:sz w:val="30"/>
          <w:szCs w:val="30"/>
        </w:rPr>
        <w:t xml:space="preserve"> </w:t>
      </w:r>
      <w:r>
        <w:rPr>
          <w:rFonts w:hint="eastAsia" w:ascii="楷体" w:hAnsi="楷体" w:eastAsia="楷体"/>
          <w:sz w:val="30"/>
          <w:szCs w:val="30"/>
        </w:rPr>
        <w:t>一般公共预算财政拨款</w:t>
      </w:r>
      <w:r>
        <w:rPr>
          <w:rFonts w:ascii="Times New Roman" w:hAnsi="Times New Roman" w:cs="Times New Roman"/>
          <w:sz w:val="30"/>
          <w:szCs w:val="30"/>
        </w:rPr>
        <w:t>“</w:t>
      </w:r>
      <w:r>
        <w:rPr>
          <w:rFonts w:hint="eastAsia" w:ascii="楷体" w:hAnsi="楷体" w:eastAsia="楷体"/>
          <w:sz w:val="30"/>
          <w:szCs w:val="30"/>
        </w:rPr>
        <w:t>三公</w:t>
      </w:r>
      <w:r>
        <w:rPr>
          <w:rFonts w:ascii="Times New Roman" w:hAnsi="Times New Roman" w:cs="Times New Roman"/>
          <w:sz w:val="30"/>
          <w:szCs w:val="30"/>
        </w:rPr>
        <w:t>”</w:t>
      </w:r>
      <w:r>
        <w:rPr>
          <w:rFonts w:hint="eastAsia" w:ascii="楷体" w:hAnsi="楷体" w:eastAsia="楷体"/>
          <w:sz w:val="30"/>
          <w:szCs w:val="30"/>
        </w:rPr>
        <w:t>经费支出决算总体情况</w:t>
      </w:r>
    </w:p>
    <w:p w14:paraId="1A236294">
      <w:pPr>
        <w:snapToGrid w:val="0"/>
        <w:spacing w:line="520" w:lineRule="exact"/>
        <w:ind w:firstLine="600" w:firstLineChars="200"/>
        <w:rPr>
          <w:rFonts w:ascii="仿宋" w:hAnsi="仿宋" w:eastAsia="仿宋"/>
          <w:sz w:val="30"/>
          <w:szCs w:val="30"/>
        </w:rPr>
      </w:pPr>
      <w:r>
        <w:rPr>
          <w:rFonts w:hint="eastAsia" w:ascii="仿宋" w:hAnsi="仿宋" w:eastAsia="仿宋"/>
          <w:sz w:val="30"/>
          <w:szCs w:val="30"/>
        </w:rPr>
        <w:t>昆明市盘龙区道路桥梁管理处部门2020年度一般公共预算财政拨款</w:t>
      </w:r>
      <w:r>
        <w:rPr>
          <w:rFonts w:ascii="Times New Roman" w:hAnsi="Times New Roman" w:cs="Times New Roman"/>
          <w:sz w:val="30"/>
          <w:szCs w:val="30"/>
        </w:rPr>
        <w:t>“</w:t>
      </w:r>
      <w:r>
        <w:rPr>
          <w:rFonts w:hint="eastAsia" w:ascii="仿宋" w:hAnsi="仿宋" w:eastAsia="仿宋"/>
          <w:sz w:val="30"/>
          <w:szCs w:val="30"/>
        </w:rPr>
        <w:t>三公</w:t>
      </w:r>
      <w:r>
        <w:rPr>
          <w:rFonts w:ascii="Times New Roman" w:hAnsi="Times New Roman" w:cs="Times New Roman"/>
          <w:sz w:val="30"/>
          <w:szCs w:val="30"/>
        </w:rPr>
        <w:t>”</w:t>
      </w:r>
      <w:r>
        <w:rPr>
          <w:rFonts w:hint="eastAsia" w:ascii="仿宋" w:hAnsi="仿宋" w:eastAsia="仿宋"/>
          <w:sz w:val="30"/>
          <w:szCs w:val="30"/>
        </w:rPr>
        <w:t>经费支出预算为17.6万元，支出决算为0.00万元，完成预算的-100%。其中：因公出国（境）费支出决算为0.00万元，完成预算的0%；公务用车购置及运行费支出决算为0.00万元，完成预算的0%；公务接待费支出决算为0.00万元，完成预算的0%。为响应厉行节约的精神，“三公”经费未支出，所以预、决算差异率为－100%。</w:t>
      </w:r>
    </w:p>
    <w:p w14:paraId="139BAEB6">
      <w:pPr>
        <w:autoSpaceDE w:val="0"/>
        <w:autoSpaceDN w:val="0"/>
        <w:spacing w:before="100" w:beforeAutospacing="1" w:after="100" w:afterAutospacing="1" w:line="590" w:lineRule="atLeast"/>
        <w:ind w:firstLine="600"/>
        <w:rPr>
          <w:rFonts w:ascii="仿宋" w:hAnsi="仿宋" w:eastAsia="仿宋"/>
          <w:color w:val="FF0000"/>
          <w:sz w:val="30"/>
          <w:szCs w:val="30"/>
        </w:rPr>
      </w:pPr>
      <w:r>
        <w:rPr>
          <w:rFonts w:hint="eastAsia" w:ascii="仿宋" w:hAnsi="仿宋" w:eastAsia="仿宋"/>
          <w:sz w:val="30"/>
          <w:szCs w:val="30"/>
        </w:rPr>
        <w:t>2020年度一般公共预算财政拨款</w:t>
      </w:r>
      <w:r>
        <w:rPr>
          <w:rFonts w:ascii="Times New Roman" w:hAnsi="Times New Roman" w:cs="Times New Roman"/>
          <w:sz w:val="30"/>
          <w:szCs w:val="30"/>
        </w:rPr>
        <w:t>“</w:t>
      </w:r>
      <w:r>
        <w:rPr>
          <w:rFonts w:hint="eastAsia" w:ascii="仿宋" w:hAnsi="仿宋" w:eastAsia="仿宋"/>
          <w:sz w:val="30"/>
          <w:szCs w:val="30"/>
        </w:rPr>
        <w:t>三公</w:t>
      </w:r>
      <w:r>
        <w:rPr>
          <w:rFonts w:ascii="Times New Roman" w:hAnsi="Times New Roman" w:cs="Times New Roman"/>
          <w:sz w:val="30"/>
          <w:szCs w:val="30"/>
        </w:rPr>
        <w:t>”</w:t>
      </w:r>
      <w:r>
        <w:rPr>
          <w:rFonts w:hint="eastAsia" w:ascii="仿宋" w:hAnsi="仿宋" w:eastAsia="仿宋"/>
          <w:sz w:val="30"/>
          <w:szCs w:val="30"/>
        </w:rPr>
        <w:t>经费支出决算数比2019年增加/减少0.00万元，增长/下降0.00%。其中：因公出国（境）费支出决算增加/减少0.00万元，增长/下降0.00%；公务用车购置及运行费支出决算增加/减少0.00万元，增长/下降0.00%；公务接待费支出决算增加/减少0.00万元，增长/下降</w:t>
      </w:r>
      <w:r>
        <w:rPr>
          <w:rFonts w:hint="eastAsia" w:ascii="仿宋" w:hAnsi="仿宋" w:eastAsia="仿宋"/>
          <w:color w:val="000000"/>
          <w:sz w:val="30"/>
          <w:szCs w:val="30"/>
        </w:rPr>
        <w:t>0.00%。</w:t>
      </w:r>
    </w:p>
    <w:p w14:paraId="55324795">
      <w:pPr>
        <w:autoSpaceDE w:val="0"/>
        <w:autoSpaceDN w:val="0"/>
        <w:spacing w:before="100" w:beforeAutospacing="1" w:after="100" w:afterAutospacing="1" w:line="590" w:lineRule="atLeast"/>
        <w:ind w:firstLine="600"/>
      </w:pPr>
      <w:r>
        <w:rPr>
          <w:rFonts w:hint="eastAsia" w:ascii="楷体" w:hAnsi="楷体" w:eastAsia="楷体"/>
          <w:sz w:val="30"/>
          <w:szCs w:val="30"/>
        </w:rPr>
        <w:t xml:space="preserve"> (二)</w:t>
      </w:r>
      <w:r>
        <w:rPr>
          <w:rFonts w:hint="eastAsia" w:ascii="仿宋_GB2312" w:eastAsia="仿宋_GB2312"/>
          <w:sz w:val="30"/>
          <w:szCs w:val="30"/>
        </w:rPr>
        <w:t xml:space="preserve"> </w:t>
      </w:r>
      <w:r>
        <w:rPr>
          <w:rFonts w:hint="eastAsia" w:ascii="楷体" w:hAnsi="楷体" w:eastAsia="楷体"/>
          <w:sz w:val="30"/>
          <w:szCs w:val="30"/>
        </w:rPr>
        <w:t>一般公共预算财政拨款</w:t>
      </w:r>
      <w:r>
        <w:rPr>
          <w:rFonts w:ascii="Times New Roman" w:hAnsi="Times New Roman" w:cs="Times New Roman"/>
          <w:sz w:val="30"/>
          <w:szCs w:val="30"/>
        </w:rPr>
        <w:t>“</w:t>
      </w:r>
      <w:r>
        <w:rPr>
          <w:rFonts w:hint="eastAsia" w:ascii="楷体" w:hAnsi="楷体" w:eastAsia="楷体"/>
          <w:sz w:val="30"/>
          <w:szCs w:val="30"/>
        </w:rPr>
        <w:t>三公</w:t>
      </w:r>
      <w:r>
        <w:rPr>
          <w:rFonts w:ascii="Times New Roman" w:hAnsi="Times New Roman" w:cs="Times New Roman"/>
          <w:sz w:val="30"/>
          <w:szCs w:val="30"/>
        </w:rPr>
        <w:t>”</w:t>
      </w:r>
      <w:r>
        <w:rPr>
          <w:rFonts w:hint="eastAsia" w:ascii="楷体" w:hAnsi="楷体" w:eastAsia="楷体"/>
          <w:sz w:val="30"/>
          <w:szCs w:val="30"/>
        </w:rPr>
        <w:t>经费支出决算具体情况</w:t>
      </w:r>
    </w:p>
    <w:p w14:paraId="474B473C">
      <w:pPr>
        <w:autoSpaceDE w:val="0"/>
        <w:autoSpaceDN w:val="0"/>
        <w:spacing w:before="100" w:beforeAutospacing="1" w:after="100" w:afterAutospacing="1" w:line="590" w:lineRule="atLeast"/>
        <w:ind w:firstLine="600"/>
      </w:pPr>
      <w:r>
        <w:rPr>
          <w:rFonts w:hint="eastAsia" w:ascii="仿宋" w:hAnsi="仿宋" w:eastAsia="仿宋"/>
          <w:sz w:val="30"/>
          <w:szCs w:val="30"/>
        </w:rPr>
        <w:t>2020年度</w:t>
      </w:r>
      <w:r>
        <w:rPr>
          <w:rFonts w:hint="eastAsia" w:ascii="仿宋_GB2312" w:eastAsia="仿宋_GB2312"/>
          <w:sz w:val="30"/>
          <w:szCs w:val="30"/>
        </w:rPr>
        <w:t>一</w:t>
      </w:r>
      <w:r>
        <w:rPr>
          <w:rFonts w:hint="eastAsia" w:ascii="仿宋" w:hAnsi="仿宋" w:eastAsia="仿宋"/>
          <w:sz w:val="30"/>
          <w:szCs w:val="30"/>
        </w:rPr>
        <w:t>般公共预算财政拨款</w:t>
      </w:r>
      <w:r>
        <w:rPr>
          <w:rFonts w:ascii="Times New Roman" w:hAnsi="Times New Roman" w:cs="Times New Roman"/>
          <w:sz w:val="30"/>
          <w:szCs w:val="30"/>
        </w:rPr>
        <w:t>“</w:t>
      </w:r>
      <w:r>
        <w:rPr>
          <w:rFonts w:hint="eastAsia" w:ascii="仿宋" w:hAnsi="仿宋" w:eastAsia="仿宋"/>
          <w:sz w:val="30"/>
          <w:szCs w:val="30"/>
        </w:rPr>
        <w:t>三公</w:t>
      </w:r>
      <w:r>
        <w:rPr>
          <w:rFonts w:ascii="Times New Roman" w:hAnsi="Times New Roman" w:cs="Times New Roman"/>
          <w:sz w:val="30"/>
          <w:szCs w:val="30"/>
        </w:rPr>
        <w:t>”</w:t>
      </w:r>
      <w:r>
        <w:rPr>
          <w:rFonts w:hint="eastAsia" w:ascii="仿宋" w:hAnsi="仿宋" w:eastAsia="仿宋"/>
          <w:sz w:val="30"/>
          <w:szCs w:val="30"/>
        </w:rPr>
        <w:t>经费支出决算中，因公出国（境）费支出0.00万元，占0.00%；公务用车购置及运行维护费支出0.00万元，占0.00%；公务接待费支出0.00万元，占0.00%。具体情况如下：</w:t>
      </w:r>
    </w:p>
    <w:p w14:paraId="1B420214">
      <w:pPr>
        <w:autoSpaceDE w:val="0"/>
        <w:autoSpaceDN w:val="0"/>
        <w:spacing w:before="100" w:beforeAutospacing="1" w:after="100" w:afterAutospacing="1" w:line="590" w:lineRule="atLeast"/>
        <w:ind w:firstLine="602"/>
        <w:rPr>
          <w:rFonts w:ascii="仿宋" w:hAnsi="仿宋" w:eastAsia="仿宋"/>
          <w:color w:val="FF0000"/>
          <w:sz w:val="30"/>
          <w:szCs w:val="30"/>
        </w:rPr>
      </w:pPr>
      <w:r>
        <w:rPr>
          <w:rFonts w:hint="eastAsia" w:ascii="仿宋" w:hAnsi="仿宋" w:eastAsia="仿宋"/>
          <w:b/>
          <w:bCs/>
          <w:sz w:val="30"/>
          <w:szCs w:val="30"/>
        </w:rPr>
        <w:t>1.因公出国（境）费</w:t>
      </w:r>
      <w:r>
        <w:rPr>
          <w:rFonts w:hint="eastAsia" w:ascii="仿宋" w:hAnsi="仿宋" w:eastAsia="仿宋"/>
          <w:sz w:val="30"/>
          <w:szCs w:val="30"/>
        </w:rPr>
        <w:t>支出0.00万元，共安排因公出国（境）团组0个，累计0人次。</w:t>
      </w:r>
    </w:p>
    <w:p w14:paraId="4290B1FB">
      <w:pPr>
        <w:autoSpaceDE w:val="0"/>
        <w:autoSpaceDN w:val="0"/>
        <w:spacing w:before="100" w:beforeAutospacing="1" w:after="100" w:afterAutospacing="1" w:line="590" w:lineRule="atLeast"/>
        <w:ind w:firstLine="602"/>
      </w:pPr>
      <w:r>
        <w:rPr>
          <w:rFonts w:hint="eastAsia" w:ascii="仿宋" w:hAnsi="仿宋" w:eastAsia="仿宋"/>
          <w:b/>
          <w:bCs/>
          <w:sz w:val="30"/>
          <w:szCs w:val="30"/>
        </w:rPr>
        <w:t>2. 公务用车购置及运行维护费</w:t>
      </w:r>
      <w:r>
        <w:rPr>
          <w:rFonts w:hint="eastAsia" w:ascii="仿宋" w:hAnsi="仿宋" w:eastAsia="仿宋"/>
          <w:sz w:val="30"/>
          <w:szCs w:val="30"/>
        </w:rPr>
        <w:t>支出0.00万元。其中：</w:t>
      </w:r>
    </w:p>
    <w:p w14:paraId="3B8B7C5B">
      <w:pPr>
        <w:autoSpaceDE w:val="0"/>
        <w:autoSpaceDN w:val="0"/>
        <w:spacing w:before="100" w:beforeAutospacing="1" w:after="100" w:afterAutospacing="1" w:line="590" w:lineRule="atLeast"/>
        <w:ind w:firstLine="602"/>
        <w:rPr>
          <w:rFonts w:ascii="仿宋" w:hAnsi="仿宋" w:eastAsia="仿宋"/>
          <w:color w:val="FF0000"/>
          <w:sz w:val="30"/>
          <w:szCs w:val="30"/>
        </w:rPr>
      </w:pPr>
      <w:r>
        <w:rPr>
          <w:rFonts w:hint="eastAsia" w:ascii="仿宋" w:hAnsi="仿宋" w:eastAsia="仿宋"/>
          <w:b/>
          <w:bCs/>
          <w:sz w:val="30"/>
          <w:szCs w:val="30"/>
        </w:rPr>
        <w:t>公务用车购置</w:t>
      </w:r>
      <w:r>
        <w:rPr>
          <w:rFonts w:hint="eastAsia" w:ascii="仿宋" w:hAnsi="仿宋" w:eastAsia="仿宋"/>
          <w:sz w:val="30"/>
          <w:szCs w:val="30"/>
        </w:rPr>
        <w:t>支出0.00万元，购置车辆0.00辆。</w:t>
      </w:r>
      <w:r>
        <w:rPr>
          <w:rFonts w:hint="eastAsia" w:ascii="仿宋" w:hAnsi="仿宋" w:eastAsia="仿宋"/>
          <w:b/>
          <w:bCs/>
          <w:sz w:val="30"/>
          <w:szCs w:val="30"/>
        </w:rPr>
        <w:t>公务用车运行维护</w:t>
      </w:r>
      <w:r>
        <w:rPr>
          <w:rFonts w:hint="eastAsia" w:ascii="仿宋" w:hAnsi="仿宋" w:eastAsia="仿宋"/>
          <w:sz w:val="30"/>
          <w:szCs w:val="30"/>
        </w:rPr>
        <w:t>支出0.00万元，开支一般公共预算财政拨款的公务用车保有量为0辆。</w:t>
      </w:r>
    </w:p>
    <w:p w14:paraId="203F17D7">
      <w:pPr>
        <w:autoSpaceDE w:val="0"/>
        <w:autoSpaceDN w:val="0"/>
        <w:spacing w:before="100" w:beforeAutospacing="1" w:after="100" w:afterAutospacing="1" w:line="590" w:lineRule="atLeast"/>
        <w:ind w:firstLine="602"/>
      </w:pPr>
      <w:r>
        <w:rPr>
          <w:rFonts w:hint="eastAsia" w:ascii="仿宋" w:hAnsi="仿宋" w:eastAsia="仿宋"/>
          <w:b/>
          <w:bCs/>
          <w:sz w:val="30"/>
          <w:szCs w:val="30"/>
        </w:rPr>
        <w:t>3.公务接待费</w:t>
      </w:r>
      <w:r>
        <w:rPr>
          <w:rFonts w:hint="eastAsia" w:ascii="仿宋" w:hAnsi="仿宋" w:eastAsia="仿宋"/>
          <w:sz w:val="30"/>
          <w:szCs w:val="30"/>
        </w:rPr>
        <w:t>0.00万元。其中：</w:t>
      </w:r>
    </w:p>
    <w:p w14:paraId="01429D62">
      <w:pPr>
        <w:autoSpaceDE w:val="0"/>
        <w:autoSpaceDN w:val="0"/>
        <w:spacing w:before="100" w:beforeAutospacing="1" w:after="100" w:afterAutospacing="1" w:line="590" w:lineRule="atLeast"/>
        <w:ind w:firstLine="602"/>
        <w:rPr>
          <w:rFonts w:ascii="仿宋" w:hAnsi="仿宋" w:eastAsia="仿宋"/>
          <w:color w:val="FF0000"/>
          <w:sz w:val="30"/>
          <w:szCs w:val="30"/>
        </w:rPr>
      </w:pPr>
      <w:r>
        <w:rPr>
          <w:rFonts w:hint="eastAsia" w:ascii="仿宋" w:hAnsi="仿宋" w:eastAsia="仿宋"/>
          <w:b/>
          <w:bCs/>
          <w:sz w:val="30"/>
          <w:szCs w:val="30"/>
        </w:rPr>
        <w:t>国内接待费</w:t>
      </w:r>
      <w:r>
        <w:rPr>
          <w:rFonts w:hint="eastAsia" w:ascii="仿宋" w:hAnsi="仿宋" w:eastAsia="仿宋"/>
          <w:sz w:val="30"/>
          <w:szCs w:val="30"/>
        </w:rPr>
        <w:t>支出0.00万元（其中：外事接待费支出0.00万元），共安排国内公务接待0批次（其中：外事接待0批次），接待人次0人（其中：外事接待人次0人）。</w:t>
      </w:r>
    </w:p>
    <w:p w14:paraId="22E5D79F">
      <w:pPr>
        <w:autoSpaceDE w:val="0"/>
        <w:autoSpaceDN w:val="0"/>
        <w:spacing w:before="100" w:beforeAutospacing="1" w:after="100" w:afterAutospacing="1" w:line="590" w:lineRule="atLeast"/>
        <w:ind w:firstLine="602"/>
      </w:pPr>
      <w:r>
        <w:rPr>
          <w:rFonts w:hint="eastAsia" w:ascii="仿宋" w:hAnsi="仿宋" w:eastAsia="仿宋"/>
          <w:b/>
          <w:bCs/>
          <w:sz w:val="30"/>
          <w:szCs w:val="30"/>
        </w:rPr>
        <w:t>国（境）外接待费</w:t>
      </w:r>
      <w:r>
        <w:rPr>
          <w:rFonts w:hint="eastAsia" w:ascii="仿宋" w:hAnsi="仿宋" w:eastAsia="仿宋"/>
          <w:sz w:val="30"/>
          <w:szCs w:val="30"/>
        </w:rPr>
        <w:t>0.00万元，共安排国（境）外公务接待0批次，接待人次0人。</w:t>
      </w:r>
    </w:p>
    <w:p w14:paraId="79C2193E">
      <w:pPr>
        <w:autoSpaceDE w:val="0"/>
        <w:autoSpaceDN w:val="0"/>
        <w:spacing w:before="100" w:beforeAutospacing="1" w:after="100" w:afterAutospacing="1" w:line="590" w:lineRule="atLeast"/>
        <w:jc w:val="center"/>
      </w:pPr>
      <w:r>
        <w:rPr>
          <w:rFonts w:hint="eastAsia" w:ascii="黑体" w:hAnsi="黑体" w:eastAsia="黑体"/>
          <w:sz w:val="32"/>
          <w:szCs w:val="32"/>
        </w:rPr>
        <w:t>第四部分</w:t>
      </w:r>
      <w:r>
        <w:rPr>
          <w:rFonts w:ascii="Calibri" w:hAnsi="Calibri" w:eastAsia="黑体"/>
          <w:sz w:val="32"/>
          <w:szCs w:val="32"/>
        </w:rPr>
        <w:t> </w:t>
      </w:r>
      <w:r>
        <w:rPr>
          <w:rFonts w:hint="eastAsia" w:ascii="黑体" w:hAnsi="黑体" w:eastAsia="黑体"/>
          <w:sz w:val="32"/>
          <w:szCs w:val="32"/>
        </w:rPr>
        <w:t xml:space="preserve"> 其他重要事项及相关口径情况说明</w:t>
      </w:r>
    </w:p>
    <w:p w14:paraId="02A62445">
      <w:pPr>
        <w:autoSpaceDE w:val="0"/>
        <w:autoSpaceDN w:val="0"/>
        <w:spacing w:before="100" w:beforeAutospacing="1" w:after="100" w:afterAutospacing="1" w:line="590" w:lineRule="atLeast"/>
        <w:ind w:firstLine="600"/>
      </w:pPr>
      <w:r>
        <w:rPr>
          <w:rFonts w:hint="eastAsia" w:ascii="黑体" w:hAnsi="黑体" w:eastAsia="黑体"/>
          <w:sz w:val="30"/>
          <w:szCs w:val="30"/>
        </w:rPr>
        <w:t>一、机关运行经费支出情况</w:t>
      </w:r>
    </w:p>
    <w:p w14:paraId="5AD44399">
      <w:pPr>
        <w:autoSpaceDE w:val="0"/>
        <w:autoSpaceDN w:val="0"/>
        <w:spacing w:before="100" w:beforeAutospacing="1" w:after="100" w:afterAutospacing="1" w:line="590" w:lineRule="atLeast"/>
        <w:ind w:firstLine="600"/>
        <w:rPr>
          <w:rFonts w:ascii="仿宋" w:hAnsi="仿宋" w:eastAsia="仿宋"/>
          <w:color w:val="FF0000"/>
          <w:sz w:val="30"/>
          <w:szCs w:val="30"/>
        </w:rPr>
      </w:pPr>
      <w:r>
        <w:rPr>
          <w:rFonts w:hint="eastAsia" w:ascii="仿宋" w:hAnsi="仿宋" w:eastAsia="仿宋"/>
          <w:sz w:val="30"/>
          <w:szCs w:val="30"/>
        </w:rPr>
        <w:t>昆明市盘龙区道路桥梁管理处部门2020年机关运行经费支出0.00万元。</w:t>
      </w:r>
    </w:p>
    <w:p w14:paraId="09C51C35">
      <w:pPr>
        <w:autoSpaceDE w:val="0"/>
        <w:autoSpaceDN w:val="0"/>
        <w:spacing w:before="100" w:beforeAutospacing="1" w:after="100" w:afterAutospacing="1" w:line="590" w:lineRule="atLeast"/>
        <w:ind w:firstLine="600"/>
      </w:pPr>
      <w:r>
        <w:rPr>
          <w:rFonts w:hint="eastAsia" w:ascii="黑体" w:hAnsi="黑体" w:eastAsia="黑体"/>
          <w:sz w:val="30"/>
          <w:szCs w:val="30"/>
        </w:rPr>
        <w:t>二、</w:t>
      </w:r>
      <w:r>
        <w:rPr>
          <w:rFonts w:hint="eastAsia" w:ascii="黑体" w:hAnsi="黑体" w:eastAsia="黑体"/>
          <w:color w:val="000000"/>
          <w:sz w:val="30"/>
          <w:szCs w:val="30"/>
        </w:rPr>
        <w:t>国有资产占用情况</w:t>
      </w:r>
    </w:p>
    <w:p w14:paraId="12FD2A46">
      <w:pPr>
        <w:autoSpaceDE w:val="0"/>
        <w:autoSpaceDN w:val="0"/>
        <w:spacing w:before="100" w:beforeAutospacing="1" w:after="100" w:afterAutospacing="1" w:line="590" w:lineRule="atLeast"/>
        <w:ind w:firstLine="600"/>
        <w:rPr>
          <w:rFonts w:ascii="仿宋" w:hAnsi="仿宋" w:eastAsia="仿宋"/>
          <w:sz w:val="30"/>
          <w:szCs w:val="30"/>
        </w:rPr>
      </w:pPr>
      <w:r>
        <w:rPr>
          <w:rFonts w:hint="eastAsia" w:ascii="仿宋" w:hAnsi="仿宋" w:eastAsia="仿宋"/>
          <w:sz w:val="30"/>
          <w:szCs w:val="30"/>
        </w:rPr>
        <w:t>截至2020年12月31日，昆明市盘龙区道路桥梁管理处部门资产总额1388万元，其中，流动资产281万元，固定资产1170万元，对外投资及有价证券0万元，在建工程0万元，无形资产0万元，其他资产0万元（具体内容详见附表）。与上年相比，本年资产总额增加（减少）697万元，其中固定资产增加（减少）445万元。处置房屋建筑物0平方米，账面原值1075万元；处置车辆4辆，账面原值470万元；报废报损资产16项，账面原值6.04万元，实现资产处置收入0.001万元；出租房屋2670069.03平方米，账面原值0.000001万元（以名义价值1元入账），实现资产使用收入5.44万元。</w:t>
      </w:r>
    </w:p>
    <w:p w14:paraId="6BF08D52">
      <w:pPr>
        <w:autoSpaceDE w:val="0"/>
        <w:autoSpaceDN w:val="0"/>
        <w:spacing w:before="100" w:beforeAutospacing="1" w:after="100" w:afterAutospacing="1" w:line="590" w:lineRule="atLeast"/>
        <w:ind w:firstLine="600"/>
        <w:rPr>
          <w:rFonts w:ascii="Times New Roman" w:hAnsi="Times New Roman" w:cs="Times New Roman"/>
          <w:color w:val="FF0000"/>
          <w:sz w:val="30"/>
          <w:szCs w:val="30"/>
        </w:rPr>
      </w:pPr>
      <w:r>
        <w:rPr>
          <w:rFonts w:ascii="Times New Roman" w:hAnsi="Times New Roman" w:cs="Times New Roman"/>
          <w:color w:val="FF0000"/>
          <w:sz w:val="30"/>
          <w:szCs w:val="30"/>
        </w:rPr>
        <w:t> </w:t>
      </w:r>
    </w:p>
    <w:p w14:paraId="01744C1C">
      <w:pPr>
        <w:autoSpaceDE w:val="0"/>
        <w:autoSpaceDN w:val="0"/>
        <w:spacing w:before="100" w:beforeAutospacing="1" w:after="100" w:afterAutospacing="1" w:line="590" w:lineRule="atLeast"/>
        <w:ind w:firstLine="600"/>
      </w:pPr>
    </w:p>
    <w:tbl>
      <w:tblPr>
        <w:tblStyle w:val="2"/>
        <w:tblW w:w="0" w:type="auto"/>
        <w:jc w:val="center"/>
        <w:tblLayout w:type="autofit"/>
        <w:tblCellMar>
          <w:top w:w="0" w:type="dxa"/>
          <w:left w:w="0" w:type="dxa"/>
          <w:bottom w:w="0" w:type="dxa"/>
          <w:right w:w="0" w:type="dxa"/>
        </w:tblCellMar>
      </w:tblPr>
      <w:tblGrid>
        <w:gridCol w:w="633"/>
        <w:gridCol w:w="438"/>
        <w:gridCol w:w="642"/>
        <w:gridCol w:w="642"/>
        <w:gridCol w:w="642"/>
        <w:gridCol w:w="642"/>
        <w:gridCol w:w="642"/>
        <w:gridCol w:w="710"/>
        <w:gridCol w:w="642"/>
        <w:gridCol w:w="642"/>
        <w:gridCol w:w="643"/>
        <w:gridCol w:w="643"/>
        <w:gridCol w:w="647"/>
        <w:gridCol w:w="207"/>
      </w:tblGrid>
      <w:tr w14:paraId="0FA5B6AF">
        <w:tblPrEx>
          <w:tblCellMar>
            <w:top w:w="0" w:type="dxa"/>
            <w:left w:w="0" w:type="dxa"/>
            <w:bottom w:w="0" w:type="dxa"/>
            <w:right w:w="0" w:type="dxa"/>
          </w:tblCellMar>
        </w:tblPrEx>
        <w:trPr>
          <w:trHeight w:val="390" w:hRule="atLeast"/>
          <w:jc w:val="center"/>
        </w:trPr>
        <w:tc>
          <w:tcPr>
            <w:tcW w:w="9432" w:type="dxa"/>
            <w:gridSpan w:val="13"/>
            <w:shd w:val="clear" w:color="auto" w:fill="FFFFFF"/>
            <w:tcMar>
              <w:top w:w="0" w:type="dxa"/>
              <w:left w:w="108" w:type="dxa"/>
              <w:bottom w:w="0" w:type="dxa"/>
              <w:right w:w="108" w:type="dxa"/>
            </w:tcMar>
            <w:vAlign w:val="center"/>
          </w:tcPr>
          <w:p w14:paraId="1C5222CE">
            <w:pPr>
              <w:spacing w:before="100" w:beforeAutospacing="1" w:after="100" w:afterAutospacing="1"/>
              <w:jc w:val="center"/>
            </w:pPr>
            <w:r>
              <w:rPr>
                <w:rFonts w:hint="eastAsia" w:ascii="仿宋_GB2312" w:eastAsia="仿宋_GB2312"/>
                <w:b/>
                <w:bCs/>
                <w:color w:val="000000"/>
                <w:sz w:val="30"/>
                <w:szCs w:val="30"/>
              </w:rPr>
              <w:t>国有资产占有使用情况表</w:t>
            </w:r>
          </w:p>
        </w:tc>
        <w:tc>
          <w:tcPr>
            <w:tcW w:w="6" w:type="dxa"/>
            <w:vAlign w:val="center"/>
          </w:tcPr>
          <w:p w14:paraId="6FB195D9">
            <w:r>
              <w:rPr>
                <w:rFonts w:hint="eastAsia"/>
              </w:rPr>
              <w:t> </w:t>
            </w:r>
          </w:p>
        </w:tc>
      </w:tr>
      <w:tr w14:paraId="5EF5F909">
        <w:tblPrEx>
          <w:tblCellMar>
            <w:top w:w="0" w:type="dxa"/>
            <w:left w:w="0" w:type="dxa"/>
            <w:bottom w:w="0" w:type="dxa"/>
            <w:right w:w="0" w:type="dxa"/>
          </w:tblCellMar>
        </w:tblPrEx>
        <w:trPr>
          <w:trHeight w:val="270" w:hRule="atLeast"/>
          <w:jc w:val="center"/>
        </w:trPr>
        <w:tc>
          <w:tcPr>
            <w:tcW w:w="5733" w:type="dxa"/>
            <w:gridSpan w:val="8"/>
            <w:shd w:val="clear" w:color="auto" w:fill="FFFFFF"/>
            <w:tcMar>
              <w:top w:w="0" w:type="dxa"/>
              <w:left w:w="108" w:type="dxa"/>
              <w:bottom w:w="0" w:type="dxa"/>
              <w:right w:w="108" w:type="dxa"/>
            </w:tcMar>
            <w:vAlign w:val="center"/>
          </w:tcPr>
          <w:p w14:paraId="215FDFC3">
            <w:pPr>
              <w:spacing w:before="100" w:beforeAutospacing="1" w:after="100" w:afterAutospacing="1"/>
            </w:pPr>
            <w:r>
              <w:rPr>
                <w:rFonts w:hint="eastAsia"/>
                <w:color w:val="000000"/>
                <w:sz w:val="20"/>
                <w:szCs w:val="20"/>
              </w:rPr>
              <w:t> </w:t>
            </w:r>
          </w:p>
        </w:tc>
        <w:tc>
          <w:tcPr>
            <w:tcW w:w="739" w:type="dxa"/>
            <w:shd w:val="clear" w:color="auto" w:fill="FFFFFF"/>
            <w:tcMar>
              <w:top w:w="0" w:type="dxa"/>
              <w:left w:w="108" w:type="dxa"/>
              <w:bottom w:w="0" w:type="dxa"/>
              <w:right w:w="108" w:type="dxa"/>
            </w:tcMar>
            <w:vAlign w:val="center"/>
          </w:tcPr>
          <w:p w14:paraId="75374A28">
            <w:pPr>
              <w:spacing w:before="100" w:beforeAutospacing="1" w:after="100" w:afterAutospacing="1"/>
            </w:pPr>
            <w:r>
              <w:rPr>
                <w:rFonts w:hint="eastAsia"/>
                <w:color w:val="000000"/>
                <w:sz w:val="20"/>
                <w:szCs w:val="20"/>
              </w:rPr>
              <w:t>　</w:t>
            </w:r>
          </w:p>
        </w:tc>
        <w:tc>
          <w:tcPr>
            <w:tcW w:w="2960" w:type="dxa"/>
            <w:gridSpan w:val="4"/>
            <w:tcBorders>
              <w:top w:val="nil"/>
              <w:left w:val="nil"/>
              <w:bottom w:val="single" w:color="auto" w:sz="8" w:space="0"/>
              <w:right w:val="nil"/>
            </w:tcBorders>
            <w:shd w:val="clear" w:color="auto" w:fill="FFFFFF"/>
            <w:tcMar>
              <w:top w:w="0" w:type="dxa"/>
              <w:left w:w="108" w:type="dxa"/>
              <w:bottom w:w="0" w:type="dxa"/>
              <w:right w:w="108" w:type="dxa"/>
            </w:tcMar>
            <w:vAlign w:val="center"/>
          </w:tcPr>
          <w:p w14:paraId="041B8AC0">
            <w:pPr>
              <w:spacing w:before="100" w:beforeAutospacing="1" w:after="100" w:afterAutospacing="1"/>
              <w:jc w:val="right"/>
            </w:pPr>
            <w:r>
              <w:rPr>
                <w:rFonts w:hint="eastAsia"/>
                <w:color w:val="000000"/>
                <w:sz w:val="20"/>
                <w:szCs w:val="20"/>
              </w:rPr>
              <w:t>单位：万元</w:t>
            </w:r>
          </w:p>
        </w:tc>
        <w:tc>
          <w:tcPr>
            <w:tcW w:w="6" w:type="dxa"/>
            <w:vAlign w:val="center"/>
          </w:tcPr>
          <w:p w14:paraId="4D5DE20A">
            <w:r>
              <w:rPr>
                <w:rFonts w:hint="eastAsia"/>
              </w:rPr>
              <w:t> </w:t>
            </w:r>
          </w:p>
        </w:tc>
      </w:tr>
      <w:tr w14:paraId="27D04C2A">
        <w:tblPrEx>
          <w:tblCellMar>
            <w:top w:w="0" w:type="dxa"/>
            <w:left w:w="0" w:type="dxa"/>
            <w:bottom w:w="0" w:type="dxa"/>
            <w:right w:w="0" w:type="dxa"/>
          </w:tblCellMar>
        </w:tblPrEx>
        <w:trPr>
          <w:trHeight w:val="270" w:hRule="atLeast"/>
          <w:jc w:val="center"/>
        </w:trPr>
        <w:tc>
          <w:tcPr>
            <w:tcW w:w="728" w:type="dxa"/>
            <w:vMerge w:val="restar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4D5270E">
            <w:pPr>
              <w:spacing w:before="100" w:beforeAutospacing="1" w:after="100" w:afterAutospacing="1"/>
              <w:jc w:val="center"/>
            </w:pPr>
            <w:r>
              <w:rPr>
                <w:rFonts w:hint="eastAsia"/>
                <w:color w:val="000000"/>
                <w:sz w:val="20"/>
                <w:szCs w:val="20"/>
              </w:rPr>
              <w:t>项目</w:t>
            </w:r>
          </w:p>
        </w:tc>
        <w:tc>
          <w:tcPr>
            <w:tcW w:w="488" w:type="dxa"/>
            <w:vMerge w:val="restart"/>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318E959D">
            <w:pPr>
              <w:spacing w:before="100" w:beforeAutospacing="1" w:after="100" w:afterAutospacing="1"/>
              <w:jc w:val="center"/>
            </w:pPr>
            <w:r>
              <w:rPr>
                <w:rFonts w:hint="eastAsia"/>
                <w:color w:val="000000"/>
                <w:sz w:val="20"/>
                <w:szCs w:val="20"/>
              </w:rPr>
              <w:t>行次</w:t>
            </w:r>
          </w:p>
        </w:tc>
        <w:tc>
          <w:tcPr>
            <w:tcW w:w="739" w:type="dxa"/>
            <w:vMerge w:val="restart"/>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49ECC1C7">
            <w:pPr>
              <w:spacing w:before="100" w:beforeAutospacing="1" w:after="100" w:afterAutospacing="1"/>
              <w:jc w:val="center"/>
            </w:pPr>
            <w:r>
              <w:rPr>
                <w:rFonts w:hint="eastAsia"/>
                <w:color w:val="000000"/>
                <w:sz w:val="20"/>
                <w:szCs w:val="20"/>
              </w:rPr>
              <w:t>资产总额</w:t>
            </w:r>
          </w:p>
        </w:tc>
        <w:tc>
          <w:tcPr>
            <w:tcW w:w="739" w:type="dxa"/>
            <w:vMerge w:val="restart"/>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77442C49">
            <w:pPr>
              <w:spacing w:before="100" w:beforeAutospacing="1" w:after="100" w:afterAutospacing="1"/>
              <w:jc w:val="center"/>
            </w:pPr>
            <w:r>
              <w:rPr>
                <w:rFonts w:hint="eastAsia"/>
                <w:color w:val="000000"/>
                <w:sz w:val="20"/>
                <w:szCs w:val="20"/>
              </w:rPr>
              <w:t>流动资产</w:t>
            </w:r>
          </w:p>
        </w:tc>
        <w:tc>
          <w:tcPr>
            <w:tcW w:w="3778" w:type="dxa"/>
            <w:gridSpan w:val="5"/>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1E8B109F">
            <w:pPr>
              <w:spacing w:before="100" w:beforeAutospacing="1" w:after="100" w:afterAutospacing="1"/>
              <w:jc w:val="center"/>
            </w:pPr>
            <w:r>
              <w:rPr>
                <w:rFonts w:hint="eastAsia"/>
                <w:color w:val="000000"/>
                <w:sz w:val="20"/>
                <w:szCs w:val="20"/>
              </w:rPr>
              <w:t>固定资产</w:t>
            </w:r>
          </w:p>
        </w:tc>
        <w:tc>
          <w:tcPr>
            <w:tcW w:w="739"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4AD2F49B">
            <w:pPr>
              <w:spacing w:before="100" w:beforeAutospacing="1" w:after="100" w:afterAutospacing="1"/>
              <w:jc w:val="center"/>
            </w:pPr>
            <w:r>
              <w:rPr>
                <w:rFonts w:hint="eastAsia"/>
                <w:color w:val="000000"/>
                <w:sz w:val="20"/>
                <w:szCs w:val="20"/>
              </w:rPr>
              <w:t>对外投资/有价证券</w:t>
            </w:r>
          </w:p>
        </w:tc>
        <w:tc>
          <w:tcPr>
            <w:tcW w:w="739"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58E236F3">
            <w:pPr>
              <w:spacing w:before="100" w:beforeAutospacing="1" w:after="100" w:afterAutospacing="1"/>
              <w:jc w:val="center"/>
            </w:pPr>
            <w:r>
              <w:rPr>
                <w:rFonts w:hint="eastAsia"/>
                <w:color w:val="000000"/>
                <w:sz w:val="20"/>
                <w:szCs w:val="20"/>
              </w:rPr>
              <w:t>在建工程</w:t>
            </w:r>
          </w:p>
        </w:tc>
        <w:tc>
          <w:tcPr>
            <w:tcW w:w="739"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38B10A7C">
            <w:pPr>
              <w:spacing w:before="100" w:beforeAutospacing="1" w:after="100" w:afterAutospacing="1"/>
              <w:jc w:val="center"/>
            </w:pPr>
            <w:r>
              <w:rPr>
                <w:rFonts w:hint="eastAsia"/>
                <w:color w:val="000000"/>
                <w:sz w:val="20"/>
                <w:szCs w:val="20"/>
              </w:rPr>
              <w:t>无形资产</w:t>
            </w:r>
          </w:p>
        </w:tc>
        <w:tc>
          <w:tcPr>
            <w:tcW w:w="743"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69BB44A4">
            <w:pPr>
              <w:spacing w:before="100" w:beforeAutospacing="1" w:after="100" w:afterAutospacing="1"/>
              <w:jc w:val="center"/>
            </w:pPr>
            <w:r>
              <w:rPr>
                <w:rFonts w:hint="eastAsia"/>
                <w:color w:val="000000"/>
                <w:sz w:val="20"/>
                <w:szCs w:val="20"/>
              </w:rPr>
              <w:t>其他资产</w:t>
            </w:r>
          </w:p>
        </w:tc>
        <w:tc>
          <w:tcPr>
            <w:tcW w:w="6" w:type="dxa"/>
            <w:vAlign w:val="center"/>
          </w:tcPr>
          <w:p w14:paraId="312A9B5F">
            <w:r>
              <w:rPr>
                <w:rFonts w:hint="eastAsia"/>
              </w:rPr>
              <w:t> </w:t>
            </w:r>
          </w:p>
        </w:tc>
      </w:tr>
      <w:tr w14:paraId="163C1A9E">
        <w:trPr>
          <w:trHeight w:val="270" w:hRule="atLeast"/>
          <w:jc w:val="center"/>
        </w:trPr>
        <w:tc>
          <w:tcPr>
            <w:tcW w:w="0" w:type="auto"/>
            <w:vMerge w:val="continue"/>
            <w:tcBorders>
              <w:top w:val="single" w:color="auto" w:sz="8" w:space="0"/>
              <w:left w:val="single" w:color="auto" w:sz="8" w:space="0"/>
              <w:bottom w:val="single" w:color="auto" w:sz="8" w:space="0"/>
              <w:right w:val="single" w:color="auto" w:sz="8" w:space="0"/>
            </w:tcBorders>
            <w:vAlign w:val="center"/>
          </w:tcPr>
          <w:p w14:paraId="121973A3"/>
        </w:tc>
        <w:tc>
          <w:tcPr>
            <w:tcW w:w="0" w:type="auto"/>
            <w:vMerge w:val="continue"/>
            <w:tcBorders>
              <w:top w:val="single" w:color="auto" w:sz="8" w:space="0"/>
              <w:left w:val="nil"/>
              <w:bottom w:val="single" w:color="auto" w:sz="8" w:space="0"/>
              <w:right w:val="single" w:color="auto" w:sz="8" w:space="0"/>
            </w:tcBorders>
            <w:vAlign w:val="center"/>
          </w:tcPr>
          <w:p w14:paraId="00AD7992"/>
        </w:tc>
        <w:tc>
          <w:tcPr>
            <w:tcW w:w="0" w:type="auto"/>
            <w:vMerge w:val="continue"/>
            <w:tcBorders>
              <w:top w:val="single" w:color="auto" w:sz="8" w:space="0"/>
              <w:left w:val="nil"/>
              <w:bottom w:val="single" w:color="auto" w:sz="8" w:space="0"/>
              <w:right w:val="single" w:color="auto" w:sz="8" w:space="0"/>
            </w:tcBorders>
            <w:vAlign w:val="center"/>
          </w:tcPr>
          <w:p w14:paraId="04ACD2FB"/>
        </w:tc>
        <w:tc>
          <w:tcPr>
            <w:tcW w:w="0" w:type="auto"/>
            <w:vMerge w:val="continue"/>
            <w:tcBorders>
              <w:top w:val="single" w:color="auto" w:sz="8" w:space="0"/>
              <w:left w:val="nil"/>
              <w:bottom w:val="single" w:color="auto" w:sz="8" w:space="0"/>
              <w:right w:val="single" w:color="auto" w:sz="8" w:space="0"/>
            </w:tcBorders>
            <w:vAlign w:val="center"/>
          </w:tcPr>
          <w:p w14:paraId="22CF754E"/>
        </w:tc>
        <w:tc>
          <w:tcPr>
            <w:tcW w:w="739"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17B77FF9">
            <w:pPr>
              <w:spacing w:before="100" w:beforeAutospacing="1" w:after="100" w:afterAutospacing="1"/>
              <w:jc w:val="center"/>
            </w:pPr>
            <w:r>
              <w:rPr>
                <w:rFonts w:hint="eastAsia"/>
                <w:color w:val="000000"/>
                <w:sz w:val="20"/>
                <w:szCs w:val="20"/>
              </w:rPr>
              <w:t>小计</w:t>
            </w:r>
          </w:p>
        </w:tc>
        <w:tc>
          <w:tcPr>
            <w:tcW w:w="739"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5A5CB089">
            <w:pPr>
              <w:spacing w:before="100" w:beforeAutospacing="1" w:after="100" w:afterAutospacing="1"/>
              <w:jc w:val="center"/>
            </w:pPr>
            <w:r>
              <w:rPr>
                <w:rFonts w:hint="eastAsia"/>
                <w:color w:val="000000"/>
                <w:sz w:val="20"/>
                <w:szCs w:val="20"/>
              </w:rPr>
              <w:t>房屋构筑物</w:t>
            </w:r>
          </w:p>
        </w:tc>
        <w:tc>
          <w:tcPr>
            <w:tcW w:w="739"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1BB3FD41">
            <w:pPr>
              <w:spacing w:before="100" w:beforeAutospacing="1" w:after="100" w:afterAutospacing="1"/>
              <w:jc w:val="center"/>
            </w:pPr>
            <w:r>
              <w:rPr>
                <w:rFonts w:hint="eastAsia"/>
                <w:color w:val="000000"/>
                <w:sz w:val="20"/>
                <w:szCs w:val="20"/>
              </w:rPr>
              <w:t>车辆</w:t>
            </w:r>
          </w:p>
        </w:tc>
        <w:tc>
          <w:tcPr>
            <w:tcW w:w="822"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3D8A26E0">
            <w:pPr>
              <w:spacing w:before="100" w:beforeAutospacing="1" w:after="100" w:afterAutospacing="1"/>
              <w:jc w:val="center"/>
            </w:pPr>
            <w:r>
              <w:rPr>
                <w:rFonts w:hint="eastAsia"/>
                <w:color w:val="000000"/>
                <w:sz w:val="20"/>
                <w:szCs w:val="20"/>
              </w:rPr>
              <w:t>单价200万以上大型设备</w:t>
            </w:r>
          </w:p>
        </w:tc>
        <w:tc>
          <w:tcPr>
            <w:tcW w:w="739"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27E5DC62">
            <w:pPr>
              <w:spacing w:before="100" w:beforeAutospacing="1" w:after="100" w:afterAutospacing="1"/>
              <w:jc w:val="center"/>
            </w:pPr>
            <w:r>
              <w:rPr>
                <w:rFonts w:hint="eastAsia"/>
                <w:color w:val="000000"/>
                <w:sz w:val="20"/>
                <w:szCs w:val="20"/>
              </w:rPr>
              <w:t>其他固定资产</w:t>
            </w:r>
          </w:p>
        </w:tc>
        <w:tc>
          <w:tcPr>
            <w:tcW w:w="0" w:type="auto"/>
            <w:vMerge w:val="continue"/>
            <w:tcBorders>
              <w:top w:val="nil"/>
              <w:left w:val="nil"/>
              <w:bottom w:val="single" w:color="auto" w:sz="8" w:space="0"/>
              <w:right w:val="single" w:color="auto" w:sz="8" w:space="0"/>
            </w:tcBorders>
            <w:vAlign w:val="center"/>
          </w:tcPr>
          <w:p w14:paraId="2145FFEB"/>
        </w:tc>
        <w:tc>
          <w:tcPr>
            <w:tcW w:w="0" w:type="auto"/>
            <w:vMerge w:val="continue"/>
            <w:tcBorders>
              <w:top w:val="nil"/>
              <w:left w:val="nil"/>
              <w:bottom w:val="single" w:color="auto" w:sz="8" w:space="0"/>
              <w:right w:val="single" w:color="auto" w:sz="8" w:space="0"/>
            </w:tcBorders>
            <w:vAlign w:val="center"/>
          </w:tcPr>
          <w:p w14:paraId="10BB84F2"/>
        </w:tc>
        <w:tc>
          <w:tcPr>
            <w:tcW w:w="0" w:type="auto"/>
            <w:vMerge w:val="continue"/>
            <w:tcBorders>
              <w:top w:val="nil"/>
              <w:left w:val="nil"/>
              <w:bottom w:val="single" w:color="auto" w:sz="8" w:space="0"/>
              <w:right w:val="single" w:color="auto" w:sz="8" w:space="0"/>
            </w:tcBorders>
            <w:vAlign w:val="center"/>
          </w:tcPr>
          <w:p w14:paraId="22E06824"/>
        </w:tc>
        <w:tc>
          <w:tcPr>
            <w:tcW w:w="0" w:type="auto"/>
            <w:vMerge w:val="continue"/>
            <w:tcBorders>
              <w:top w:val="nil"/>
              <w:left w:val="nil"/>
              <w:bottom w:val="single" w:color="auto" w:sz="8" w:space="0"/>
              <w:right w:val="single" w:color="auto" w:sz="8" w:space="0"/>
            </w:tcBorders>
            <w:vAlign w:val="center"/>
          </w:tcPr>
          <w:p w14:paraId="0A5C7BD2"/>
        </w:tc>
        <w:tc>
          <w:tcPr>
            <w:tcW w:w="6" w:type="dxa"/>
            <w:vAlign w:val="center"/>
          </w:tcPr>
          <w:p w14:paraId="6D3365DC">
            <w:r>
              <w:rPr>
                <w:rFonts w:hint="eastAsia"/>
              </w:rPr>
              <w:t> </w:t>
            </w:r>
          </w:p>
        </w:tc>
      </w:tr>
      <w:tr w14:paraId="7EEBC494">
        <w:trPr>
          <w:trHeight w:val="260" w:hRule="atLeast"/>
          <w:jc w:val="center"/>
        </w:trPr>
        <w:tc>
          <w:tcPr>
            <w:tcW w:w="0" w:type="auto"/>
            <w:vMerge w:val="continue"/>
            <w:tcBorders>
              <w:top w:val="single" w:color="auto" w:sz="8" w:space="0"/>
              <w:left w:val="single" w:color="auto" w:sz="8" w:space="0"/>
              <w:bottom w:val="single" w:color="auto" w:sz="8" w:space="0"/>
              <w:right w:val="single" w:color="auto" w:sz="8" w:space="0"/>
            </w:tcBorders>
            <w:vAlign w:val="center"/>
          </w:tcPr>
          <w:p w14:paraId="36BD5C55"/>
        </w:tc>
        <w:tc>
          <w:tcPr>
            <w:tcW w:w="0" w:type="auto"/>
            <w:vMerge w:val="continue"/>
            <w:tcBorders>
              <w:top w:val="single" w:color="auto" w:sz="8" w:space="0"/>
              <w:left w:val="nil"/>
              <w:bottom w:val="single" w:color="auto" w:sz="8" w:space="0"/>
              <w:right w:val="single" w:color="auto" w:sz="8" w:space="0"/>
            </w:tcBorders>
            <w:vAlign w:val="center"/>
          </w:tcPr>
          <w:p w14:paraId="0EC5A6E8"/>
        </w:tc>
        <w:tc>
          <w:tcPr>
            <w:tcW w:w="0" w:type="auto"/>
            <w:vMerge w:val="continue"/>
            <w:tcBorders>
              <w:top w:val="single" w:color="auto" w:sz="8" w:space="0"/>
              <w:left w:val="nil"/>
              <w:bottom w:val="single" w:color="auto" w:sz="8" w:space="0"/>
              <w:right w:val="single" w:color="auto" w:sz="8" w:space="0"/>
            </w:tcBorders>
            <w:vAlign w:val="center"/>
          </w:tcPr>
          <w:p w14:paraId="550010F0"/>
        </w:tc>
        <w:tc>
          <w:tcPr>
            <w:tcW w:w="0" w:type="auto"/>
            <w:vMerge w:val="continue"/>
            <w:tcBorders>
              <w:top w:val="single" w:color="auto" w:sz="8" w:space="0"/>
              <w:left w:val="nil"/>
              <w:bottom w:val="single" w:color="auto" w:sz="8" w:space="0"/>
              <w:right w:val="single" w:color="auto" w:sz="8" w:space="0"/>
            </w:tcBorders>
            <w:vAlign w:val="center"/>
          </w:tcPr>
          <w:p w14:paraId="77329B9C"/>
        </w:tc>
        <w:tc>
          <w:tcPr>
            <w:tcW w:w="0" w:type="auto"/>
            <w:vMerge w:val="continue"/>
            <w:tcBorders>
              <w:top w:val="nil"/>
              <w:left w:val="nil"/>
              <w:bottom w:val="single" w:color="auto" w:sz="8" w:space="0"/>
              <w:right w:val="single" w:color="auto" w:sz="8" w:space="0"/>
            </w:tcBorders>
            <w:vAlign w:val="center"/>
          </w:tcPr>
          <w:p w14:paraId="3117803E"/>
        </w:tc>
        <w:tc>
          <w:tcPr>
            <w:tcW w:w="0" w:type="auto"/>
            <w:vMerge w:val="continue"/>
            <w:tcBorders>
              <w:top w:val="nil"/>
              <w:left w:val="nil"/>
              <w:bottom w:val="single" w:color="auto" w:sz="8" w:space="0"/>
              <w:right w:val="single" w:color="auto" w:sz="8" w:space="0"/>
            </w:tcBorders>
            <w:vAlign w:val="center"/>
          </w:tcPr>
          <w:p w14:paraId="6C56931F"/>
        </w:tc>
        <w:tc>
          <w:tcPr>
            <w:tcW w:w="0" w:type="auto"/>
            <w:vMerge w:val="continue"/>
            <w:tcBorders>
              <w:top w:val="nil"/>
              <w:left w:val="nil"/>
              <w:bottom w:val="single" w:color="auto" w:sz="8" w:space="0"/>
              <w:right w:val="single" w:color="auto" w:sz="8" w:space="0"/>
            </w:tcBorders>
            <w:vAlign w:val="center"/>
          </w:tcPr>
          <w:p w14:paraId="33DAD582"/>
        </w:tc>
        <w:tc>
          <w:tcPr>
            <w:tcW w:w="0" w:type="auto"/>
            <w:vMerge w:val="continue"/>
            <w:tcBorders>
              <w:top w:val="nil"/>
              <w:left w:val="nil"/>
              <w:bottom w:val="single" w:color="auto" w:sz="8" w:space="0"/>
              <w:right w:val="single" w:color="auto" w:sz="8" w:space="0"/>
            </w:tcBorders>
            <w:vAlign w:val="center"/>
          </w:tcPr>
          <w:p w14:paraId="34510340"/>
        </w:tc>
        <w:tc>
          <w:tcPr>
            <w:tcW w:w="0" w:type="auto"/>
            <w:vMerge w:val="continue"/>
            <w:tcBorders>
              <w:top w:val="nil"/>
              <w:left w:val="nil"/>
              <w:bottom w:val="single" w:color="auto" w:sz="8" w:space="0"/>
              <w:right w:val="single" w:color="auto" w:sz="8" w:space="0"/>
            </w:tcBorders>
            <w:vAlign w:val="center"/>
          </w:tcPr>
          <w:p w14:paraId="2B33363D"/>
        </w:tc>
        <w:tc>
          <w:tcPr>
            <w:tcW w:w="0" w:type="auto"/>
            <w:vMerge w:val="continue"/>
            <w:tcBorders>
              <w:top w:val="nil"/>
              <w:left w:val="nil"/>
              <w:bottom w:val="single" w:color="auto" w:sz="8" w:space="0"/>
              <w:right w:val="single" w:color="auto" w:sz="8" w:space="0"/>
            </w:tcBorders>
            <w:vAlign w:val="center"/>
          </w:tcPr>
          <w:p w14:paraId="630F692A"/>
        </w:tc>
        <w:tc>
          <w:tcPr>
            <w:tcW w:w="0" w:type="auto"/>
            <w:vMerge w:val="continue"/>
            <w:tcBorders>
              <w:top w:val="nil"/>
              <w:left w:val="nil"/>
              <w:bottom w:val="single" w:color="auto" w:sz="8" w:space="0"/>
              <w:right w:val="single" w:color="auto" w:sz="8" w:space="0"/>
            </w:tcBorders>
            <w:vAlign w:val="center"/>
          </w:tcPr>
          <w:p w14:paraId="604FE43C"/>
        </w:tc>
        <w:tc>
          <w:tcPr>
            <w:tcW w:w="0" w:type="auto"/>
            <w:vMerge w:val="continue"/>
            <w:tcBorders>
              <w:top w:val="nil"/>
              <w:left w:val="nil"/>
              <w:bottom w:val="single" w:color="auto" w:sz="8" w:space="0"/>
              <w:right w:val="single" w:color="auto" w:sz="8" w:space="0"/>
            </w:tcBorders>
            <w:vAlign w:val="center"/>
          </w:tcPr>
          <w:p w14:paraId="3096A1F8"/>
        </w:tc>
        <w:tc>
          <w:tcPr>
            <w:tcW w:w="0" w:type="auto"/>
            <w:vMerge w:val="continue"/>
            <w:tcBorders>
              <w:top w:val="nil"/>
              <w:left w:val="nil"/>
              <w:bottom w:val="single" w:color="auto" w:sz="8" w:space="0"/>
              <w:right w:val="single" w:color="auto" w:sz="8" w:space="0"/>
            </w:tcBorders>
            <w:vAlign w:val="center"/>
          </w:tcPr>
          <w:p w14:paraId="0A079692"/>
        </w:tc>
        <w:tc>
          <w:tcPr>
            <w:tcW w:w="6" w:type="dxa"/>
            <w:vAlign w:val="center"/>
          </w:tcPr>
          <w:p w14:paraId="7969B02E">
            <w:r>
              <w:rPr>
                <w:rFonts w:hint="eastAsia"/>
              </w:rPr>
              <w:t> </w:t>
            </w:r>
          </w:p>
        </w:tc>
      </w:tr>
      <w:tr w14:paraId="157EF8BD">
        <w:tblPrEx>
          <w:tblCellMar>
            <w:top w:w="0" w:type="dxa"/>
            <w:left w:w="0" w:type="dxa"/>
            <w:bottom w:w="0" w:type="dxa"/>
            <w:right w:w="0" w:type="dxa"/>
          </w:tblCellMar>
        </w:tblPrEx>
        <w:trPr>
          <w:trHeight w:val="300" w:hRule="atLeast"/>
          <w:jc w:val="center"/>
        </w:trPr>
        <w:tc>
          <w:tcPr>
            <w:tcW w:w="72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298C8D6">
            <w:pPr>
              <w:spacing w:before="100" w:beforeAutospacing="1" w:after="100" w:afterAutospacing="1"/>
              <w:jc w:val="center"/>
            </w:pPr>
            <w:r>
              <w:rPr>
                <w:rFonts w:hint="eastAsia"/>
                <w:color w:val="000000"/>
                <w:sz w:val="20"/>
                <w:szCs w:val="20"/>
              </w:rPr>
              <w:t>栏次</w:t>
            </w:r>
          </w:p>
        </w:tc>
        <w:tc>
          <w:tcPr>
            <w:tcW w:w="488" w:type="dxa"/>
            <w:tcBorders>
              <w:top w:val="nil"/>
              <w:left w:val="nil"/>
              <w:bottom w:val="single" w:color="auto" w:sz="8" w:space="0"/>
              <w:right w:val="single" w:color="auto" w:sz="8" w:space="0"/>
            </w:tcBorders>
            <w:tcMar>
              <w:top w:w="0" w:type="dxa"/>
              <w:left w:w="108" w:type="dxa"/>
              <w:bottom w:w="0" w:type="dxa"/>
              <w:right w:w="108" w:type="dxa"/>
            </w:tcMar>
            <w:vAlign w:val="center"/>
          </w:tcPr>
          <w:p w14:paraId="5587FDC3">
            <w:pPr>
              <w:spacing w:before="100" w:beforeAutospacing="1" w:after="100" w:afterAutospacing="1"/>
            </w:pPr>
            <w:r>
              <w:rPr>
                <w:rFonts w:hint="eastAsia"/>
                <w:color w:val="000000"/>
                <w:sz w:val="20"/>
                <w:szCs w:val="20"/>
              </w:rPr>
              <w:t> </w:t>
            </w:r>
          </w:p>
        </w:tc>
        <w:tc>
          <w:tcPr>
            <w:tcW w:w="739" w:type="dxa"/>
            <w:tcBorders>
              <w:top w:val="nil"/>
              <w:left w:val="nil"/>
              <w:bottom w:val="single" w:color="auto" w:sz="8" w:space="0"/>
              <w:right w:val="single" w:color="auto" w:sz="8" w:space="0"/>
            </w:tcBorders>
            <w:tcMar>
              <w:top w:w="0" w:type="dxa"/>
              <w:left w:w="108" w:type="dxa"/>
              <w:bottom w:w="0" w:type="dxa"/>
              <w:right w:w="108" w:type="dxa"/>
            </w:tcMar>
            <w:vAlign w:val="center"/>
          </w:tcPr>
          <w:p w14:paraId="6B21732D">
            <w:pPr>
              <w:spacing w:before="100" w:beforeAutospacing="1" w:after="100" w:afterAutospacing="1"/>
              <w:jc w:val="center"/>
            </w:pPr>
            <w:r>
              <w:rPr>
                <w:rFonts w:hint="eastAsia"/>
                <w:color w:val="000000"/>
                <w:sz w:val="20"/>
                <w:szCs w:val="20"/>
              </w:rPr>
              <w:t>1</w:t>
            </w:r>
          </w:p>
        </w:tc>
        <w:tc>
          <w:tcPr>
            <w:tcW w:w="739" w:type="dxa"/>
            <w:tcBorders>
              <w:top w:val="nil"/>
              <w:left w:val="nil"/>
              <w:bottom w:val="single" w:color="auto" w:sz="8" w:space="0"/>
              <w:right w:val="single" w:color="auto" w:sz="8" w:space="0"/>
            </w:tcBorders>
            <w:tcMar>
              <w:top w:w="0" w:type="dxa"/>
              <w:left w:w="108" w:type="dxa"/>
              <w:bottom w:w="0" w:type="dxa"/>
              <w:right w:w="108" w:type="dxa"/>
            </w:tcMar>
            <w:vAlign w:val="center"/>
          </w:tcPr>
          <w:p w14:paraId="6322D19B">
            <w:pPr>
              <w:spacing w:before="100" w:beforeAutospacing="1" w:after="100" w:afterAutospacing="1"/>
              <w:jc w:val="center"/>
            </w:pPr>
            <w:r>
              <w:rPr>
                <w:rFonts w:hint="eastAsia"/>
                <w:color w:val="000000"/>
                <w:sz w:val="20"/>
                <w:szCs w:val="20"/>
              </w:rPr>
              <w:t>2</w:t>
            </w:r>
          </w:p>
        </w:tc>
        <w:tc>
          <w:tcPr>
            <w:tcW w:w="739" w:type="dxa"/>
            <w:tcBorders>
              <w:top w:val="nil"/>
              <w:left w:val="nil"/>
              <w:bottom w:val="single" w:color="auto" w:sz="8" w:space="0"/>
              <w:right w:val="single" w:color="auto" w:sz="8" w:space="0"/>
            </w:tcBorders>
            <w:tcMar>
              <w:top w:w="0" w:type="dxa"/>
              <w:left w:w="108" w:type="dxa"/>
              <w:bottom w:w="0" w:type="dxa"/>
              <w:right w:w="108" w:type="dxa"/>
            </w:tcMar>
            <w:vAlign w:val="center"/>
          </w:tcPr>
          <w:p w14:paraId="2D2A52F7">
            <w:pPr>
              <w:spacing w:before="100" w:beforeAutospacing="1" w:after="100" w:afterAutospacing="1"/>
              <w:jc w:val="center"/>
            </w:pPr>
            <w:r>
              <w:rPr>
                <w:rFonts w:hint="eastAsia"/>
                <w:color w:val="000000"/>
                <w:sz w:val="20"/>
                <w:szCs w:val="20"/>
              </w:rPr>
              <w:t>3</w:t>
            </w:r>
          </w:p>
        </w:tc>
        <w:tc>
          <w:tcPr>
            <w:tcW w:w="739" w:type="dxa"/>
            <w:tcBorders>
              <w:top w:val="nil"/>
              <w:left w:val="nil"/>
              <w:bottom w:val="single" w:color="auto" w:sz="8" w:space="0"/>
              <w:right w:val="single" w:color="auto" w:sz="8" w:space="0"/>
            </w:tcBorders>
            <w:tcMar>
              <w:top w:w="0" w:type="dxa"/>
              <w:left w:w="108" w:type="dxa"/>
              <w:bottom w:w="0" w:type="dxa"/>
              <w:right w:w="108" w:type="dxa"/>
            </w:tcMar>
            <w:vAlign w:val="center"/>
          </w:tcPr>
          <w:p w14:paraId="70200ED0">
            <w:pPr>
              <w:spacing w:before="100" w:beforeAutospacing="1" w:after="100" w:afterAutospacing="1"/>
              <w:jc w:val="center"/>
            </w:pPr>
            <w:r>
              <w:rPr>
                <w:rFonts w:hint="eastAsia"/>
                <w:color w:val="000000"/>
                <w:sz w:val="20"/>
                <w:szCs w:val="20"/>
              </w:rPr>
              <w:t>4</w:t>
            </w:r>
          </w:p>
        </w:tc>
        <w:tc>
          <w:tcPr>
            <w:tcW w:w="739" w:type="dxa"/>
            <w:tcBorders>
              <w:top w:val="nil"/>
              <w:left w:val="nil"/>
              <w:bottom w:val="single" w:color="auto" w:sz="8" w:space="0"/>
              <w:right w:val="single" w:color="auto" w:sz="8" w:space="0"/>
            </w:tcBorders>
            <w:tcMar>
              <w:top w:w="0" w:type="dxa"/>
              <w:left w:w="108" w:type="dxa"/>
              <w:bottom w:w="0" w:type="dxa"/>
              <w:right w:w="108" w:type="dxa"/>
            </w:tcMar>
            <w:vAlign w:val="center"/>
          </w:tcPr>
          <w:p w14:paraId="4105D245">
            <w:pPr>
              <w:spacing w:before="100" w:beforeAutospacing="1" w:after="100" w:afterAutospacing="1"/>
              <w:jc w:val="center"/>
            </w:pPr>
            <w:r>
              <w:rPr>
                <w:rFonts w:hint="eastAsia"/>
                <w:color w:val="000000"/>
                <w:sz w:val="20"/>
                <w:szCs w:val="20"/>
              </w:rPr>
              <w:t>5</w:t>
            </w:r>
          </w:p>
        </w:tc>
        <w:tc>
          <w:tcPr>
            <w:tcW w:w="822" w:type="dxa"/>
            <w:tcBorders>
              <w:top w:val="nil"/>
              <w:left w:val="nil"/>
              <w:bottom w:val="single" w:color="auto" w:sz="8" w:space="0"/>
              <w:right w:val="single" w:color="auto" w:sz="8" w:space="0"/>
            </w:tcBorders>
            <w:tcMar>
              <w:top w:w="0" w:type="dxa"/>
              <w:left w:w="108" w:type="dxa"/>
              <w:bottom w:w="0" w:type="dxa"/>
              <w:right w:w="108" w:type="dxa"/>
            </w:tcMar>
            <w:vAlign w:val="center"/>
          </w:tcPr>
          <w:p w14:paraId="444BC46C">
            <w:pPr>
              <w:spacing w:before="100" w:beforeAutospacing="1" w:after="100" w:afterAutospacing="1"/>
              <w:jc w:val="center"/>
            </w:pPr>
            <w:r>
              <w:rPr>
                <w:rFonts w:hint="eastAsia"/>
                <w:color w:val="000000"/>
                <w:sz w:val="20"/>
                <w:szCs w:val="20"/>
              </w:rPr>
              <w:t>6</w:t>
            </w:r>
          </w:p>
        </w:tc>
        <w:tc>
          <w:tcPr>
            <w:tcW w:w="739" w:type="dxa"/>
            <w:tcBorders>
              <w:top w:val="nil"/>
              <w:left w:val="nil"/>
              <w:bottom w:val="single" w:color="auto" w:sz="8" w:space="0"/>
              <w:right w:val="single" w:color="auto" w:sz="8" w:space="0"/>
            </w:tcBorders>
            <w:tcMar>
              <w:top w:w="0" w:type="dxa"/>
              <w:left w:w="108" w:type="dxa"/>
              <w:bottom w:w="0" w:type="dxa"/>
              <w:right w:w="108" w:type="dxa"/>
            </w:tcMar>
            <w:vAlign w:val="center"/>
          </w:tcPr>
          <w:p w14:paraId="0E611054">
            <w:pPr>
              <w:spacing w:before="100" w:beforeAutospacing="1" w:after="100" w:afterAutospacing="1"/>
              <w:jc w:val="center"/>
            </w:pPr>
            <w:r>
              <w:rPr>
                <w:rFonts w:hint="eastAsia"/>
                <w:color w:val="000000"/>
                <w:sz w:val="20"/>
                <w:szCs w:val="20"/>
              </w:rPr>
              <w:t>7</w:t>
            </w:r>
          </w:p>
        </w:tc>
        <w:tc>
          <w:tcPr>
            <w:tcW w:w="739" w:type="dxa"/>
            <w:tcBorders>
              <w:top w:val="nil"/>
              <w:left w:val="nil"/>
              <w:bottom w:val="single" w:color="auto" w:sz="8" w:space="0"/>
              <w:right w:val="single" w:color="auto" w:sz="8" w:space="0"/>
            </w:tcBorders>
            <w:tcMar>
              <w:top w:w="0" w:type="dxa"/>
              <w:left w:w="108" w:type="dxa"/>
              <w:bottom w:w="0" w:type="dxa"/>
              <w:right w:w="108" w:type="dxa"/>
            </w:tcMar>
            <w:vAlign w:val="center"/>
          </w:tcPr>
          <w:p w14:paraId="0E9AD216">
            <w:pPr>
              <w:spacing w:before="100" w:beforeAutospacing="1" w:after="100" w:afterAutospacing="1"/>
              <w:jc w:val="center"/>
            </w:pPr>
            <w:r>
              <w:rPr>
                <w:rFonts w:hint="eastAsia"/>
                <w:color w:val="000000"/>
                <w:sz w:val="20"/>
                <w:szCs w:val="20"/>
              </w:rPr>
              <w:t>8</w:t>
            </w:r>
          </w:p>
        </w:tc>
        <w:tc>
          <w:tcPr>
            <w:tcW w:w="739" w:type="dxa"/>
            <w:tcBorders>
              <w:top w:val="nil"/>
              <w:left w:val="nil"/>
              <w:bottom w:val="single" w:color="auto" w:sz="8" w:space="0"/>
              <w:right w:val="single" w:color="auto" w:sz="8" w:space="0"/>
            </w:tcBorders>
            <w:tcMar>
              <w:top w:w="0" w:type="dxa"/>
              <w:left w:w="108" w:type="dxa"/>
              <w:bottom w:w="0" w:type="dxa"/>
              <w:right w:w="108" w:type="dxa"/>
            </w:tcMar>
            <w:vAlign w:val="center"/>
          </w:tcPr>
          <w:p w14:paraId="07318B0E">
            <w:pPr>
              <w:spacing w:before="100" w:beforeAutospacing="1" w:after="100" w:afterAutospacing="1"/>
              <w:jc w:val="center"/>
            </w:pPr>
            <w:r>
              <w:rPr>
                <w:rFonts w:hint="eastAsia"/>
                <w:color w:val="000000"/>
                <w:sz w:val="20"/>
                <w:szCs w:val="20"/>
              </w:rPr>
              <w:t>9</w:t>
            </w:r>
          </w:p>
        </w:tc>
        <w:tc>
          <w:tcPr>
            <w:tcW w:w="739" w:type="dxa"/>
            <w:tcBorders>
              <w:top w:val="nil"/>
              <w:left w:val="nil"/>
              <w:bottom w:val="single" w:color="auto" w:sz="8" w:space="0"/>
              <w:right w:val="single" w:color="auto" w:sz="8" w:space="0"/>
            </w:tcBorders>
            <w:tcMar>
              <w:top w:w="0" w:type="dxa"/>
              <w:left w:w="108" w:type="dxa"/>
              <w:bottom w:w="0" w:type="dxa"/>
              <w:right w:w="108" w:type="dxa"/>
            </w:tcMar>
            <w:vAlign w:val="center"/>
          </w:tcPr>
          <w:p w14:paraId="15B220E0">
            <w:pPr>
              <w:spacing w:before="100" w:beforeAutospacing="1" w:after="100" w:afterAutospacing="1"/>
              <w:jc w:val="center"/>
            </w:pPr>
            <w:r>
              <w:rPr>
                <w:rFonts w:hint="eastAsia"/>
                <w:color w:val="000000"/>
                <w:sz w:val="20"/>
                <w:szCs w:val="20"/>
              </w:rPr>
              <w:t>10</w:t>
            </w:r>
          </w:p>
        </w:tc>
        <w:tc>
          <w:tcPr>
            <w:tcW w:w="743" w:type="dxa"/>
            <w:tcBorders>
              <w:top w:val="nil"/>
              <w:left w:val="nil"/>
              <w:bottom w:val="single" w:color="auto" w:sz="8" w:space="0"/>
              <w:right w:val="single" w:color="auto" w:sz="8" w:space="0"/>
            </w:tcBorders>
            <w:tcMar>
              <w:top w:w="0" w:type="dxa"/>
              <w:left w:w="108" w:type="dxa"/>
              <w:bottom w:w="0" w:type="dxa"/>
              <w:right w:w="108" w:type="dxa"/>
            </w:tcMar>
            <w:vAlign w:val="center"/>
          </w:tcPr>
          <w:p w14:paraId="09C758CD">
            <w:pPr>
              <w:spacing w:before="100" w:beforeAutospacing="1" w:after="100" w:afterAutospacing="1"/>
              <w:jc w:val="center"/>
            </w:pPr>
            <w:r>
              <w:rPr>
                <w:rFonts w:hint="eastAsia"/>
                <w:color w:val="000000"/>
                <w:sz w:val="20"/>
                <w:szCs w:val="20"/>
              </w:rPr>
              <w:t>11</w:t>
            </w:r>
          </w:p>
        </w:tc>
        <w:tc>
          <w:tcPr>
            <w:tcW w:w="6" w:type="dxa"/>
            <w:vAlign w:val="center"/>
          </w:tcPr>
          <w:p w14:paraId="0A54F854">
            <w:r>
              <w:rPr>
                <w:rFonts w:hint="eastAsia"/>
              </w:rPr>
              <w:t> </w:t>
            </w:r>
          </w:p>
        </w:tc>
      </w:tr>
      <w:tr w14:paraId="3188A6D1">
        <w:tblPrEx>
          <w:tblCellMar>
            <w:top w:w="0" w:type="dxa"/>
            <w:left w:w="0" w:type="dxa"/>
            <w:bottom w:w="0" w:type="dxa"/>
            <w:right w:w="0" w:type="dxa"/>
          </w:tblCellMar>
        </w:tblPrEx>
        <w:trPr>
          <w:trHeight w:val="300" w:hRule="atLeast"/>
          <w:jc w:val="center"/>
        </w:trPr>
        <w:tc>
          <w:tcPr>
            <w:tcW w:w="72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ED0E44C">
            <w:pPr>
              <w:spacing w:before="100" w:beforeAutospacing="1" w:after="100" w:afterAutospacing="1"/>
              <w:jc w:val="center"/>
            </w:pPr>
            <w:r>
              <w:rPr>
                <w:rFonts w:hint="eastAsia"/>
                <w:color w:val="000000"/>
                <w:sz w:val="20"/>
                <w:szCs w:val="20"/>
              </w:rPr>
              <w:t>合计</w:t>
            </w:r>
          </w:p>
        </w:tc>
        <w:tc>
          <w:tcPr>
            <w:tcW w:w="488" w:type="dxa"/>
            <w:tcBorders>
              <w:top w:val="nil"/>
              <w:left w:val="nil"/>
              <w:bottom w:val="single" w:color="auto" w:sz="8" w:space="0"/>
              <w:right w:val="single" w:color="auto" w:sz="8" w:space="0"/>
            </w:tcBorders>
            <w:tcMar>
              <w:top w:w="0" w:type="dxa"/>
              <w:left w:w="108" w:type="dxa"/>
              <w:bottom w:w="0" w:type="dxa"/>
              <w:right w:w="108" w:type="dxa"/>
            </w:tcMar>
            <w:vAlign w:val="center"/>
          </w:tcPr>
          <w:p w14:paraId="39A0A495">
            <w:pPr>
              <w:spacing w:before="100" w:beforeAutospacing="1" w:after="100" w:afterAutospacing="1"/>
              <w:jc w:val="center"/>
            </w:pPr>
            <w:r>
              <w:rPr>
                <w:rFonts w:hint="eastAsia"/>
                <w:color w:val="000000"/>
                <w:sz w:val="20"/>
                <w:szCs w:val="20"/>
              </w:rPr>
              <w:t>1</w:t>
            </w:r>
          </w:p>
        </w:tc>
        <w:tc>
          <w:tcPr>
            <w:tcW w:w="739" w:type="dxa"/>
            <w:tcBorders>
              <w:top w:val="nil"/>
              <w:left w:val="nil"/>
              <w:bottom w:val="single" w:color="auto" w:sz="8" w:space="0"/>
              <w:right w:val="single" w:color="auto" w:sz="8" w:space="0"/>
            </w:tcBorders>
            <w:tcMar>
              <w:top w:w="0" w:type="dxa"/>
              <w:left w:w="108" w:type="dxa"/>
              <w:bottom w:w="0" w:type="dxa"/>
              <w:right w:w="108" w:type="dxa"/>
            </w:tcMar>
            <w:vAlign w:val="center"/>
          </w:tcPr>
          <w:p w14:paraId="0D048127">
            <w:pPr>
              <w:spacing w:before="100" w:beforeAutospacing="1" w:after="100" w:afterAutospacing="1"/>
              <w:jc w:val="right"/>
            </w:pPr>
            <w:r>
              <w:rPr>
                <w:rFonts w:hint="eastAsia"/>
                <w:color w:val="000000"/>
                <w:sz w:val="20"/>
                <w:szCs w:val="20"/>
              </w:rPr>
              <w:t>1388　</w:t>
            </w:r>
          </w:p>
        </w:tc>
        <w:tc>
          <w:tcPr>
            <w:tcW w:w="739" w:type="dxa"/>
            <w:tcBorders>
              <w:top w:val="nil"/>
              <w:left w:val="nil"/>
              <w:bottom w:val="single" w:color="auto" w:sz="8" w:space="0"/>
              <w:right w:val="single" w:color="auto" w:sz="8" w:space="0"/>
            </w:tcBorders>
            <w:tcMar>
              <w:top w:w="0" w:type="dxa"/>
              <w:left w:w="108" w:type="dxa"/>
              <w:bottom w:w="0" w:type="dxa"/>
              <w:right w:w="108" w:type="dxa"/>
            </w:tcMar>
            <w:vAlign w:val="center"/>
          </w:tcPr>
          <w:p w14:paraId="46F0FA8D">
            <w:pPr>
              <w:spacing w:before="100" w:beforeAutospacing="1" w:after="100" w:afterAutospacing="1"/>
              <w:jc w:val="right"/>
            </w:pPr>
            <w:r>
              <w:rPr>
                <w:rFonts w:hint="eastAsia"/>
                <w:color w:val="000000"/>
                <w:sz w:val="20"/>
                <w:szCs w:val="20"/>
              </w:rPr>
              <w:t>281　</w:t>
            </w:r>
          </w:p>
        </w:tc>
        <w:tc>
          <w:tcPr>
            <w:tcW w:w="739" w:type="dxa"/>
            <w:tcBorders>
              <w:top w:val="nil"/>
              <w:left w:val="nil"/>
              <w:bottom w:val="single" w:color="auto" w:sz="8" w:space="0"/>
              <w:right w:val="single" w:color="auto" w:sz="8" w:space="0"/>
            </w:tcBorders>
            <w:tcMar>
              <w:top w:w="0" w:type="dxa"/>
              <w:left w:w="108" w:type="dxa"/>
              <w:bottom w:w="0" w:type="dxa"/>
              <w:right w:w="108" w:type="dxa"/>
            </w:tcMar>
            <w:vAlign w:val="center"/>
          </w:tcPr>
          <w:p w14:paraId="3138E661">
            <w:pPr>
              <w:spacing w:before="100" w:beforeAutospacing="1" w:after="100" w:afterAutospacing="1"/>
              <w:jc w:val="right"/>
            </w:pPr>
            <w:r>
              <w:rPr>
                <w:rFonts w:hint="eastAsia"/>
                <w:color w:val="000000"/>
                <w:sz w:val="20"/>
                <w:szCs w:val="20"/>
              </w:rPr>
              <w:t>　</w:t>
            </w:r>
          </w:p>
        </w:tc>
        <w:tc>
          <w:tcPr>
            <w:tcW w:w="739" w:type="dxa"/>
            <w:tcBorders>
              <w:top w:val="nil"/>
              <w:left w:val="nil"/>
              <w:bottom w:val="single" w:color="auto" w:sz="8" w:space="0"/>
              <w:right w:val="single" w:color="auto" w:sz="8" w:space="0"/>
            </w:tcBorders>
            <w:tcMar>
              <w:top w:w="0" w:type="dxa"/>
              <w:left w:w="108" w:type="dxa"/>
              <w:bottom w:w="0" w:type="dxa"/>
              <w:right w:w="108" w:type="dxa"/>
            </w:tcMar>
            <w:vAlign w:val="center"/>
          </w:tcPr>
          <w:p w14:paraId="6CBAC10B">
            <w:pPr>
              <w:spacing w:before="100" w:beforeAutospacing="1" w:after="100" w:afterAutospacing="1"/>
              <w:jc w:val="right"/>
            </w:pPr>
            <w:r>
              <w:rPr>
                <w:rFonts w:hint="eastAsia"/>
                <w:color w:val="000000"/>
                <w:sz w:val="20"/>
                <w:szCs w:val="20"/>
              </w:rPr>
              <w:t>1075　</w:t>
            </w:r>
          </w:p>
        </w:tc>
        <w:tc>
          <w:tcPr>
            <w:tcW w:w="739" w:type="dxa"/>
            <w:tcBorders>
              <w:top w:val="nil"/>
              <w:left w:val="nil"/>
              <w:bottom w:val="single" w:color="auto" w:sz="8" w:space="0"/>
              <w:right w:val="single" w:color="auto" w:sz="8" w:space="0"/>
            </w:tcBorders>
            <w:tcMar>
              <w:top w:w="0" w:type="dxa"/>
              <w:left w:w="108" w:type="dxa"/>
              <w:bottom w:w="0" w:type="dxa"/>
              <w:right w:w="108" w:type="dxa"/>
            </w:tcMar>
            <w:vAlign w:val="center"/>
          </w:tcPr>
          <w:p w14:paraId="2E0F3D05">
            <w:pPr>
              <w:spacing w:before="100" w:beforeAutospacing="1" w:after="100" w:afterAutospacing="1"/>
              <w:jc w:val="right"/>
            </w:pPr>
            <w:r>
              <w:rPr>
                <w:rFonts w:hint="eastAsia"/>
                <w:color w:val="000000"/>
                <w:sz w:val="20"/>
                <w:szCs w:val="20"/>
              </w:rPr>
              <w:t>95　</w:t>
            </w:r>
          </w:p>
        </w:tc>
        <w:tc>
          <w:tcPr>
            <w:tcW w:w="822" w:type="dxa"/>
            <w:tcBorders>
              <w:top w:val="nil"/>
              <w:left w:val="nil"/>
              <w:bottom w:val="single" w:color="auto" w:sz="8" w:space="0"/>
              <w:right w:val="single" w:color="auto" w:sz="8" w:space="0"/>
            </w:tcBorders>
            <w:tcMar>
              <w:top w:w="0" w:type="dxa"/>
              <w:left w:w="108" w:type="dxa"/>
              <w:bottom w:w="0" w:type="dxa"/>
              <w:right w:w="108" w:type="dxa"/>
            </w:tcMar>
            <w:vAlign w:val="center"/>
          </w:tcPr>
          <w:p w14:paraId="13ACB2E9">
            <w:pPr>
              <w:spacing w:before="100" w:beforeAutospacing="1" w:after="100" w:afterAutospacing="1"/>
              <w:jc w:val="right"/>
            </w:pPr>
            <w:r>
              <w:rPr>
                <w:rFonts w:hint="eastAsia"/>
                <w:color w:val="000000"/>
                <w:sz w:val="20"/>
                <w:szCs w:val="20"/>
              </w:rPr>
              <w:t> </w:t>
            </w:r>
          </w:p>
        </w:tc>
        <w:tc>
          <w:tcPr>
            <w:tcW w:w="739" w:type="dxa"/>
            <w:tcBorders>
              <w:top w:val="nil"/>
              <w:left w:val="nil"/>
              <w:bottom w:val="single" w:color="auto" w:sz="8" w:space="0"/>
              <w:right w:val="single" w:color="auto" w:sz="8" w:space="0"/>
            </w:tcBorders>
            <w:tcMar>
              <w:top w:w="0" w:type="dxa"/>
              <w:left w:w="108" w:type="dxa"/>
              <w:bottom w:w="0" w:type="dxa"/>
              <w:right w:w="108" w:type="dxa"/>
            </w:tcMar>
            <w:vAlign w:val="center"/>
          </w:tcPr>
          <w:p w14:paraId="430058A6">
            <w:pPr>
              <w:spacing w:before="100" w:beforeAutospacing="1" w:after="100" w:afterAutospacing="1"/>
              <w:jc w:val="right"/>
            </w:pPr>
            <w:r>
              <w:rPr>
                <w:rFonts w:hint="eastAsia"/>
                <w:color w:val="000000"/>
                <w:sz w:val="20"/>
                <w:szCs w:val="20"/>
              </w:rPr>
              <w:t>　</w:t>
            </w:r>
          </w:p>
        </w:tc>
        <w:tc>
          <w:tcPr>
            <w:tcW w:w="739" w:type="dxa"/>
            <w:tcBorders>
              <w:top w:val="nil"/>
              <w:left w:val="nil"/>
              <w:bottom w:val="single" w:color="auto" w:sz="8" w:space="0"/>
              <w:right w:val="single" w:color="auto" w:sz="8" w:space="0"/>
            </w:tcBorders>
            <w:tcMar>
              <w:top w:w="0" w:type="dxa"/>
              <w:left w:w="108" w:type="dxa"/>
              <w:bottom w:w="0" w:type="dxa"/>
              <w:right w:w="108" w:type="dxa"/>
            </w:tcMar>
            <w:vAlign w:val="center"/>
          </w:tcPr>
          <w:p w14:paraId="7A3542E7">
            <w:pPr>
              <w:spacing w:before="100" w:beforeAutospacing="1" w:after="100" w:afterAutospacing="1"/>
              <w:jc w:val="right"/>
            </w:pPr>
            <w:r>
              <w:rPr>
                <w:rFonts w:hint="eastAsia"/>
                <w:color w:val="000000"/>
                <w:sz w:val="20"/>
                <w:szCs w:val="20"/>
              </w:rPr>
              <w:t>　</w:t>
            </w:r>
          </w:p>
        </w:tc>
        <w:tc>
          <w:tcPr>
            <w:tcW w:w="739" w:type="dxa"/>
            <w:tcBorders>
              <w:top w:val="nil"/>
              <w:left w:val="nil"/>
              <w:bottom w:val="single" w:color="auto" w:sz="8" w:space="0"/>
              <w:right w:val="single" w:color="auto" w:sz="8" w:space="0"/>
            </w:tcBorders>
            <w:tcMar>
              <w:top w:w="0" w:type="dxa"/>
              <w:left w:w="108" w:type="dxa"/>
              <w:bottom w:w="0" w:type="dxa"/>
              <w:right w:w="108" w:type="dxa"/>
            </w:tcMar>
            <w:vAlign w:val="center"/>
          </w:tcPr>
          <w:p w14:paraId="71A4075E">
            <w:pPr>
              <w:spacing w:before="100" w:beforeAutospacing="1" w:after="100" w:afterAutospacing="1"/>
              <w:jc w:val="right"/>
            </w:pPr>
            <w:r>
              <w:rPr>
                <w:rFonts w:hint="eastAsia"/>
                <w:color w:val="000000"/>
                <w:sz w:val="20"/>
                <w:szCs w:val="20"/>
              </w:rPr>
              <w:t>　</w:t>
            </w:r>
          </w:p>
        </w:tc>
        <w:tc>
          <w:tcPr>
            <w:tcW w:w="739" w:type="dxa"/>
            <w:tcBorders>
              <w:top w:val="nil"/>
              <w:left w:val="nil"/>
              <w:bottom w:val="single" w:color="auto" w:sz="8" w:space="0"/>
              <w:right w:val="single" w:color="auto" w:sz="8" w:space="0"/>
            </w:tcBorders>
            <w:tcMar>
              <w:top w:w="0" w:type="dxa"/>
              <w:left w:w="108" w:type="dxa"/>
              <w:bottom w:w="0" w:type="dxa"/>
              <w:right w:w="108" w:type="dxa"/>
            </w:tcMar>
            <w:vAlign w:val="center"/>
          </w:tcPr>
          <w:p w14:paraId="57CAD5A2">
            <w:pPr>
              <w:spacing w:before="100" w:beforeAutospacing="1" w:after="100" w:afterAutospacing="1"/>
              <w:jc w:val="right"/>
            </w:pPr>
            <w:r>
              <w:rPr>
                <w:rFonts w:hint="eastAsia"/>
                <w:color w:val="000000"/>
                <w:sz w:val="20"/>
                <w:szCs w:val="20"/>
              </w:rPr>
              <w:t>　</w:t>
            </w:r>
          </w:p>
        </w:tc>
        <w:tc>
          <w:tcPr>
            <w:tcW w:w="743" w:type="dxa"/>
            <w:tcBorders>
              <w:top w:val="nil"/>
              <w:left w:val="nil"/>
              <w:bottom w:val="single" w:color="auto" w:sz="8" w:space="0"/>
              <w:right w:val="single" w:color="auto" w:sz="8" w:space="0"/>
            </w:tcBorders>
            <w:tcMar>
              <w:top w:w="0" w:type="dxa"/>
              <w:left w:w="108" w:type="dxa"/>
              <w:bottom w:w="0" w:type="dxa"/>
              <w:right w:w="108" w:type="dxa"/>
            </w:tcMar>
            <w:vAlign w:val="center"/>
          </w:tcPr>
          <w:p w14:paraId="58CF33DD">
            <w:pPr>
              <w:spacing w:before="100" w:beforeAutospacing="1" w:after="100" w:afterAutospacing="1"/>
              <w:jc w:val="right"/>
            </w:pPr>
            <w:r>
              <w:rPr>
                <w:rFonts w:hint="eastAsia"/>
                <w:color w:val="000000"/>
                <w:sz w:val="20"/>
                <w:szCs w:val="20"/>
              </w:rPr>
              <w:t>　</w:t>
            </w:r>
          </w:p>
        </w:tc>
        <w:tc>
          <w:tcPr>
            <w:tcW w:w="6" w:type="dxa"/>
            <w:vAlign w:val="center"/>
          </w:tcPr>
          <w:p w14:paraId="796D764E">
            <w:r>
              <w:rPr>
                <w:rFonts w:hint="eastAsia"/>
              </w:rPr>
              <w:t> </w:t>
            </w:r>
          </w:p>
        </w:tc>
      </w:tr>
      <w:tr w14:paraId="5C6C1799">
        <w:tblPrEx>
          <w:tblCellMar>
            <w:top w:w="0" w:type="dxa"/>
            <w:left w:w="0" w:type="dxa"/>
            <w:bottom w:w="0" w:type="dxa"/>
            <w:right w:w="0" w:type="dxa"/>
          </w:tblCellMar>
        </w:tblPrEx>
        <w:trPr>
          <w:trHeight w:val="240" w:hRule="atLeast"/>
          <w:jc w:val="center"/>
        </w:trPr>
        <w:tc>
          <w:tcPr>
            <w:tcW w:w="9432" w:type="dxa"/>
            <w:gridSpan w:val="13"/>
            <w:tcMar>
              <w:top w:w="0" w:type="dxa"/>
              <w:left w:w="108" w:type="dxa"/>
              <w:bottom w:w="0" w:type="dxa"/>
              <w:right w:w="108" w:type="dxa"/>
            </w:tcMar>
            <w:vAlign w:val="bottom"/>
          </w:tcPr>
          <w:p w14:paraId="04CBCB52">
            <w:pPr>
              <w:spacing w:before="100" w:beforeAutospacing="1" w:after="100" w:afterAutospacing="1"/>
              <w:jc w:val="center"/>
            </w:pPr>
            <w:r>
              <w:rPr>
                <w:rFonts w:hint="eastAsia"/>
                <w:color w:val="000000"/>
                <w:sz w:val="20"/>
                <w:szCs w:val="20"/>
              </w:rPr>
              <w:t>　</w:t>
            </w:r>
          </w:p>
        </w:tc>
        <w:tc>
          <w:tcPr>
            <w:tcW w:w="6" w:type="dxa"/>
            <w:vAlign w:val="center"/>
          </w:tcPr>
          <w:p w14:paraId="67913BA5">
            <w:r>
              <w:rPr>
                <w:rFonts w:hint="eastAsia"/>
              </w:rPr>
              <w:t> </w:t>
            </w:r>
          </w:p>
        </w:tc>
      </w:tr>
      <w:tr w14:paraId="54E06292">
        <w:tblPrEx>
          <w:tblCellMar>
            <w:top w:w="0" w:type="dxa"/>
            <w:left w:w="0" w:type="dxa"/>
            <w:bottom w:w="0" w:type="dxa"/>
            <w:right w:w="0" w:type="dxa"/>
          </w:tblCellMar>
        </w:tblPrEx>
        <w:trPr>
          <w:trHeight w:val="300" w:hRule="atLeast"/>
          <w:jc w:val="center"/>
        </w:trPr>
        <w:tc>
          <w:tcPr>
            <w:tcW w:w="1216" w:type="dxa"/>
            <w:gridSpan w:val="2"/>
            <w:noWrap/>
            <w:tcMar>
              <w:top w:w="0" w:type="dxa"/>
              <w:left w:w="108" w:type="dxa"/>
              <w:bottom w:w="0" w:type="dxa"/>
              <w:right w:w="108" w:type="dxa"/>
            </w:tcMar>
            <w:vAlign w:val="bottom"/>
          </w:tcPr>
          <w:p w14:paraId="29678F7F">
            <w:pPr>
              <w:spacing w:before="100" w:beforeAutospacing="1" w:after="100" w:afterAutospacing="1"/>
              <w:jc w:val="center"/>
            </w:pPr>
            <w:r>
              <w:rPr>
                <w:rFonts w:hint="eastAsia"/>
                <w:color w:val="000000"/>
                <w:sz w:val="20"/>
                <w:szCs w:val="20"/>
              </w:rPr>
              <w:t>填报说明：</w:t>
            </w:r>
          </w:p>
        </w:tc>
        <w:tc>
          <w:tcPr>
            <w:tcW w:w="8216" w:type="dxa"/>
            <w:gridSpan w:val="11"/>
            <w:noWrap/>
            <w:tcMar>
              <w:top w:w="0" w:type="dxa"/>
              <w:left w:w="108" w:type="dxa"/>
              <w:bottom w:w="0" w:type="dxa"/>
              <w:right w:w="108" w:type="dxa"/>
            </w:tcMar>
            <w:vAlign w:val="center"/>
          </w:tcPr>
          <w:p w14:paraId="3D9FB997">
            <w:pPr>
              <w:spacing w:before="100" w:beforeAutospacing="1" w:after="100" w:afterAutospacing="1"/>
            </w:pPr>
            <w:r>
              <w:rPr>
                <w:rFonts w:hint="eastAsia"/>
                <w:color w:val="000000"/>
                <w:sz w:val="20"/>
                <w:szCs w:val="20"/>
              </w:rPr>
              <w:t>1.资产总额＝流动资产＋固定资产＋对外投资／有价证券＋在建工程＋无形资产＋其他资产</w:t>
            </w:r>
          </w:p>
        </w:tc>
        <w:tc>
          <w:tcPr>
            <w:tcW w:w="6" w:type="dxa"/>
            <w:vAlign w:val="center"/>
          </w:tcPr>
          <w:p w14:paraId="2AE10FA5">
            <w:r>
              <w:rPr>
                <w:rFonts w:hint="eastAsia"/>
              </w:rPr>
              <w:t> </w:t>
            </w:r>
          </w:p>
        </w:tc>
      </w:tr>
      <w:tr w14:paraId="0B76E676">
        <w:tblPrEx>
          <w:tblCellMar>
            <w:top w:w="0" w:type="dxa"/>
            <w:left w:w="0" w:type="dxa"/>
            <w:bottom w:w="0" w:type="dxa"/>
            <w:right w:w="0" w:type="dxa"/>
          </w:tblCellMar>
        </w:tblPrEx>
        <w:trPr>
          <w:trHeight w:val="285" w:hRule="atLeast"/>
          <w:jc w:val="center"/>
        </w:trPr>
        <w:tc>
          <w:tcPr>
            <w:tcW w:w="728" w:type="dxa"/>
            <w:noWrap/>
            <w:tcMar>
              <w:top w:w="0" w:type="dxa"/>
              <w:left w:w="108" w:type="dxa"/>
              <w:bottom w:w="0" w:type="dxa"/>
              <w:right w:w="108" w:type="dxa"/>
            </w:tcMar>
            <w:vAlign w:val="center"/>
          </w:tcPr>
          <w:p w14:paraId="4407AABB">
            <w:r>
              <w:rPr>
                <w:rFonts w:hint="eastAsia"/>
              </w:rPr>
              <w:t> </w:t>
            </w:r>
          </w:p>
        </w:tc>
        <w:tc>
          <w:tcPr>
            <w:tcW w:w="488" w:type="dxa"/>
            <w:noWrap/>
            <w:tcMar>
              <w:top w:w="0" w:type="dxa"/>
              <w:left w:w="108" w:type="dxa"/>
              <w:bottom w:w="0" w:type="dxa"/>
              <w:right w:w="108" w:type="dxa"/>
            </w:tcMar>
            <w:vAlign w:val="center"/>
          </w:tcPr>
          <w:p w14:paraId="376404E9">
            <w:r>
              <w:rPr>
                <w:rFonts w:hint="eastAsia"/>
              </w:rPr>
              <w:t> </w:t>
            </w:r>
          </w:p>
        </w:tc>
        <w:tc>
          <w:tcPr>
            <w:tcW w:w="8216" w:type="dxa"/>
            <w:gridSpan w:val="11"/>
            <w:noWrap/>
            <w:tcMar>
              <w:top w:w="0" w:type="dxa"/>
              <w:left w:w="108" w:type="dxa"/>
              <w:bottom w:w="0" w:type="dxa"/>
              <w:right w:w="108" w:type="dxa"/>
            </w:tcMar>
            <w:vAlign w:val="center"/>
          </w:tcPr>
          <w:p w14:paraId="1C48E930">
            <w:pPr>
              <w:spacing w:before="100" w:beforeAutospacing="1" w:after="100" w:afterAutospacing="1"/>
            </w:pPr>
            <w:r>
              <w:rPr>
                <w:rFonts w:hint="eastAsia"/>
                <w:color w:val="000000"/>
                <w:sz w:val="20"/>
                <w:szCs w:val="20"/>
              </w:rPr>
              <w:t>2.固定资产＝房屋构筑物＋车辆＋单价200万元以上大型设备＋其他固定资产</w:t>
            </w:r>
          </w:p>
        </w:tc>
        <w:tc>
          <w:tcPr>
            <w:tcW w:w="6" w:type="dxa"/>
            <w:vAlign w:val="center"/>
          </w:tcPr>
          <w:p w14:paraId="28180C2A">
            <w:r>
              <w:rPr>
                <w:rFonts w:hint="eastAsia"/>
              </w:rPr>
              <w:t> </w:t>
            </w:r>
          </w:p>
        </w:tc>
      </w:tr>
      <w:tr w14:paraId="07F969F2">
        <w:tblPrEx>
          <w:tblCellMar>
            <w:top w:w="0" w:type="dxa"/>
            <w:left w:w="0" w:type="dxa"/>
            <w:bottom w:w="0" w:type="dxa"/>
            <w:right w:w="0" w:type="dxa"/>
          </w:tblCellMar>
        </w:tblPrEx>
        <w:trPr>
          <w:trHeight w:val="285" w:hRule="atLeast"/>
          <w:jc w:val="center"/>
        </w:trPr>
        <w:tc>
          <w:tcPr>
            <w:tcW w:w="728" w:type="dxa"/>
            <w:noWrap/>
            <w:tcMar>
              <w:top w:w="0" w:type="dxa"/>
              <w:left w:w="108" w:type="dxa"/>
              <w:bottom w:w="0" w:type="dxa"/>
              <w:right w:w="108" w:type="dxa"/>
            </w:tcMar>
            <w:vAlign w:val="center"/>
          </w:tcPr>
          <w:p w14:paraId="31E73098">
            <w:r>
              <w:rPr>
                <w:rFonts w:hint="eastAsia"/>
              </w:rPr>
              <w:t> </w:t>
            </w:r>
          </w:p>
        </w:tc>
        <w:tc>
          <w:tcPr>
            <w:tcW w:w="488" w:type="dxa"/>
            <w:noWrap/>
            <w:tcMar>
              <w:top w:w="0" w:type="dxa"/>
              <w:left w:w="108" w:type="dxa"/>
              <w:bottom w:w="0" w:type="dxa"/>
              <w:right w:w="108" w:type="dxa"/>
            </w:tcMar>
            <w:vAlign w:val="center"/>
          </w:tcPr>
          <w:p w14:paraId="19E306D1">
            <w:r>
              <w:rPr>
                <w:rFonts w:hint="eastAsia"/>
              </w:rPr>
              <w:t> </w:t>
            </w:r>
          </w:p>
        </w:tc>
        <w:tc>
          <w:tcPr>
            <w:tcW w:w="8216" w:type="dxa"/>
            <w:gridSpan w:val="11"/>
            <w:noWrap/>
            <w:tcMar>
              <w:top w:w="0" w:type="dxa"/>
              <w:left w:w="108" w:type="dxa"/>
              <w:bottom w:w="0" w:type="dxa"/>
              <w:right w:w="108" w:type="dxa"/>
            </w:tcMar>
            <w:vAlign w:val="center"/>
          </w:tcPr>
          <w:p w14:paraId="1D5FEB62">
            <w:pPr>
              <w:spacing w:before="100" w:beforeAutospacing="1" w:after="100" w:afterAutospacing="1"/>
            </w:pPr>
            <w:r>
              <w:rPr>
                <w:rFonts w:hint="eastAsia"/>
                <w:color w:val="000000"/>
                <w:sz w:val="20"/>
                <w:szCs w:val="20"/>
              </w:rPr>
              <w:t>3.填报金额为资产“账面原值”。</w:t>
            </w:r>
          </w:p>
        </w:tc>
        <w:tc>
          <w:tcPr>
            <w:tcW w:w="6" w:type="dxa"/>
            <w:vAlign w:val="center"/>
          </w:tcPr>
          <w:p w14:paraId="4A40BF9F">
            <w:r>
              <w:rPr>
                <w:rFonts w:hint="eastAsia"/>
              </w:rPr>
              <w:t> </w:t>
            </w:r>
          </w:p>
        </w:tc>
      </w:tr>
    </w:tbl>
    <w:p w14:paraId="5B526932">
      <w:pPr>
        <w:autoSpaceDE w:val="0"/>
        <w:autoSpaceDN w:val="0"/>
        <w:spacing w:before="100" w:beforeAutospacing="1" w:after="100" w:afterAutospacing="1"/>
        <w:ind w:firstLine="600"/>
        <w:jc w:val="center"/>
      </w:pPr>
      <w:r>
        <w:rPr>
          <w:rFonts w:ascii="Times New Roman" w:hAnsi="Times New Roman" w:cs="Times New Roman"/>
          <w:color w:val="FF0000"/>
          <w:sz w:val="30"/>
          <w:szCs w:val="30"/>
        </w:rPr>
        <w:t> </w:t>
      </w:r>
    </w:p>
    <w:p w14:paraId="1BFBE7CC">
      <w:pPr>
        <w:autoSpaceDE w:val="0"/>
        <w:autoSpaceDN w:val="0"/>
        <w:spacing w:before="100" w:beforeAutospacing="1" w:after="100" w:afterAutospacing="1" w:line="590" w:lineRule="atLeast"/>
        <w:ind w:firstLine="600"/>
      </w:pPr>
      <w:r>
        <w:rPr>
          <w:rFonts w:hint="eastAsia" w:ascii="黑体" w:hAnsi="黑体" w:eastAsia="黑体"/>
          <w:sz w:val="30"/>
          <w:szCs w:val="30"/>
        </w:rPr>
        <w:t>三、政府采购支出情况</w:t>
      </w:r>
    </w:p>
    <w:p w14:paraId="5BFFCC81">
      <w:pPr>
        <w:autoSpaceDE w:val="0"/>
        <w:autoSpaceDN w:val="0"/>
        <w:spacing w:before="100" w:beforeAutospacing="1" w:after="100" w:afterAutospacing="1" w:line="590" w:lineRule="atLeast"/>
        <w:ind w:firstLine="600"/>
        <w:rPr>
          <w:rFonts w:ascii="仿宋" w:hAnsi="仿宋" w:eastAsia="仿宋"/>
          <w:sz w:val="30"/>
          <w:szCs w:val="30"/>
        </w:rPr>
      </w:pPr>
      <w:r>
        <w:rPr>
          <w:rFonts w:hint="eastAsia" w:ascii="仿宋" w:hAnsi="仿宋" w:eastAsia="仿宋"/>
          <w:sz w:val="30"/>
          <w:szCs w:val="30"/>
        </w:rPr>
        <w:t>2020年度，部门政府采购支出总额99.8万元，其中：政府采购货物支出0万元；政府采购工程支出0万元；政府采购服务支出99.8万元。授予中小企业合同金额0万元，占政府采购支出总额的100%。</w:t>
      </w:r>
    </w:p>
    <w:p w14:paraId="023CDF1E">
      <w:pPr>
        <w:autoSpaceDE w:val="0"/>
        <w:autoSpaceDN w:val="0"/>
        <w:spacing w:before="100" w:beforeAutospacing="1" w:after="100" w:afterAutospacing="1" w:line="590" w:lineRule="atLeast"/>
        <w:ind w:firstLine="600"/>
      </w:pPr>
      <w:r>
        <w:rPr>
          <w:rFonts w:hint="eastAsia" w:ascii="黑体" w:hAnsi="黑体" w:eastAsia="黑体"/>
          <w:color w:val="000000"/>
          <w:sz w:val="30"/>
          <w:szCs w:val="30"/>
        </w:rPr>
        <w:t>四、</w:t>
      </w:r>
      <w:r>
        <w:rPr>
          <w:rFonts w:hint="eastAsia" w:ascii="黑体" w:hAnsi="黑体" w:eastAsia="黑体"/>
          <w:sz w:val="30"/>
          <w:szCs w:val="30"/>
        </w:rPr>
        <w:t>部门绩效自评情况</w:t>
      </w:r>
    </w:p>
    <w:p w14:paraId="1EBC26B9">
      <w:pPr>
        <w:autoSpaceDE w:val="0"/>
        <w:autoSpaceDN w:val="0"/>
        <w:spacing w:before="100" w:beforeAutospacing="1" w:after="100" w:afterAutospacing="1" w:line="590" w:lineRule="atLeast"/>
        <w:ind w:firstLine="600"/>
      </w:pPr>
      <w:r>
        <w:rPr>
          <w:rFonts w:hint="eastAsia" w:ascii="仿宋" w:hAnsi="仿宋" w:eastAsia="仿宋"/>
          <w:sz w:val="30"/>
          <w:szCs w:val="30"/>
        </w:rPr>
        <w:t>部门绩效自评情况详见附表（附表10-附表12）。</w:t>
      </w:r>
    </w:p>
    <w:p w14:paraId="716909A0">
      <w:pPr>
        <w:autoSpaceDE w:val="0"/>
        <w:autoSpaceDN w:val="0"/>
        <w:spacing w:before="100" w:beforeAutospacing="1" w:after="100" w:afterAutospacing="1" w:line="590" w:lineRule="atLeast"/>
        <w:ind w:firstLine="600"/>
      </w:pPr>
      <w:r>
        <w:rPr>
          <w:rFonts w:hint="eastAsia" w:ascii="黑体" w:hAnsi="黑体" w:eastAsia="黑体"/>
          <w:sz w:val="30"/>
          <w:szCs w:val="30"/>
        </w:rPr>
        <w:t>五、其他重要事项情况说明</w:t>
      </w:r>
    </w:p>
    <w:p w14:paraId="4E15945D">
      <w:pPr>
        <w:autoSpaceDE w:val="0"/>
        <w:autoSpaceDN w:val="0"/>
        <w:spacing w:before="100" w:beforeAutospacing="1" w:after="100" w:afterAutospacing="1" w:line="590" w:lineRule="atLeast"/>
        <w:ind w:firstLine="600"/>
        <w:rPr>
          <w:rFonts w:ascii="仿宋" w:hAnsi="仿宋" w:eastAsia="仿宋"/>
          <w:sz w:val="30"/>
          <w:szCs w:val="30"/>
        </w:rPr>
      </w:pPr>
      <w:r>
        <w:rPr>
          <w:rFonts w:hint="eastAsia" w:ascii="仿宋" w:hAnsi="仿宋" w:eastAsia="仿宋"/>
          <w:sz w:val="30"/>
          <w:szCs w:val="30"/>
        </w:rPr>
        <w:t>无其他重要事项情况说明</w:t>
      </w:r>
    </w:p>
    <w:p w14:paraId="61F79267">
      <w:pPr>
        <w:autoSpaceDE w:val="0"/>
        <w:autoSpaceDN w:val="0"/>
        <w:spacing w:before="100" w:beforeAutospacing="1" w:after="100" w:afterAutospacing="1" w:line="590" w:lineRule="atLeast"/>
        <w:ind w:firstLine="600"/>
      </w:pPr>
      <w:r>
        <w:rPr>
          <w:rFonts w:hint="eastAsia" w:ascii="黑体" w:hAnsi="黑体" w:eastAsia="黑体"/>
          <w:sz w:val="30"/>
          <w:szCs w:val="30"/>
        </w:rPr>
        <w:t>六、相关口径说明</w:t>
      </w:r>
    </w:p>
    <w:p w14:paraId="6ABC9C17">
      <w:pPr>
        <w:autoSpaceDE w:val="0"/>
        <w:autoSpaceDN w:val="0"/>
        <w:spacing w:before="100" w:beforeAutospacing="1" w:after="100" w:afterAutospacing="1" w:line="590" w:lineRule="atLeast"/>
        <w:ind w:firstLine="600"/>
      </w:pPr>
      <w:r>
        <w:rPr>
          <w:rFonts w:hint="eastAsia" w:ascii="仿宋" w:hAnsi="仿宋" w:eastAsia="仿宋"/>
          <w:sz w:val="30"/>
          <w:szCs w:val="30"/>
        </w:rPr>
        <w:t>（一）基本支出中人员经费包括工资福利支出和对个人和家庭的补助，公用经费包括商品和服务支出、资本性支出等人员经费以外的支出。</w:t>
      </w:r>
    </w:p>
    <w:p w14:paraId="2E914855">
      <w:pPr>
        <w:autoSpaceDE w:val="0"/>
        <w:autoSpaceDN w:val="0"/>
        <w:spacing w:before="100" w:beforeAutospacing="1" w:after="100" w:afterAutospacing="1" w:line="590" w:lineRule="atLeast"/>
        <w:ind w:firstLine="600"/>
      </w:pPr>
      <w:r>
        <w:rPr>
          <w:rFonts w:hint="eastAsia" w:ascii="仿宋" w:hAnsi="仿宋" w:eastAsia="仿宋"/>
          <w:sz w:val="30"/>
          <w:szCs w:val="30"/>
        </w:rPr>
        <w:t>（二）机关运行经费指行政单位和参照公务员法管理的事业单位使用一般公共预算财政拨款安排的基本支出中的公用经费支出。</w:t>
      </w:r>
    </w:p>
    <w:p w14:paraId="5532D102">
      <w:pPr>
        <w:autoSpaceDE w:val="0"/>
        <w:autoSpaceDN w:val="0"/>
        <w:spacing w:before="100" w:beforeAutospacing="1" w:after="100" w:afterAutospacing="1" w:line="590" w:lineRule="atLeast"/>
        <w:ind w:firstLine="600"/>
      </w:pPr>
      <w:r>
        <w:rPr>
          <w:rFonts w:hint="eastAsia" w:ascii="仿宋" w:hAnsi="仿宋" w:eastAsia="仿宋"/>
          <w:sz w:val="30"/>
          <w:szCs w:val="30"/>
        </w:rPr>
        <w:t>（三）按照党中央、国务院有关文件及部门预算管理有关规定，</w:t>
      </w:r>
      <w:r>
        <w:rPr>
          <w:rFonts w:ascii="Times New Roman" w:hAnsi="Times New Roman" w:cs="Times New Roman"/>
          <w:sz w:val="30"/>
          <w:szCs w:val="30"/>
        </w:rPr>
        <w:t>“</w:t>
      </w:r>
      <w:r>
        <w:rPr>
          <w:rFonts w:hint="eastAsia" w:ascii="仿宋" w:hAnsi="仿宋" w:eastAsia="仿宋"/>
          <w:sz w:val="30"/>
          <w:szCs w:val="30"/>
        </w:rPr>
        <w:t>三公</w:t>
      </w:r>
      <w:r>
        <w:rPr>
          <w:rFonts w:ascii="Times New Roman" w:hAnsi="Times New Roman" w:cs="Times New Roman"/>
          <w:sz w:val="30"/>
          <w:szCs w:val="30"/>
        </w:rPr>
        <w:t>”</w:t>
      </w:r>
      <w:r>
        <w:rPr>
          <w:rFonts w:hint="eastAsia" w:ascii="仿宋" w:hAnsi="仿宋" w:eastAsia="仿宋"/>
          <w:sz w:val="30"/>
          <w:szCs w:val="30"/>
        </w:rPr>
        <w:t>经费包括因公出国（境）费、公务用车购置及运行维护费、公务接待费。其中：因公出国（境）费，指单位公务出国（境）的国际旅费、国外城市间交通费、住宿费、伙食费、培训费、公杂费等支出；公务用车购置费，指公务用车购置支出（含车辆购置税、牌照费）；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p>
    <w:p w14:paraId="12F7FAD6">
      <w:pPr>
        <w:autoSpaceDE w:val="0"/>
        <w:autoSpaceDN w:val="0"/>
        <w:spacing w:before="100" w:beforeAutospacing="1" w:after="100" w:afterAutospacing="1" w:line="590" w:lineRule="atLeast"/>
        <w:ind w:firstLine="600"/>
      </w:pPr>
      <w:r>
        <w:rPr>
          <w:rFonts w:hint="eastAsia" w:ascii="仿宋" w:hAnsi="仿宋" w:eastAsia="仿宋"/>
          <w:sz w:val="30"/>
          <w:szCs w:val="30"/>
        </w:rPr>
        <w:t>（四）</w:t>
      </w:r>
      <w:r>
        <w:rPr>
          <w:rFonts w:ascii="Times New Roman" w:hAnsi="Times New Roman" w:cs="Times New Roman"/>
          <w:sz w:val="30"/>
          <w:szCs w:val="30"/>
        </w:rPr>
        <w:t>“</w:t>
      </w:r>
      <w:r>
        <w:rPr>
          <w:rFonts w:hint="eastAsia" w:ascii="仿宋" w:hAnsi="仿宋" w:eastAsia="仿宋"/>
          <w:sz w:val="30"/>
          <w:szCs w:val="30"/>
        </w:rPr>
        <w:t>三公</w:t>
      </w:r>
      <w:r>
        <w:rPr>
          <w:rFonts w:ascii="Times New Roman" w:hAnsi="Times New Roman" w:cs="Times New Roman"/>
          <w:sz w:val="30"/>
          <w:szCs w:val="30"/>
        </w:rPr>
        <w:t>”</w:t>
      </w:r>
      <w:r>
        <w:rPr>
          <w:rFonts w:hint="eastAsia" w:ascii="仿宋" w:hAnsi="仿宋" w:eastAsia="仿宋"/>
          <w:sz w:val="30"/>
          <w:szCs w:val="30"/>
        </w:rPr>
        <w:t>经费决算数：指各部门（含下属单位）当年通过本级财政一般公共预算财政拨款和以前年度一般公共预算财政拨款结转结余资金安排的因公出国（境）费、公务用车购置及运行维护费和公务接待费支出数（包括基本支出和项目支出）。</w:t>
      </w:r>
    </w:p>
    <w:p w14:paraId="797D375B">
      <w:pPr>
        <w:autoSpaceDE w:val="0"/>
        <w:autoSpaceDN w:val="0"/>
        <w:spacing w:before="100" w:beforeAutospacing="1" w:after="100" w:afterAutospacing="1" w:line="590" w:lineRule="atLeast"/>
        <w:jc w:val="center"/>
      </w:pPr>
      <w:r>
        <w:rPr>
          <w:rFonts w:hint="eastAsia" w:ascii="黑体" w:hAnsi="黑体" w:eastAsia="黑体"/>
          <w:sz w:val="32"/>
          <w:szCs w:val="32"/>
        </w:rPr>
        <w:t>第五部分</w:t>
      </w:r>
      <w:r>
        <w:rPr>
          <w:rFonts w:ascii="Calibri" w:hAnsi="Calibri" w:eastAsia="黑体"/>
          <w:sz w:val="32"/>
          <w:szCs w:val="32"/>
        </w:rPr>
        <w:t> </w:t>
      </w:r>
      <w:r>
        <w:rPr>
          <w:rFonts w:hint="eastAsia" w:ascii="黑体" w:hAnsi="黑体" w:eastAsia="黑体"/>
          <w:sz w:val="32"/>
          <w:szCs w:val="32"/>
        </w:rPr>
        <w:t xml:space="preserve"> 名词解释</w:t>
      </w:r>
    </w:p>
    <w:p w14:paraId="17B71FE3">
      <w:pPr>
        <w:autoSpaceDE w:val="0"/>
        <w:autoSpaceDN w:val="0"/>
        <w:spacing w:before="100" w:beforeAutospacing="1" w:after="100" w:afterAutospacing="1" w:line="590" w:lineRule="atLeast"/>
        <w:ind w:firstLine="600"/>
        <w:rPr>
          <w:rFonts w:ascii="仿宋" w:hAnsi="仿宋" w:eastAsia="仿宋"/>
          <w:sz w:val="30"/>
          <w:szCs w:val="30"/>
        </w:rPr>
      </w:pPr>
      <w:r>
        <w:rPr>
          <w:rFonts w:hint="eastAsia" w:ascii="仿宋" w:hAnsi="仿宋" w:eastAsia="仿宋"/>
          <w:sz w:val="30"/>
          <w:szCs w:val="30"/>
        </w:rPr>
        <w:t>不涉及专用名词。</w:t>
      </w:r>
    </w:p>
    <w:p w14:paraId="60E5C5FF">
      <w:pPr>
        <w:autoSpaceDE w:val="0"/>
        <w:autoSpaceDN w:val="0"/>
        <w:spacing w:before="100" w:beforeAutospacing="1" w:after="100" w:afterAutospacing="1" w:line="590" w:lineRule="atLeast"/>
        <w:ind w:firstLine="600"/>
      </w:pPr>
    </w:p>
    <w:sectPr>
      <w:pgSz w:w="11907" w:h="16840"/>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roman"/>
    <w:pitch w:val="default"/>
    <w:sig w:usb0="A00002BF" w:usb1="38CF7CFA" w:usb2="00000016" w:usb3="00000000" w:csb0="0004000F" w:csb1="00000000"/>
  </w:font>
  <w:font w:name="方正小标宋简体">
    <w:panose1 w:val="02000000000000000000"/>
    <w:charset w:val="86"/>
    <w:family w:val="script"/>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10" w:usb3="00000000" w:csb0="0004009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noPunctuationKerning w:val="1"/>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EE1"/>
    <w:rsid w:val="000D0224"/>
    <w:rsid w:val="001A5EE1"/>
    <w:rsid w:val="00456A7E"/>
    <w:rsid w:val="00626F59"/>
    <w:rsid w:val="00670F02"/>
    <w:rsid w:val="006E34C8"/>
    <w:rsid w:val="0079386C"/>
    <w:rsid w:val="00982784"/>
    <w:rsid w:val="00C61B61"/>
    <w:rsid w:val="00D22B07"/>
    <w:rsid w:val="00EF1A99"/>
    <w:rsid w:val="00F16776"/>
    <w:rsid w:val="3E7C0A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paragraph" w:customStyle="1" w:styleId="4">
    <w:name w:val="msonormal"/>
    <w:basedOn w:val="1"/>
    <w:qFormat/>
    <w:uiPriority w:val="0"/>
    <w:pPr>
      <w:spacing w:before="100" w:beforeAutospacing="1" w:after="100" w:afterAutospacing="1"/>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16</Pages>
  <Words>4386</Words>
  <Characters>5104</Characters>
  <Lines>44</Lines>
  <Paragraphs>12</Paragraphs>
  <TotalTime>15</TotalTime>
  <ScaleCrop>false</ScaleCrop>
  <LinksUpToDate>false</LinksUpToDate>
  <CharactersWithSpaces>5191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2021-10-22T03:26:00Z</dcterms:created>
  <dc:creator>pc</dc:creator>
  <cp:lastModifiedBy>方</cp:lastModifiedBy>
  <dcterms:modified xsi:type="dcterms:W3CDTF">2025-07-18T09:44:43Z</dcterms:modified>
  <dc:title>DWZDM</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eyJoZGlkIjoiYWM4OTdjYmM5OTc1ZTExMjliOThhNWZiOGFiODE3Y2QiLCJ1c2VySWQiOiIxMTIxMzIwNzkyIn0=</vt:lpwstr>
  </property>
  <property fmtid="{D5CDD505-2E9C-101B-9397-08002B2CF9AE}" pid="3" name="KSOProductBuildVer">
    <vt:lpwstr>2052-12.1.0.21915</vt:lpwstr>
  </property>
  <property fmtid="{D5CDD505-2E9C-101B-9397-08002B2CF9AE}" pid="4" name="ICV">
    <vt:lpwstr>6F99DA91DAAA48709EFBD09C6945EDB4_13</vt:lpwstr>
  </property>
</Properties>
</file>