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E9CE2">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昆明市盘龙区人民政府</w:t>
      </w:r>
    </w:p>
    <w:p w14:paraId="5E9F6859">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关于2021年上半年地方财政预算</w:t>
      </w:r>
    </w:p>
    <w:p w14:paraId="2BF46B5C">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执行情况的报告</w:t>
      </w:r>
    </w:p>
    <w:p w14:paraId="13118971">
      <w:pPr>
        <w:keepNext w:val="0"/>
        <w:keepLines w:val="0"/>
        <w:pageBreakBefore w:val="0"/>
        <w:kinsoku/>
        <w:wordWrap/>
        <w:overflowPunct/>
        <w:topLinePunct w:val="0"/>
        <w:autoSpaceDE/>
        <w:autoSpaceDN/>
        <w:bidi w:val="0"/>
        <w:spacing w:line="600" w:lineRule="exact"/>
        <w:ind w:firstLine="1760" w:firstLineChars="550"/>
        <w:textAlignment w:val="auto"/>
        <w:rPr>
          <w:rFonts w:hint="default" w:ascii="Times New Roman" w:hAnsi="Times New Roman" w:eastAsia="楷体_GB2312" w:cs="Times New Roman"/>
          <w:sz w:val="32"/>
          <w:szCs w:val="32"/>
        </w:rPr>
      </w:pPr>
    </w:p>
    <w:p w14:paraId="7B3CF7F9">
      <w:pPr>
        <w:keepNext w:val="0"/>
        <w:keepLines w:val="0"/>
        <w:pageBreakBefore w:val="0"/>
        <w:kinsoku/>
        <w:wordWrap/>
        <w:overflowPunct/>
        <w:topLinePunct w:val="0"/>
        <w:autoSpaceDE/>
        <w:autoSpaceDN/>
        <w:bidi w:val="0"/>
        <w:spacing w:line="600" w:lineRule="exact"/>
        <w:ind w:firstLine="2880" w:firstLineChars="9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昆明市盘龙区人民政府</w:t>
      </w:r>
    </w:p>
    <w:p w14:paraId="614C829A">
      <w:pPr>
        <w:keepNext w:val="0"/>
        <w:keepLines w:val="0"/>
        <w:pageBreakBefore w:val="0"/>
        <w:kinsoku/>
        <w:wordWrap/>
        <w:overflowPunct/>
        <w:topLinePunct w:val="0"/>
        <w:autoSpaceDE/>
        <w:autoSpaceDN/>
        <w:bidi w:val="0"/>
        <w:spacing w:line="600" w:lineRule="exact"/>
        <w:ind w:firstLine="3200" w:firstLineChars="10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（2021年</w:t>
      </w:r>
      <w:r>
        <w:rPr>
          <w:rFonts w:hint="eastAsia" w:eastAsia="楷体_GB2312" w:cs="Times New Roman"/>
          <w:sz w:val="32"/>
          <w:szCs w:val="32"/>
          <w:lang w:val="en-US" w:eastAsia="zh-CN"/>
        </w:rPr>
        <w:t>9</w:t>
      </w:r>
      <w:r>
        <w:rPr>
          <w:rFonts w:hint="default" w:ascii="Times New Roman" w:hAnsi="Times New Roman" w:eastAsia="楷体_GB2312" w:cs="Times New Roman"/>
          <w:sz w:val="32"/>
          <w:szCs w:val="32"/>
        </w:rPr>
        <w:t>月</w:t>
      </w:r>
      <w:r>
        <w:rPr>
          <w:rFonts w:hint="eastAsia" w:eastAsia="楷体_GB2312" w:cs="Times New Roman"/>
          <w:sz w:val="32"/>
          <w:szCs w:val="32"/>
          <w:lang w:val="en-US" w:eastAsia="zh-CN"/>
        </w:rPr>
        <w:t>8</w:t>
      </w:r>
      <w:r>
        <w:rPr>
          <w:rFonts w:hint="default" w:ascii="Times New Roman" w:hAnsi="Times New Roman" w:eastAsia="楷体_GB2312" w:cs="Times New Roman"/>
          <w:sz w:val="32"/>
          <w:szCs w:val="32"/>
        </w:rPr>
        <w:t>日）</w:t>
      </w:r>
    </w:p>
    <w:p w14:paraId="10736B7C">
      <w:pPr>
        <w:keepNext w:val="0"/>
        <w:keepLines w:val="0"/>
        <w:pageBreakBefore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rPr>
      </w:pPr>
    </w:p>
    <w:p w14:paraId="52832773">
      <w:pPr>
        <w:keepNext w:val="0"/>
        <w:keepLines w:val="0"/>
        <w:pageBreakBefore w:val="0"/>
        <w:widowControl/>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主任，各位副主任、各位委员：</w:t>
      </w:r>
    </w:p>
    <w:p w14:paraId="5C93DCE0">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w:t>
      </w:r>
      <w:r>
        <w:rPr>
          <w:rFonts w:hint="default" w:ascii="Times New Roman" w:hAnsi="Times New Roman" w:eastAsia="仿宋_GB2312" w:cs="Times New Roman"/>
          <w:sz w:val="32"/>
          <w:szCs w:val="32"/>
          <w:lang w:eastAsia="zh-CN"/>
        </w:rPr>
        <w:t>区委副书记、代区长</w:t>
      </w:r>
      <w:r>
        <w:rPr>
          <w:rFonts w:hint="default" w:ascii="Times New Roman" w:hAnsi="Times New Roman" w:eastAsia="仿宋_GB2312" w:cs="Times New Roman"/>
          <w:sz w:val="32"/>
          <w:szCs w:val="32"/>
        </w:rPr>
        <w:t>高庚</w:t>
      </w:r>
      <w:r>
        <w:rPr>
          <w:rFonts w:hint="default" w:ascii="Times New Roman" w:hAnsi="Times New Roman" w:eastAsia="仿宋_GB2312" w:cs="Times New Roman"/>
          <w:sz w:val="32"/>
          <w:szCs w:val="32"/>
          <w:lang w:eastAsia="zh-CN"/>
        </w:rPr>
        <w:t>同志</w:t>
      </w:r>
      <w:r>
        <w:rPr>
          <w:rFonts w:hint="default" w:ascii="Times New Roman" w:hAnsi="Times New Roman" w:eastAsia="仿宋_GB2312" w:cs="Times New Roman"/>
          <w:sz w:val="32"/>
          <w:szCs w:val="32"/>
        </w:rPr>
        <w:t>委托，我代表盘龙区人民政府，向区第十六届人大常委会第三十</w:t>
      </w:r>
      <w:r>
        <w:rPr>
          <w:rFonts w:hint="eastAsia" w:eastAsia="仿宋_GB2312" w:cs="Times New Roman"/>
          <w:sz w:val="32"/>
          <w:szCs w:val="32"/>
          <w:lang w:eastAsia="zh-CN"/>
        </w:rPr>
        <w:t>八</w:t>
      </w:r>
      <w:r>
        <w:rPr>
          <w:rFonts w:hint="default" w:ascii="Times New Roman" w:hAnsi="Times New Roman" w:eastAsia="仿宋_GB2312" w:cs="Times New Roman"/>
          <w:sz w:val="32"/>
          <w:szCs w:val="32"/>
        </w:rPr>
        <w:t>次会议作《昆明市盘龙区人民政府关于2021年上半年地方财政预算执行情况的报告》，请予审议。</w:t>
      </w:r>
    </w:p>
    <w:p w14:paraId="4AD066A1">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一、上半年财政收支执行情况</w:t>
      </w:r>
    </w:p>
    <w:p w14:paraId="768976C0">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上半年，</w:t>
      </w:r>
      <w:r>
        <w:rPr>
          <w:rFonts w:hint="default" w:ascii="Times New Roman" w:hAnsi="Times New Roman" w:eastAsia="仿宋_GB2312" w:cs="Times New Roman"/>
          <w:sz w:val="32"/>
          <w:szCs w:val="32"/>
          <w:highlight w:val="none"/>
        </w:rPr>
        <w:t>受宏观政策调整</w:t>
      </w:r>
      <w:r>
        <w:rPr>
          <w:rFonts w:hint="default" w:ascii="Times New Roman" w:hAnsi="Times New Roman" w:eastAsia="仿宋_GB2312" w:cs="Times New Roman"/>
          <w:sz w:val="32"/>
          <w:szCs w:val="32"/>
        </w:rPr>
        <w:t>及减税降费持续影响，我区经济发展面临巨大挑战，财政收支压力前所未有。在区委的坚强领导下，在区人大及其常委会的依法监督和指导下，全区财税部门迎难而上，紧紧围绕财政收支目标，严格按照年初工作部署，把依法理财、深化改革、提高效能贯穿财政管理始终，扎实做好“六稳”工作，全面落实“六保”任务，坚持过“紧日子”，优化支出保重点，调整结构保民生，加大减税降费支持力度，确保经济运行在合理区间，财政运行总体平稳，预算执行情况总体良好，为推动社会和谐稳定做出了积极贡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rPr>
        <w:t xml:space="preserve">                             </w:t>
      </w:r>
    </w:p>
    <w:p w14:paraId="42A12003">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（一）一般公共预算执行情况</w:t>
      </w:r>
    </w:p>
    <w:p w14:paraId="6B611247">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全区一般公共预算收入完成</w:t>
      </w:r>
      <w:r>
        <w:rPr>
          <w:rFonts w:hint="eastAsia" w:eastAsia="仿宋_GB2312" w:cs="Times New Roman"/>
          <w:kern w:val="32"/>
          <w:sz w:val="32"/>
          <w:szCs w:val="32"/>
          <w:highlight w:val="none"/>
          <w:lang w:val="en-US" w:eastAsia="zh-CN"/>
        </w:rPr>
        <w:t>217,346</w:t>
      </w:r>
      <w:r>
        <w:rPr>
          <w:rFonts w:hint="default" w:ascii="Times New Roman" w:hAnsi="Times New Roman" w:eastAsia="仿宋_GB2312" w:cs="Times New Roman"/>
          <w:sz w:val="32"/>
          <w:szCs w:val="32"/>
          <w:highlight w:val="none"/>
        </w:rPr>
        <w:t>万元，同比增加</w:t>
      </w:r>
      <w:r>
        <w:rPr>
          <w:rFonts w:hint="eastAsia" w:eastAsia="仿宋_GB2312" w:cs="Times New Roman"/>
          <w:sz w:val="32"/>
          <w:szCs w:val="32"/>
          <w:highlight w:val="none"/>
          <w:lang w:val="en-US" w:eastAsia="zh-CN"/>
        </w:rPr>
        <w:t>29,409</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32"/>
          <w:sz w:val="32"/>
          <w:szCs w:val="32"/>
          <w:highlight w:val="none"/>
        </w:rPr>
        <w:t>，增长</w:t>
      </w:r>
      <w:r>
        <w:rPr>
          <w:rFonts w:hint="eastAsia" w:eastAsia="仿宋_GB2312" w:cs="Times New Roman"/>
          <w:kern w:val="32"/>
          <w:sz w:val="32"/>
          <w:szCs w:val="32"/>
          <w:highlight w:val="none"/>
          <w:lang w:val="en-US" w:eastAsia="zh-CN"/>
        </w:rPr>
        <w:t>15.65</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eastAsia" w:eastAsia="仿宋_GB2312" w:cs="Times New Roman"/>
          <w:kern w:val="0"/>
          <w:sz w:val="32"/>
          <w:szCs w:val="32"/>
          <w:highlight w:val="none"/>
          <w:lang w:val="en-US" w:eastAsia="zh-CN"/>
        </w:rPr>
        <w:t>46.68</w:t>
      </w:r>
      <w:r>
        <w:rPr>
          <w:rFonts w:hint="default" w:ascii="Times New Roman" w:hAnsi="Times New Roman" w:eastAsia="仿宋_GB2312" w:cs="Times New Roman"/>
          <w:kern w:val="0"/>
          <w:sz w:val="32"/>
          <w:szCs w:val="32"/>
          <w:highlight w:val="none"/>
        </w:rPr>
        <w:t>%。</w:t>
      </w:r>
    </w:p>
    <w:p w14:paraId="00973471">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全区一般公共预算支出完成</w:t>
      </w:r>
      <w:r>
        <w:rPr>
          <w:rFonts w:hint="eastAsia" w:eastAsia="仿宋_GB2312" w:cs="Times New Roman"/>
          <w:sz w:val="32"/>
          <w:szCs w:val="32"/>
          <w:highlight w:val="none"/>
          <w:lang w:val="en-US" w:eastAsia="zh-CN"/>
        </w:rPr>
        <w:t>284,027</w:t>
      </w:r>
      <w:r>
        <w:rPr>
          <w:rFonts w:hint="default" w:ascii="Times New Roman" w:hAnsi="Times New Roman" w:eastAsia="仿宋_GB2312" w:cs="Times New Roman"/>
          <w:sz w:val="32"/>
          <w:szCs w:val="32"/>
          <w:highlight w:val="none"/>
        </w:rPr>
        <w:t>万元，同比增加</w:t>
      </w:r>
      <w:r>
        <w:rPr>
          <w:rFonts w:hint="eastAsia" w:eastAsia="仿宋_GB2312" w:cs="Times New Roman"/>
          <w:sz w:val="32"/>
          <w:szCs w:val="32"/>
          <w:highlight w:val="none"/>
          <w:lang w:val="en-US" w:eastAsia="zh-CN"/>
        </w:rPr>
        <w:t>5,258</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0"/>
          <w:sz w:val="32"/>
          <w:szCs w:val="32"/>
          <w:highlight w:val="none"/>
        </w:rPr>
        <w:t>增长</w:t>
      </w:r>
      <w:r>
        <w:rPr>
          <w:rFonts w:hint="eastAsia" w:eastAsia="仿宋_GB2312" w:cs="Times New Roman"/>
          <w:kern w:val="0"/>
          <w:sz w:val="32"/>
          <w:szCs w:val="32"/>
          <w:highlight w:val="none"/>
          <w:lang w:val="en-US" w:eastAsia="zh-CN"/>
        </w:rPr>
        <w:t>1.89</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eastAsia" w:eastAsia="仿宋_GB2312" w:cs="Times New Roman"/>
          <w:kern w:val="0"/>
          <w:sz w:val="32"/>
          <w:szCs w:val="32"/>
          <w:highlight w:val="none"/>
          <w:lang w:val="en-US" w:eastAsia="zh-CN"/>
        </w:rPr>
        <w:t>53.85</w:t>
      </w:r>
      <w:r>
        <w:rPr>
          <w:rFonts w:hint="default" w:ascii="Times New Roman" w:hAnsi="Times New Roman" w:eastAsia="仿宋_GB2312" w:cs="Times New Roman"/>
          <w:kern w:val="0"/>
          <w:sz w:val="32"/>
          <w:szCs w:val="32"/>
          <w:highlight w:val="none"/>
        </w:rPr>
        <w:t>%。</w:t>
      </w:r>
    </w:p>
    <w:p w14:paraId="1E6149E8">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（二）政府性基金预算执行情况</w:t>
      </w:r>
    </w:p>
    <w:p w14:paraId="2B823E31">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全区政府性基金预算收入104万元，同比增</w:t>
      </w:r>
      <w:r>
        <w:rPr>
          <w:rFonts w:hint="default" w:ascii="Times New Roman" w:hAnsi="Times New Roman" w:eastAsia="仿宋_GB2312" w:cs="Times New Roman"/>
          <w:sz w:val="32"/>
          <w:szCs w:val="32"/>
          <w:highlight w:val="none"/>
          <w:lang w:eastAsia="zh-CN"/>
        </w:rPr>
        <w:t>加</w:t>
      </w:r>
      <w:r>
        <w:rPr>
          <w:rFonts w:hint="default" w:ascii="Times New Roman" w:hAnsi="Times New Roman" w:eastAsia="仿宋_GB2312" w:cs="Times New Roman"/>
          <w:sz w:val="32"/>
          <w:szCs w:val="32"/>
          <w:highlight w:val="none"/>
        </w:rPr>
        <w:t>29万元</w:t>
      </w:r>
      <w:r>
        <w:rPr>
          <w:rFonts w:hint="default" w:ascii="Times New Roman" w:hAnsi="Times New Roman" w:eastAsia="仿宋_GB2312" w:cs="Times New Roman"/>
          <w:kern w:val="32"/>
          <w:sz w:val="32"/>
          <w:szCs w:val="32"/>
          <w:highlight w:val="none"/>
        </w:rPr>
        <w:t>，增长</w:t>
      </w:r>
      <w:r>
        <w:rPr>
          <w:rFonts w:hint="default" w:ascii="Times New Roman" w:hAnsi="Times New Roman" w:eastAsia="仿宋_GB2312" w:cs="Times New Roman"/>
          <w:kern w:val="32"/>
          <w:sz w:val="32"/>
          <w:szCs w:val="32"/>
          <w:highlight w:val="none"/>
          <w:lang w:val="en-US" w:eastAsia="zh-CN"/>
        </w:rPr>
        <w:t>38.67</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default" w:ascii="Times New Roman" w:hAnsi="Times New Roman" w:eastAsia="仿宋_GB2312" w:cs="Times New Roman"/>
          <w:kern w:val="0"/>
          <w:sz w:val="32"/>
          <w:szCs w:val="32"/>
          <w:highlight w:val="none"/>
          <w:lang w:val="en-US" w:eastAsia="zh-CN"/>
        </w:rPr>
        <w:t>7.98</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w:t>
      </w:r>
    </w:p>
    <w:p w14:paraId="7B212E9F">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全区政府性基金预算支出</w:t>
      </w:r>
      <w:r>
        <w:rPr>
          <w:rFonts w:hint="eastAsia" w:eastAsia="仿宋_GB2312" w:cs="Times New Roman"/>
          <w:sz w:val="32"/>
          <w:szCs w:val="32"/>
          <w:highlight w:val="none"/>
          <w:lang w:val="en-US" w:eastAsia="zh-CN"/>
        </w:rPr>
        <w:t>11,519</w:t>
      </w:r>
      <w:r>
        <w:rPr>
          <w:rFonts w:hint="default" w:ascii="Times New Roman" w:hAnsi="Times New Roman" w:eastAsia="仿宋_GB2312" w:cs="Times New Roman"/>
          <w:sz w:val="32"/>
          <w:szCs w:val="32"/>
          <w:highlight w:val="none"/>
        </w:rPr>
        <w:t>万元（含上年结转），同比</w:t>
      </w:r>
      <w:r>
        <w:rPr>
          <w:rFonts w:hint="default" w:ascii="Times New Roman" w:hAnsi="Times New Roman" w:eastAsia="仿宋_GB2312" w:cs="Times New Roman"/>
          <w:sz w:val="32"/>
          <w:szCs w:val="32"/>
          <w:highlight w:val="none"/>
          <w:lang w:eastAsia="zh-CN"/>
        </w:rPr>
        <w:t>增加</w:t>
      </w:r>
      <w:r>
        <w:rPr>
          <w:rFonts w:hint="eastAsia" w:eastAsia="仿宋_GB2312" w:cs="Times New Roman"/>
          <w:sz w:val="32"/>
          <w:szCs w:val="32"/>
          <w:highlight w:val="none"/>
          <w:lang w:val="en-US" w:eastAsia="zh-CN"/>
        </w:rPr>
        <w:t>10,604</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0"/>
          <w:sz w:val="32"/>
          <w:szCs w:val="32"/>
          <w:highlight w:val="none"/>
        </w:rPr>
        <w:t>增长</w:t>
      </w:r>
      <w:r>
        <w:rPr>
          <w:rFonts w:hint="eastAsia" w:eastAsia="仿宋_GB2312" w:cs="Times New Roman"/>
          <w:kern w:val="0"/>
          <w:sz w:val="32"/>
          <w:szCs w:val="32"/>
          <w:highlight w:val="none"/>
          <w:lang w:val="en-US" w:eastAsia="zh-CN"/>
        </w:rPr>
        <w:t>1</w:t>
      </w:r>
      <w:r>
        <w:rPr>
          <w:rFonts w:hint="eastAsia" w:eastAsia="仿宋_GB2312" w:cs="Times New Roman"/>
          <w:sz w:val="32"/>
          <w:szCs w:val="32"/>
          <w:highlight w:val="none"/>
          <w:lang w:val="en-US" w:eastAsia="zh-CN"/>
        </w:rPr>
        <w:t>,</w:t>
      </w:r>
      <w:r>
        <w:rPr>
          <w:rFonts w:hint="eastAsia" w:eastAsia="仿宋_GB2312" w:cs="Times New Roman"/>
          <w:kern w:val="0"/>
          <w:sz w:val="32"/>
          <w:szCs w:val="32"/>
          <w:highlight w:val="none"/>
          <w:lang w:val="en-US" w:eastAsia="zh-CN"/>
        </w:rPr>
        <w:t>158.91</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eastAsia" w:eastAsia="仿宋_GB2312" w:cs="Times New Roman"/>
          <w:kern w:val="0"/>
          <w:sz w:val="32"/>
          <w:szCs w:val="32"/>
          <w:highlight w:val="none"/>
          <w:lang w:val="en-US" w:eastAsia="zh-CN"/>
        </w:rPr>
        <w:t>74.52</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w:t>
      </w:r>
    </w:p>
    <w:p w14:paraId="546FA5D3">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（三）国有资本经营预算执行情况</w:t>
      </w:r>
    </w:p>
    <w:p w14:paraId="3046847A">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全区国有资本经营预算收入545万元，同比增加545万元</w:t>
      </w:r>
      <w:r>
        <w:rPr>
          <w:rFonts w:hint="default" w:ascii="Times New Roman" w:hAnsi="Times New Roman" w:eastAsia="仿宋_GB2312" w:cs="Times New Roman"/>
          <w:kern w:val="32"/>
          <w:sz w:val="32"/>
          <w:szCs w:val="32"/>
          <w:highlight w:val="none"/>
        </w:rPr>
        <w:t>，增长</w:t>
      </w:r>
      <w:r>
        <w:rPr>
          <w:rFonts w:hint="default" w:ascii="Times New Roman" w:hAnsi="Times New Roman" w:eastAsia="仿宋_GB2312" w:cs="Times New Roman"/>
          <w:kern w:val="32"/>
          <w:sz w:val="32"/>
          <w:szCs w:val="32"/>
          <w:highlight w:val="none"/>
          <w:lang w:val="en-US" w:eastAsia="zh-CN"/>
        </w:rPr>
        <w:t>100</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default" w:ascii="Times New Roman" w:hAnsi="Times New Roman" w:eastAsia="仿宋_GB2312" w:cs="Times New Roman"/>
          <w:kern w:val="0"/>
          <w:sz w:val="32"/>
          <w:szCs w:val="32"/>
          <w:highlight w:val="none"/>
          <w:lang w:val="en-US" w:eastAsia="zh-CN"/>
        </w:rPr>
        <w:t>100</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w:t>
      </w:r>
    </w:p>
    <w:p w14:paraId="16952F08">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全区国有资本经营预算支出</w:t>
      </w:r>
      <w:r>
        <w:rPr>
          <w:rFonts w:hint="eastAsia" w:eastAsia="仿宋_GB2312" w:cs="Times New Roman"/>
          <w:sz w:val="32"/>
          <w:szCs w:val="32"/>
          <w:highlight w:val="none"/>
          <w:lang w:val="en-US" w:eastAsia="zh-CN"/>
        </w:rPr>
        <w:t>558</w:t>
      </w:r>
      <w:r>
        <w:rPr>
          <w:rFonts w:hint="default" w:ascii="Times New Roman" w:hAnsi="Times New Roman" w:eastAsia="仿宋_GB2312" w:cs="Times New Roman"/>
          <w:sz w:val="32"/>
          <w:szCs w:val="32"/>
          <w:highlight w:val="none"/>
        </w:rPr>
        <w:t>万元，同比增加</w:t>
      </w:r>
      <w:r>
        <w:rPr>
          <w:rFonts w:hint="eastAsia" w:eastAsia="仿宋_GB2312" w:cs="Times New Roman"/>
          <w:sz w:val="32"/>
          <w:szCs w:val="32"/>
          <w:highlight w:val="none"/>
          <w:lang w:val="en-US" w:eastAsia="zh-CN"/>
        </w:rPr>
        <w:t>429</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32"/>
          <w:sz w:val="32"/>
          <w:szCs w:val="32"/>
          <w:highlight w:val="none"/>
        </w:rPr>
        <w:t>，增长</w:t>
      </w:r>
      <w:r>
        <w:rPr>
          <w:rFonts w:hint="eastAsia" w:eastAsia="仿宋_GB2312" w:cs="Times New Roman"/>
          <w:kern w:val="32"/>
          <w:sz w:val="32"/>
          <w:szCs w:val="32"/>
          <w:highlight w:val="none"/>
          <w:lang w:val="en-US" w:eastAsia="zh-CN"/>
        </w:rPr>
        <w:t>332.56</w:t>
      </w:r>
      <w:r>
        <w:rPr>
          <w:rFonts w:hint="default" w:ascii="Times New Roman" w:hAnsi="Times New Roman" w:eastAsia="仿宋_GB2312" w:cs="Times New Roman"/>
          <w:kern w:val="32"/>
          <w:sz w:val="32"/>
          <w:szCs w:val="32"/>
          <w:highlight w:val="none"/>
        </w:rPr>
        <w:t>%，</w:t>
      </w:r>
      <w:r>
        <w:rPr>
          <w:rFonts w:hint="default" w:ascii="Times New Roman" w:hAnsi="Times New Roman" w:eastAsia="仿宋_GB2312" w:cs="Times New Roman"/>
          <w:kern w:val="0"/>
          <w:sz w:val="32"/>
          <w:szCs w:val="32"/>
          <w:highlight w:val="none"/>
        </w:rPr>
        <w:t>完成预算的</w:t>
      </w:r>
      <w:r>
        <w:rPr>
          <w:rFonts w:hint="eastAsia" w:eastAsia="仿宋_GB2312" w:cs="Times New Roman"/>
          <w:kern w:val="0"/>
          <w:sz w:val="32"/>
          <w:szCs w:val="32"/>
          <w:highlight w:val="none"/>
          <w:lang w:val="en-US" w:eastAsia="zh-CN"/>
        </w:rPr>
        <w:t>100</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sz w:val="32"/>
          <w:szCs w:val="32"/>
          <w:highlight w:val="none"/>
        </w:rPr>
        <w:t>。</w:t>
      </w:r>
    </w:p>
    <w:p w14:paraId="52A8189F">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（四）社会保险基金预算执行情况</w:t>
      </w:r>
    </w:p>
    <w:p w14:paraId="6DFEB8A5">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目前，昆明市社会保险基金预算统一由市级财政编列，区级财政暂不编列社会保险基金预算。</w:t>
      </w:r>
    </w:p>
    <w:p w14:paraId="49842EDF">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（五）政府性债务情况</w:t>
      </w:r>
    </w:p>
    <w:p w14:paraId="704448AE">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000000"/>
          <w:kern w:val="32"/>
          <w:sz w:val="32"/>
          <w:szCs w:val="32"/>
        </w:rPr>
      </w:pPr>
      <w:r>
        <w:rPr>
          <w:rFonts w:hint="default" w:ascii="Times New Roman" w:hAnsi="Times New Roman" w:eastAsia="仿宋_GB2312" w:cs="Times New Roman"/>
          <w:color w:val="000000"/>
          <w:kern w:val="32"/>
          <w:sz w:val="32"/>
          <w:szCs w:val="32"/>
        </w:rPr>
        <w:t>地方政府债务余额51,238万元，其中：政府置换债券余额10,536万元，外债转贷余额2万元，政府专项债券余额40,700万元。</w:t>
      </w:r>
    </w:p>
    <w:p w14:paraId="13F25BBB">
      <w:pPr>
        <w:keepNext w:val="0"/>
        <w:keepLines w:val="0"/>
        <w:pageBreakBefore w:val="0"/>
        <w:widowControl/>
        <w:kinsoku/>
        <w:wordWrap/>
        <w:overflowPunct/>
        <w:topLinePunct w:val="0"/>
        <w:autoSpaceDE/>
        <w:autoSpaceDN/>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二、上半年财政政策执行和重点工作情况</w:t>
      </w:r>
    </w:p>
    <w:p w14:paraId="0A9B3D95">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rPr>
      </w:pPr>
      <w:r>
        <w:rPr>
          <w:rFonts w:hint="default" w:ascii="Times New Roman" w:hAnsi="Times New Roman" w:eastAsia="楷体_GB2312" w:cs="Times New Roman"/>
          <w:color w:val="000000"/>
          <w:kern w:val="32"/>
          <w:sz w:val="32"/>
          <w:szCs w:val="32"/>
          <w:lang w:eastAsia="zh-CN"/>
        </w:rPr>
        <w:t>（一）</w:t>
      </w:r>
      <w:r>
        <w:rPr>
          <w:rFonts w:hint="default" w:ascii="Times New Roman" w:hAnsi="Times New Roman" w:eastAsia="楷体_GB2312" w:cs="Times New Roman"/>
          <w:color w:val="000000"/>
          <w:kern w:val="32"/>
          <w:sz w:val="32"/>
          <w:szCs w:val="32"/>
        </w:rPr>
        <w:t>以创新激活力，强化经济发展健康平稳</w:t>
      </w:r>
    </w:p>
    <w:p w14:paraId="5E3FD8B6">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lang w:eastAsia="zh-CN"/>
        </w:rPr>
        <w:t>兜牢“三保”底线，坚持“三保”优先原则，优先安排“保工资、保运转、保民生”支出，确保“三保”责任落实，保障基本民生政策有效落实、及时足额保障工资、确保机关事业单位正常运转；</w:t>
      </w:r>
      <w:r>
        <w:rPr>
          <w:rFonts w:hint="default" w:ascii="Times New Roman" w:hAnsi="Times New Roman" w:eastAsia="仿宋_GB2312" w:cs="Times New Roman"/>
          <w:b/>
          <w:sz w:val="32"/>
          <w:szCs w:val="32"/>
          <w:lang w:eastAsia="zh-CN"/>
        </w:rPr>
        <w:t>二</w:t>
      </w:r>
      <w:r>
        <w:rPr>
          <w:rFonts w:hint="default" w:ascii="Times New Roman" w:hAnsi="Times New Roman" w:eastAsia="仿宋_GB2312" w:cs="Times New Roman"/>
          <w:b/>
          <w:sz w:val="32"/>
          <w:szCs w:val="32"/>
        </w:rPr>
        <w:t>是</w:t>
      </w:r>
      <w:r>
        <w:rPr>
          <w:rFonts w:hint="default" w:ascii="Times New Roman" w:hAnsi="Times New Roman" w:eastAsia="仿宋_GB2312" w:cs="Times New Roman"/>
          <w:sz w:val="32"/>
          <w:szCs w:val="32"/>
        </w:rPr>
        <w:t>继续推进政策落实，通过多种方式宣传减税降费政策，扩大政策知晓度和覆盖面，切实减轻企业负担；</w:t>
      </w:r>
      <w:r>
        <w:rPr>
          <w:rFonts w:hint="default" w:ascii="Times New Roman" w:hAnsi="Times New Roman" w:eastAsia="仿宋_GB2312" w:cs="Times New Roman"/>
          <w:b/>
          <w:sz w:val="32"/>
          <w:szCs w:val="32"/>
          <w:lang w:eastAsia="zh-CN"/>
        </w:rPr>
        <w:t>三</w:t>
      </w:r>
      <w:r>
        <w:rPr>
          <w:rFonts w:hint="default" w:ascii="Times New Roman" w:hAnsi="Times New Roman" w:eastAsia="仿宋_GB2312" w:cs="Times New Roman"/>
          <w:b/>
          <w:sz w:val="32"/>
          <w:szCs w:val="32"/>
        </w:rPr>
        <w:t>是</w:t>
      </w:r>
      <w:r>
        <w:rPr>
          <w:rFonts w:hint="default" w:ascii="Times New Roman" w:hAnsi="Times New Roman" w:eastAsia="仿宋_GB2312" w:cs="Times New Roman"/>
          <w:sz w:val="32"/>
          <w:szCs w:val="32"/>
        </w:rPr>
        <w:t>认真贯彻落实各项稳增长政策措施，完善企业扶持资金配套机制，</w:t>
      </w:r>
      <w:r>
        <w:rPr>
          <w:rFonts w:hint="default" w:ascii="Times New Roman" w:hAnsi="Times New Roman" w:eastAsia="仿宋_GB2312" w:cs="Times New Roman"/>
          <w:snapToGrid w:val="0"/>
          <w:sz w:val="32"/>
          <w:szCs w:val="32"/>
        </w:rPr>
        <w:t>推动全区经济健康平稳运行，筹措资金支持</w:t>
      </w:r>
      <w:r>
        <w:rPr>
          <w:rFonts w:hint="default" w:ascii="Times New Roman" w:hAnsi="Times New Roman" w:eastAsia="仿宋_GB2312" w:cs="Times New Roman"/>
          <w:sz w:val="32"/>
          <w:szCs w:val="32"/>
        </w:rPr>
        <w:t>现代服务业暨楼宇（总部）经济奖励扶持及</w:t>
      </w:r>
      <w:r>
        <w:rPr>
          <w:rFonts w:hint="default" w:ascii="Times New Roman" w:hAnsi="Times New Roman" w:eastAsia="仿宋_GB2312" w:cs="Times New Roman"/>
          <w:sz w:val="32"/>
        </w:rPr>
        <w:t>茨坝生物科技创新中心产业发展，扶持我区新兴文化业态、培育骨干文化企业、推进文化创意产业园区建设</w:t>
      </w:r>
      <w:r>
        <w:rPr>
          <w:rFonts w:hint="default" w:ascii="Times New Roman" w:hAnsi="Times New Roman" w:eastAsia="仿宋_GB2312" w:cs="Times New Roman"/>
          <w:sz w:val="32"/>
          <w:szCs w:val="32"/>
        </w:rPr>
        <w:t>；</w:t>
      </w:r>
      <w:r>
        <w:rPr>
          <w:rFonts w:hint="default" w:ascii="Times New Roman" w:hAnsi="Times New Roman" w:eastAsia="仿宋_GB2312" w:cs="Times New Roman"/>
          <w:b/>
          <w:sz w:val="32"/>
          <w:szCs w:val="32"/>
          <w:highlight w:val="none"/>
          <w:lang w:eastAsia="zh-CN"/>
        </w:rPr>
        <w:t>四</w:t>
      </w:r>
      <w:r>
        <w:rPr>
          <w:rFonts w:hint="default" w:ascii="Times New Roman" w:hAnsi="Times New Roman" w:eastAsia="仿宋_GB2312" w:cs="Times New Roman"/>
          <w:b/>
          <w:sz w:val="32"/>
          <w:szCs w:val="32"/>
          <w:highlight w:val="none"/>
        </w:rPr>
        <w:t>是</w:t>
      </w:r>
      <w:r>
        <w:rPr>
          <w:rFonts w:hint="default" w:ascii="Times New Roman" w:hAnsi="Times New Roman" w:eastAsia="仿宋_GB2312" w:cs="Times New Roman"/>
          <w:sz w:val="32"/>
          <w:szCs w:val="32"/>
          <w:highlight w:val="none"/>
        </w:rPr>
        <w:t>鼓励引导辖区金融机构全面落实中央、省、市各项金融业支持企业发展相关政策措施，建立金融服务绿色通道，提高金融服务效率，切实有效降低企业融资成本和困难。</w:t>
      </w:r>
    </w:p>
    <w:p w14:paraId="7B423BC2">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highlight w:val="none"/>
        </w:rPr>
      </w:pPr>
      <w:r>
        <w:rPr>
          <w:rFonts w:hint="default" w:ascii="Times New Roman" w:hAnsi="Times New Roman" w:eastAsia="楷体_GB2312" w:cs="Times New Roman"/>
          <w:color w:val="000000"/>
          <w:kern w:val="32"/>
          <w:sz w:val="32"/>
          <w:szCs w:val="32"/>
        </w:rPr>
        <w:t>（</w:t>
      </w:r>
      <w:r>
        <w:rPr>
          <w:rFonts w:hint="default" w:ascii="Times New Roman" w:hAnsi="Times New Roman" w:eastAsia="楷体_GB2312" w:cs="Times New Roman"/>
          <w:color w:val="000000"/>
          <w:kern w:val="32"/>
          <w:sz w:val="32"/>
          <w:szCs w:val="32"/>
          <w:lang w:eastAsia="zh-CN"/>
        </w:rPr>
        <w:t>二</w:t>
      </w:r>
      <w:r>
        <w:rPr>
          <w:rFonts w:hint="default" w:ascii="Times New Roman" w:hAnsi="Times New Roman" w:eastAsia="楷体_GB2312" w:cs="Times New Roman"/>
          <w:color w:val="000000"/>
          <w:kern w:val="32"/>
          <w:sz w:val="32"/>
          <w:szCs w:val="32"/>
        </w:rPr>
        <w:t>）以</w:t>
      </w:r>
      <w:r>
        <w:rPr>
          <w:rFonts w:hint="default" w:ascii="Times New Roman" w:hAnsi="Times New Roman" w:eastAsia="楷体_GB2312" w:cs="Times New Roman"/>
          <w:color w:val="000000"/>
          <w:kern w:val="32"/>
          <w:sz w:val="32"/>
          <w:szCs w:val="32"/>
          <w:highlight w:val="none"/>
        </w:rPr>
        <w:t>质效解民忧，强化支出结构改善民生</w:t>
      </w:r>
    </w:p>
    <w:p w14:paraId="7EDF4FBE">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一般公共预算支出</w:t>
      </w:r>
      <w:r>
        <w:rPr>
          <w:rFonts w:hint="eastAsia" w:eastAsia="仿宋_GB2312" w:cs="Times New Roman"/>
          <w:sz w:val="32"/>
          <w:szCs w:val="32"/>
          <w:highlight w:val="none"/>
          <w:lang w:val="en-US" w:eastAsia="zh-CN"/>
        </w:rPr>
        <w:t>284,027</w:t>
      </w:r>
      <w:r>
        <w:rPr>
          <w:rFonts w:hint="default" w:ascii="Times New Roman" w:hAnsi="Times New Roman" w:eastAsia="仿宋_GB2312" w:cs="Times New Roman"/>
          <w:sz w:val="32"/>
          <w:szCs w:val="32"/>
          <w:highlight w:val="none"/>
        </w:rPr>
        <w:t>万元，其中涉及民生领域支出</w:t>
      </w:r>
      <w:r>
        <w:rPr>
          <w:rFonts w:hint="eastAsia" w:eastAsia="仿宋_GB2312" w:cs="Times New Roman"/>
          <w:sz w:val="32"/>
          <w:szCs w:val="32"/>
          <w:highlight w:val="none"/>
          <w:lang w:val="en-US" w:eastAsia="zh-CN"/>
        </w:rPr>
        <w:t>197,702</w:t>
      </w:r>
      <w:r>
        <w:rPr>
          <w:rFonts w:hint="default" w:ascii="Times New Roman" w:hAnsi="Times New Roman" w:eastAsia="仿宋_GB2312" w:cs="Times New Roman"/>
          <w:sz w:val="32"/>
          <w:szCs w:val="32"/>
          <w:highlight w:val="none"/>
        </w:rPr>
        <w:t>万元，占一般公共预算支出的</w:t>
      </w:r>
      <w:r>
        <w:rPr>
          <w:rFonts w:hint="eastAsia" w:eastAsia="仿宋_GB2312" w:cs="Times New Roman"/>
          <w:sz w:val="32"/>
          <w:szCs w:val="32"/>
          <w:highlight w:val="none"/>
          <w:lang w:val="en-US" w:eastAsia="zh-CN"/>
        </w:rPr>
        <w:t>69.61</w:t>
      </w:r>
      <w:r>
        <w:rPr>
          <w:rFonts w:hint="default" w:ascii="Times New Roman" w:hAnsi="Times New Roman" w:eastAsia="仿宋_GB2312" w:cs="Times New Roman"/>
          <w:sz w:val="32"/>
          <w:szCs w:val="32"/>
          <w:highlight w:val="none"/>
        </w:rPr>
        <w:t>%。</w:t>
      </w:r>
    </w:p>
    <w:p w14:paraId="48197C39">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color w:val="000000"/>
          <w:sz w:val="32"/>
          <w:szCs w:val="32"/>
          <w:highlight w:val="none"/>
        </w:rPr>
        <w:t>一是</w:t>
      </w:r>
      <w:r>
        <w:rPr>
          <w:rFonts w:hint="default" w:ascii="Times New Roman" w:hAnsi="Times New Roman" w:eastAsia="仿宋_GB2312" w:cs="Times New Roman"/>
          <w:color w:val="000000"/>
          <w:sz w:val="32"/>
          <w:szCs w:val="32"/>
          <w:highlight w:val="none"/>
        </w:rPr>
        <w:t>坚持教育事业优先发展</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rPr>
        <w:t>支持打造教育强区。上半年教育支出</w:t>
      </w:r>
      <w:r>
        <w:rPr>
          <w:rFonts w:hint="eastAsia" w:eastAsia="仿宋_GB2312" w:cs="Times New Roman"/>
          <w:color w:val="000000"/>
          <w:sz w:val="32"/>
          <w:szCs w:val="32"/>
          <w:highlight w:val="none"/>
          <w:lang w:val="en-US" w:eastAsia="zh-CN"/>
        </w:rPr>
        <w:t>62,322</w:t>
      </w:r>
      <w:r>
        <w:rPr>
          <w:rFonts w:hint="default" w:ascii="Times New Roman" w:hAnsi="Times New Roman" w:eastAsia="仿宋_GB2312" w:cs="Times New Roman"/>
          <w:color w:val="000000"/>
          <w:sz w:val="32"/>
          <w:szCs w:val="32"/>
          <w:highlight w:val="none"/>
        </w:rPr>
        <w:t>万元，完成预算的</w:t>
      </w:r>
      <w:r>
        <w:rPr>
          <w:rFonts w:hint="eastAsia" w:eastAsia="仿宋_GB2312" w:cs="Times New Roman"/>
          <w:color w:val="000000"/>
          <w:sz w:val="32"/>
          <w:szCs w:val="32"/>
          <w:highlight w:val="none"/>
          <w:lang w:val="en-US" w:eastAsia="zh-CN"/>
        </w:rPr>
        <w:t>58.43</w:t>
      </w:r>
      <w:r>
        <w:rPr>
          <w:rFonts w:hint="default" w:ascii="Times New Roman" w:hAnsi="Times New Roman" w:eastAsia="仿宋_GB2312" w:cs="Times New Roman"/>
          <w:color w:val="000000"/>
          <w:sz w:val="32"/>
          <w:szCs w:val="32"/>
          <w:highlight w:val="none"/>
        </w:rPr>
        <w:t>%，重点</w:t>
      </w:r>
      <w:r>
        <w:rPr>
          <w:rFonts w:hint="eastAsia" w:eastAsia="仿宋_GB2312" w:cs="Times New Roman"/>
          <w:color w:val="000000"/>
          <w:sz w:val="32"/>
          <w:szCs w:val="32"/>
          <w:highlight w:val="none"/>
          <w:lang w:eastAsia="zh-CN"/>
        </w:rPr>
        <w:t>用于</w:t>
      </w:r>
      <w:r>
        <w:rPr>
          <w:rFonts w:hint="default" w:ascii="Times New Roman" w:hAnsi="Times New Roman" w:eastAsia="仿宋_GB2312" w:cs="Times New Roman"/>
          <w:color w:val="000000"/>
          <w:sz w:val="32"/>
          <w:szCs w:val="32"/>
          <w:highlight w:val="none"/>
        </w:rPr>
        <w:t>保障义务教育教师工资收入、落实义务教育经费保障机制</w:t>
      </w:r>
      <w:r>
        <w:rPr>
          <w:rFonts w:hint="eastAsia"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校园安全保卫力量建设、校安工程及校园修缮、农村义务教育学生营养改善计划、职业教育发展等工作</w:t>
      </w:r>
      <w:r>
        <w:rPr>
          <w:rFonts w:hint="default" w:ascii="Times New Roman" w:hAnsi="Times New Roman" w:eastAsia="仿宋_GB2312" w:cs="Times New Roman"/>
          <w:sz w:val="32"/>
          <w:szCs w:val="32"/>
          <w:highlight w:val="none"/>
        </w:rPr>
        <w:t>，为全区教育事业发展提供有效保障，推动全区教育高质量发展。</w:t>
      </w:r>
    </w:p>
    <w:p w14:paraId="5F7B4671">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b/>
          <w:color w:val="000000"/>
          <w:sz w:val="32"/>
          <w:szCs w:val="32"/>
          <w:highlight w:val="none"/>
        </w:rPr>
        <w:t>二是</w:t>
      </w:r>
      <w:r>
        <w:rPr>
          <w:rFonts w:hint="default" w:ascii="Times New Roman" w:hAnsi="Times New Roman" w:eastAsia="仿宋_GB2312" w:cs="Times New Roman"/>
          <w:bCs/>
          <w:color w:val="000000"/>
          <w:sz w:val="32"/>
          <w:szCs w:val="32"/>
          <w:highlight w:val="none"/>
        </w:rPr>
        <w:t>健全医疗卫生服务体系，提高居民健康水平。上半年卫生健康支出</w:t>
      </w:r>
      <w:r>
        <w:rPr>
          <w:rFonts w:hint="eastAsia" w:eastAsia="仿宋_GB2312" w:cs="Times New Roman"/>
          <w:bCs/>
          <w:color w:val="000000"/>
          <w:sz w:val="32"/>
          <w:szCs w:val="32"/>
          <w:highlight w:val="none"/>
          <w:lang w:val="en-US" w:eastAsia="zh-CN"/>
        </w:rPr>
        <w:t>25,257</w:t>
      </w:r>
      <w:r>
        <w:rPr>
          <w:rFonts w:hint="default" w:ascii="Times New Roman" w:hAnsi="Times New Roman" w:eastAsia="仿宋_GB2312" w:cs="Times New Roman"/>
          <w:bCs/>
          <w:color w:val="000000"/>
          <w:sz w:val="32"/>
          <w:szCs w:val="32"/>
          <w:highlight w:val="none"/>
        </w:rPr>
        <w:t>万元，完成预算的</w:t>
      </w:r>
      <w:r>
        <w:rPr>
          <w:rFonts w:hint="eastAsia" w:eastAsia="仿宋_GB2312" w:cs="Times New Roman"/>
          <w:bCs/>
          <w:color w:val="000000"/>
          <w:sz w:val="32"/>
          <w:szCs w:val="32"/>
          <w:highlight w:val="none"/>
          <w:lang w:val="en-US" w:eastAsia="zh-CN"/>
        </w:rPr>
        <w:t>58.28</w:t>
      </w:r>
      <w:r>
        <w:rPr>
          <w:rFonts w:hint="default" w:ascii="Times New Roman" w:hAnsi="Times New Roman" w:eastAsia="仿宋_GB2312" w:cs="Times New Roman"/>
          <w:bCs/>
          <w:color w:val="000000"/>
          <w:sz w:val="32"/>
          <w:szCs w:val="32"/>
          <w:highlight w:val="none"/>
        </w:rPr>
        <w:t>%，重点用于</w:t>
      </w:r>
      <w:r>
        <w:rPr>
          <w:rFonts w:hint="default" w:ascii="Times New Roman" w:hAnsi="Times New Roman" w:eastAsia="仿宋_GB2312" w:cs="Times New Roman"/>
          <w:bCs/>
          <w:sz w:val="32"/>
          <w:szCs w:val="32"/>
          <w:highlight w:val="none"/>
        </w:rPr>
        <w:t>统筹安排疫苗接种相关经费，实施居民免费接种政策</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sz w:val="32"/>
          <w:szCs w:val="32"/>
          <w:highlight w:val="none"/>
        </w:rPr>
        <w:t>基本</w:t>
      </w:r>
      <w:r>
        <w:rPr>
          <w:rFonts w:hint="default" w:ascii="Times New Roman" w:hAnsi="Times New Roman" w:eastAsia="仿宋_GB2312" w:cs="Times New Roman"/>
          <w:bCs/>
          <w:color w:val="000000"/>
          <w:sz w:val="32"/>
          <w:szCs w:val="32"/>
          <w:highlight w:val="none"/>
        </w:rPr>
        <w:t>公共卫生服务建设、</w:t>
      </w:r>
      <w:r>
        <w:rPr>
          <w:rFonts w:hint="default" w:ascii="Times New Roman" w:hAnsi="Times New Roman" w:eastAsia="仿宋_GB2312" w:cs="Times New Roman"/>
          <w:sz w:val="32"/>
          <w:szCs w:val="32"/>
          <w:highlight w:val="none"/>
        </w:rPr>
        <w:t>爱国卫生“7个专项行动”</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Cs/>
          <w:color w:val="000000"/>
          <w:sz w:val="32"/>
          <w:szCs w:val="32"/>
          <w:highlight w:val="none"/>
        </w:rPr>
        <w:t>公立医院及基层医疗改革、城乡医疗救助及乡村医生队伍建设等工作</w:t>
      </w:r>
      <w:r>
        <w:rPr>
          <w:rFonts w:hint="default"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sz w:val="32"/>
          <w:szCs w:val="32"/>
          <w:highlight w:val="none"/>
        </w:rPr>
        <w:t>大力支持重大疫情防控救治体系和应急物资保障体系建设，提升重大突发公共卫生应急处置和救治能力。</w:t>
      </w:r>
    </w:p>
    <w:p w14:paraId="6BAFB8B6">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color w:val="000000"/>
          <w:sz w:val="32"/>
          <w:szCs w:val="32"/>
          <w:highlight w:val="none"/>
        </w:rPr>
        <w:t>三是</w:t>
      </w:r>
      <w:r>
        <w:rPr>
          <w:rFonts w:hint="default" w:ascii="Times New Roman" w:hAnsi="Times New Roman" w:eastAsia="仿宋_GB2312" w:cs="Times New Roman"/>
          <w:color w:val="000000"/>
          <w:sz w:val="32"/>
          <w:szCs w:val="32"/>
          <w:highlight w:val="none"/>
        </w:rPr>
        <w:t>加强社会保障和就业工作，强化民生保障能力。</w:t>
      </w:r>
      <w:r>
        <w:rPr>
          <w:rFonts w:hint="default" w:ascii="Times New Roman" w:hAnsi="Times New Roman" w:eastAsia="仿宋_GB2312" w:cs="Times New Roman"/>
          <w:sz w:val="32"/>
          <w:szCs w:val="32"/>
          <w:highlight w:val="none"/>
        </w:rPr>
        <w:t>严格落实直达资金机制，压缩中间环节滞留时间，通过重构流程、压缩时间、高效管控，实现直达资金“快、准、严”的预期目标。</w:t>
      </w:r>
      <w:r>
        <w:rPr>
          <w:rFonts w:hint="default" w:ascii="Times New Roman" w:hAnsi="Times New Roman" w:eastAsia="仿宋_GB2312" w:cs="Times New Roman"/>
          <w:color w:val="000000"/>
          <w:sz w:val="32"/>
          <w:szCs w:val="32"/>
          <w:highlight w:val="none"/>
        </w:rPr>
        <w:t>上半年社会保障和就业支出</w:t>
      </w:r>
      <w:r>
        <w:rPr>
          <w:rFonts w:hint="eastAsia" w:eastAsia="仿宋_GB2312" w:cs="Times New Roman"/>
          <w:color w:val="000000"/>
          <w:sz w:val="32"/>
          <w:szCs w:val="32"/>
          <w:highlight w:val="none"/>
          <w:lang w:val="en-US" w:eastAsia="zh-CN"/>
        </w:rPr>
        <w:t>51,179</w:t>
      </w:r>
      <w:r>
        <w:rPr>
          <w:rFonts w:hint="default" w:ascii="Times New Roman" w:hAnsi="Times New Roman" w:eastAsia="仿宋_GB2312" w:cs="Times New Roman"/>
          <w:color w:val="000000"/>
          <w:sz w:val="32"/>
          <w:szCs w:val="32"/>
          <w:highlight w:val="none"/>
        </w:rPr>
        <w:t>万元，完成预算的</w:t>
      </w:r>
      <w:r>
        <w:rPr>
          <w:rFonts w:hint="eastAsia" w:eastAsia="仿宋_GB2312" w:cs="Times New Roman"/>
          <w:color w:val="000000"/>
          <w:sz w:val="32"/>
          <w:szCs w:val="32"/>
          <w:highlight w:val="none"/>
          <w:lang w:val="en-US" w:eastAsia="zh-CN"/>
        </w:rPr>
        <w:t>89.80</w:t>
      </w:r>
      <w:r>
        <w:rPr>
          <w:rFonts w:hint="default" w:ascii="Times New Roman" w:hAnsi="Times New Roman" w:eastAsia="仿宋_GB2312" w:cs="Times New Roman"/>
          <w:color w:val="000000"/>
          <w:sz w:val="32"/>
          <w:szCs w:val="32"/>
          <w:highlight w:val="none"/>
        </w:rPr>
        <w:t>%，重点用于安排最低生活保障、发展残疾人事业、城乡居民基本养老保险及生活救助等工作。</w:t>
      </w:r>
    </w:p>
    <w:p w14:paraId="61A90638">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color w:val="000000"/>
          <w:sz w:val="32"/>
          <w:szCs w:val="32"/>
          <w:highlight w:val="none"/>
        </w:rPr>
        <w:t>四是</w:t>
      </w:r>
      <w:r>
        <w:rPr>
          <w:rFonts w:hint="default" w:ascii="Times New Roman" w:hAnsi="Times New Roman" w:eastAsia="仿宋_GB2312" w:cs="Times New Roman"/>
          <w:color w:val="000000"/>
          <w:sz w:val="32"/>
          <w:szCs w:val="32"/>
          <w:highlight w:val="none"/>
        </w:rPr>
        <w:t>支持基层文化建设，构建公共文化</w:t>
      </w:r>
      <w:r>
        <w:rPr>
          <w:rFonts w:hint="eastAsia" w:eastAsia="仿宋_GB2312" w:cs="Times New Roman"/>
          <w:color w:val="000000"/>
          <w:sz w:val="32"/>
          <w:szCs w:val="32"/>
          <w:highlight w:val="none"/>
          <w:lang w:eastAsia="zh-CN"/>
        </w:rPr>
        <w:t>服务</w:t>
      </w:r>
      <w:r>
        <w:rPr>
          <w:rFonts w:hint="default" w:ascii="Times New Roman" w:hAnsi="Times New Roman" w:eastAsia="仿宋_GB2312" w:cs="Times New Roman"/>
          <w:color w:val="000000"/>
          <w:sz w:val="32"/>
          <w:szCs w:val="32"/>
          <w:highlight w:val="none"/>
        </w:rPr>
        <w:t>体系。上半年文化旅游体育与传媒支出</w:t>
      </w:r>
      <w:r>
        <w:rPr>
          <w:rFonts w:hint="eastAsia" w:eastAsia="仿宋_GB2312" w:cs="Times New Roman"/>
          <w:color w:val="000000"/>
          <w:sz w:val="32"/>
          <w:szCs w:val="32"/>
          <w:highlight w:val="none"/>
          <w:lang w:val="en-US" w:eastAsia="zh-CN"/>
        </w:rPr>
        <w:t>2,648</w:t>
      </w:r>
      <w:r>
        <w:rPr>
          <w:rFonts w:hint="default" w:ascii="Times New Roman" w:hAnsi="Times New Roman" w:eastAsia="仿宋_GB2312" w:cs="Times New Roman"/>
          <w:color w:val="000000"/>
          <w:sz w:val="32"/>
          <w:szCs w:val="32"/>
          <w:highlight w:val="none"/>
        </w:rPr>
        <w:t>万元，重点支持基层公共文化服务建设，围绕中国共产党成立100周年暨第41届盘龙江文化艺术节系列活动，</w:t>
      </w:r>
      <w:r>
        <w:rPr>
          <w:rFonts w:hint="eastAsia" w:eastAsia="仿宋_GB2312" w:cs="Times New Roman"/>
          <w:color w:val="000000"/>
          <w:sz w:val="32"/>
          <w:szCs w:val="32"/>
          <w:highlight w:val="none"/>
          <w:lang w:eastAsia="zh-CN"/>
        </w:rPr>
        <w:t>开</w:t>
      </w:r>
      <w:r>
        <w:rPr>
          <w:rFonts w:hint="default" w:ascii="Times New Roman" w:hAnsi="Times New Roman" w:eastAsia="仿宋_GB2312" w:cs="Times New Roman"/>
          <w:color w:val="000000"/>
          <w:sz w:val="32"/>
          <w:szCs w:val="32"/>
          <w:highlight w:val="none"/>
        </w:rPr>
        <w:t>展惠民演出，丰富群众文化生活。</w:t>
      </w:r>
    </w:p>
    <w:p w14:paraId="3CB0B8AF">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color w:val="000000"/>
          <w:sz w:val="32"/>
          <w:szCs w:val="32"/>
          <w:highlight w:val="none"/>
        </w:rPr>
        <w:t>五是</w:t>
      </w:r>
      <w:r>
        <w:rPr>
          <w:rFonts w:hint="default" w:ascii="Times New Roman" w:hAnsi="Times New Roman" w:eastAsia="仿宋_GB2312" w:cs="Times New Roman"/>
          <w:color w:val="000000"/>
          <w:sz w:val="32"/>
          <w:szCs w:val="32"/>
          <w:highlight w:val="none"/>
        </w:rPr>
        <w:t>支持推进城市管理工作，提高城市管理水平，优化城市发展环境。上半年城乡社区支出</w:t>
      </w:r>
      <w:r>
        <w:rPr>
          <w:rFonts w:hint="eastAsia" w:eastAsia="仿宋_GB2312" w:cs="Times New Roman"/>
          <w:color w:val="000000"/>
          <w:sz w:val="32"/>
          <w:szCs w:val="32"/>
          <w:highlight w:val="none"/>
          <w:lang w:val="en-US" w:eastAsia="zh-CN"/>
        </w:rPr>
        <w:t>35,254</w:t>
      </w:r>
      <w:r>
        <w:rPr>
          <w:rFonts w:hint="default" w:ascii="Times New Roman" w:hAnsi="Times New Roman" w:eastAsia="仿宋_GB2312" w:cs="Times New Roman"/>
          <w:color w:val="000000"/>
          <w:sz w:val="32"/>
          <w:szCs w:val="32"/>
          <w:highlight w:val="none"/>
        </w:rPr>
        <w:t>万元，完成预算的</w:t>
      </w:r>
      <w:r>
        <w:rPr>
          <w:rFonts w:hint="eastAsia" w:eastAsia="仿宋_GB2312" w:cs="Times New Roman"/>
          <w:color w:val="000000"/>
          <w:sz w:val="32"/>
          <w:szCs w:val="32"/>
          <w:highlight w:val="none"/>
          <w:lang w:val="en-US" w:eastAsia="zh-CN"/>
        </w:rPr>
        <w:t>79.42</w:t>
      </w:r>
      <w:r>
        <w:rPr>
          <w:rFonts w:hint="default" w:ascii="Times New Roman" w:hAnsi="Times New Roman" w:eastAsia="仿宋_GB2312" w:cs="Times New Roman"/>
          <w:color w:val="000000"/>
          <w:sz w:val="32"/>
          <w:szCs w:val="32"/>
          <w:highlight w:val="none"/>
        </w:rPr>
        <w:t>%，重点用于</w:t>
      </w:r>
      <w:r>
        <w:rPr>
          <w:rFonts w:hint="default" w:ascii="Times New Roman" w:hAnsi="Times New Roman" w:eastAsia="仿宋_GB2312" w:cs="Times New Roman"/>
          <w:kern w:val="32"/>
          <w:sz w:val="32"/>
          <w:szCs w:val="32"/>
          <w:highlight w:val="none"/>
        </w:rPr>
        <w:t>绿化景观提升及管养、</w:t>
      </w:r>
      <w:r>
        <w:rPr>
          <w:rFonts w:hint="default" w:ascii="Times New Roman" w:hAnsi="Times New Roman" w:eastAsia="仿宋_GB2312" w:cs="Times New Roman"/>
          <w:bCs/>
          <w:sz w:val="32"/>
          <w:szCs w:val="32"/>
          <w:highlight w:val="none"/>
        </w:rPr>
        <w:t>深入推进</w:t>
      </w:r>
      <w:r>
        <w:rPr>
          <w:rFonts w:hint="default" w:ascii="Times New Roman" w:hAnsi="Times New Roman" w:eastAsia="仿宋_GB2312" w:cs="Times New Roman"/>
          <w:color w:val="000000"/>
          <w:sz w:val="32"/>
          <w:szCs w:val="32"/>
          <w:highlight w:val="none"/>
        </w:rPr>
        <w:t>环卫一体化工作，持续提高清扫保洁质量及机械化作业水平、智慧城管队伍建设、“厕所革命”建设等。</w:t>
      </w:r>
    </w:p>
    <w:p w14:paraId="33715727">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六是</w:t>
      </w:r>
      <w:r>
        <w:rPr>
          <w:rFonts w:hint="default" w:ascii="Times New Roman" w:hAnsi="Times New Roman" w:eastAsia="仿宋_GB2312" w:cs="Times New Roman"/>
          <w:bCs/>
          <w:color w:val="000000"/>
          <w:sz w:val="32"/>
          <w:szCs w:val="32"/>
          <w:highlight w:val="none"/>
        </w:rPr>
        <w:t>不断加大污染防治和环境保护投入力度，全力保障水污染、大气污染防治，上半年节能环保支出</w:t>
      </w:r>
      <w:r>
        <w:rPr>
          <w:rFonts w:hint="eastAsia" w:eastAsia="仿宋_GB2312" w:cs="Times New Roman"/>
          <w:bCs/>
          <w:color w:val="000000"/>
          <w:sz w:val="32"/>
          <w:szCs w:val="32"/>
          <w:highlight w:val="none"/>
          <w:lang w:val="en-US" w:eastAsia="zh-CN"/>
        </w:rPr>
        <w:t>1</w:t>
      </w:r>
      <w:r>
        <w:rPr>
          <w:rFonts w:hint="eastAsia" w:eastAsia="仿宋_GB2312" w:cs="Times New Roman"/>
          <w:color w:val="000000"/>
          <w:sz w:val="32"/>
          <w:szCs w:val="32"/>
          <w:highlight w:val="none"/>
          <w:lang w:val="en-US" w:eastAsia="zh-CN"/>
        </w:rPr>
        <w:t>,</w:t>
      </w:r>
      <w:r>
        <w:rPr>
          <w:rFonts w:hint="eastAsia" w:eastAsia="仿宋_GB2312" w:cs="Times New Roman"/>
          <w:bCs/>
          <w:color w:val="000000"/>
          <w:sz w:val="32"/>
          <w:szCs w:val="32"/>
          <w:highlight w:val="none"/>
          <w:lang w:val="en-US" w:eastAsia="zh-CN"/>
        </w:rPr>
        <w:t>107</w:t>
      </w:r>
      <w:r>
        <w:rPr>
          <w:rFonts w:hint="default" w:ascii="Times New Roman" w:hAnsi="Times New Roman" w:eastAsia="仿宋_GB2312" w:cs="Times New Roman"/>
          <w:bCs/>
          <w:color w:val="000000"/>
          <w:sz w:val="32"/>
          <w:szCs w:val="32"/>
          <w:highlight w:val="none"/>
        </w:rPr>
        <w:t>万元，提升市民生活宜居感。紧紧围绕“两不愁三保障”工作重点，严格落实“三农”工作要求，积极争取上级资金、增加财政投入</w:t>
      </w:r>
      <w:r>
        <w:rPr>
          <w:rFonts w:hint="eastAsia"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全力支持</w:t>
      </w:r>
      <w:r>
        <w:rPr>
          <w:rFonts w:hint="eastAsia" w:eastAsia="仿宋_GB2312" w:cs="Times New Roman"/>
          <w:bCs/>
          <w:color w:val="000000"/>
          <w:sz w:val="32"/>
          <w:szCs w:val="32"/>
          <w:highlight w:val="none"/>
          <w:lang w:eastAsia="zh-CN"/>
        </w:rPr>
        <w:t>巩固拓展脱贫攻坚成果同乡村振兴有效衔接</w:t>
      </w:r>
      <w:r>
        <w:rPr>
          <w:rFonts w:hint="default" w:ascii="Times New Roman" w:hAnsi="Times New Roman" w:eastAsia="仿宋_GB2312" w:cs="Times New Roman"/>
          <w:bCs/>
          <w:color w:val="000000"/>
          <w:sz w:val="32"/>
          <w:szCs w:val="32"/>
          <w:highlight w:val="none"/>
        </w:rPr>
        <w:t>，上半年农林水支出</w:t>
      </w:r>
      <w:r>
        <w:rPr>
          <w:rFonts w:hint="eastAsia" w:eastAsia="仿宋_GB2312" w:cs="Times New Roman"/>
          <w:bCs/>
          <w:color w:val="000000"/>
          <w:sz w:val="32"/>
          <w:szCs w:val="32"/>
          <w:highlight w:val="none"/>
          <w:lang w:val="en-US" w:eastAsia="zh-CN"/>
        </w:rPr>
        <w:t>9</w:t>
      </w:r>
      <w:r>
        <w:rPr>
          <w:rFonts w:hint="eastAsia" w:eastAsia="仿宋_GB2312" w:cs="Times New Roman"/>
          <w:color w:val="000000"/>
          <w:sz w:val="32"/>
          <w:szCs w:val="32"/>
          <w:highlight w:val="none"/>
          <w:lang w:val="en-US" w:eastAsia="zh-CN"/>
        </w:rPr>
        <w:t>,</w:t>
      </w:r>
      <w:r>
        <w:rPr>
          <w:rFonts w:hint="eastAsia" w:eastAsia="仿宋_GB2312" w:cs="Times New Roman"/>
          <w:bCs/>
          <w:color w:val="000000"/>
          <w:sz w:val="32"/>
          <w:szCs w:val="32"/>
          <w:highlight w:val="none"/>
          <w:lang w:val="en-US" w:eastAsia="zh-CN"/>
        </w:rPr>
        <w:t>688</w:t>
      </w:r>
      <w:r>
        <w:rPr>
          <w:rFonts w:hint="default" w:ascii="Times New Roman" w:hAnsi="Times New Roman" w:eastAsia="仿宋_GB2312" w:cs="Times New Roman"/>
          <w:bCs/>
          <w:color w:val="000000"/>
          <w:sz w:val="32"/>
          <w:szCs w:val="32"/>
          <w:highlight w:val="none"/>
        </w:rPr>
        <w:t>万元，让广大农民过上更加美好的的生活。</w:t>
      </w:r>
    </w:p>
    <w:p w14:paraId="4AA64BCE">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highlight w:val="none"/>
        </w:rPr>
      </w:pPr>
      <w:r>
        <w:rPr>
          <w:rFonts w:hint="default" w:ascii="Times New Roman" w:hAnsi="Times New Roman" w:eastAsia="楷体_GB2312" w:cs="Times New Roman"/>
          <w:color w:val="000000"/>
          <w:kern w:val="32"/>
          <w:sz w:val="32"/>
          <w:szCs w:val="32"/>
          <w:highlight w:val="none"/>
        </w:rPr>
        <w:t>（</w:t>
      </w:r>
      <w:r>
        <w:rPr>
          <w:rFonts w:hint="default" w:ascii="Times New Roman" w:hAnsi="Times New Roman" w:eastAsia="楷体_GB2312" w:cs="Times New Roman"/>
          <w:color w:val="000000"/>
          <w:kern w:val="32"/>
          <w:sz w:val="32"/>
          <w:szCs w:val="32"/>
          <w:highlight w:val="none"/>
          <w:lang w:eastAsia="zh-CN"/>
        </w:rPr>
        <w:t>三</w:t>
      </w:r>
      <w:r>
        <w:rPr>
          <w:rFonts w:hint="default" w:ascii="Times New Roman" w:hAnsi="Times New Roman" w:eastAsia="楷体_GB2312" w:cs="Times New Roman"/>
          <w:color w:val="000000"/>
          <w:kern w:val="32"/>
          <w:sz w:val="32"/>
          <w:szCs w:val="32"/>
          <w:highlight w:val="none"/>
        </w:rPr>
        <w:t>）以管理</w:t>
      </w:r>
      <w:r>
        <w:rPr>
          <w:rFonts w:hint="default" w:ascii="Times New Roman" w:hAnsi="Times New Roman" w:eastAsia="楷体_GB2312" w:cs="Times New Roman"/>
          <w:sz w:val="32"/>
          <w:szCs w:val="32"/>
          <w:highlight w:val="none"/>
        </w:rPr>
        <w:t>抓落实，强化财政收支预算管理</w:t>
      </w:r>
    </w:p>
    <w:p w14:paraId="53C2108D">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sz w:val="32"/>
          <w:szCs w:val="32"/>
          <w:highlight w:val="none"/>
        </w:rPr>
        <w:t>一是</w:t>
      </w:r>
      <w:r>
        <w:rPr>
          <w:rFonts w:hint="default" w:ascii="Times New Roman" w:hAnsi="Times New Roman" w:eastAsia="仿宋_GB2312" w:cs="Times New Roman"/>
          <w:sz w:val="32"/>
          <w:szCs w:val="32"/>
          <w:highlight w:val="none"/>
        </w:rPr>
        <w:t>有序推进预算绩效管理。预算绩效目标审核覆盖率达100%，完成2020年部门预算绩效自评工作，开展2021年部门预算绩效跟踪及重点绩效评价、跟踪工作，预算绩效管理稳步推进；</w:t>
      </w:r>
      <w:r>
        <w:rPr>
          <w:rFonts w:hint="default" w:ascii="Times New Roman" w:hAnsi="Times New Roman" w:eastAsia="仿宋_GB2312" w:cs="Times New Roman"/>
          <w:b/>
          <w:sz w:val="32"/>
          <w:szCs w:val="32"/>
          <w:highlight w:val="none"/>
        </w:rPr>
        <w:t>二是</w:t>
      </w:r>
      <w:r>
        <w:rPr>
          <w:rFonts w:hint="default" w:ascii="Times New Roman" w:hAnsi="Times New Roman" w:eastAsia="仿宋_GB2312" w:cs="Times New Roman"/>
          <w:sz w:val="32"/>
          <w:szCs w:val="32"/>
          <w:highlight w:val="none"/>
        </w:rPr>
        <w:t>巩固财政存量资金清理长效机制，规范财政往来款管理，加大对财政结余结转资金的统筹使用力度，增强财政统筹调配能力。</w:t>
      </w:r>
      <w:r>
        <w:rPr>
          <w:rFonts w:hint="default" w:ascii="Times New Roman" w:hAnsi="Times New Roman" w:eastAsia="仿宋_GB2312" w:cs="Times New Roman"/>
          <w:color w:val="000000"/>
          <w:kern w:val="32"/>
          <w:sz w:val="32"/>
          <w:szCs w:val="32"/>
          <w:highlight w:val="none"/>
        </w:rPr>
        <w:t>1-</w:t>
      </w:r>
      <w:r>
        <w:rPr>
          <w:rFonts w:hint="default" w:ascii="Times New Roman" w:hAnsi="Times New Roman" w:eastAsia="仿宋_GB2312" w:cs="Times New Roman"/>
          <w:color w:val="000000"/>
          <w:kern w:val="32"/>
          <w:sz w:val="32"/>
          <w:szCs w:val="32"/>
          <w:highlight w:val="none"/>
          <w:lang w:val="en-US" w:eastAsia="zh-CN"/>
        </w:rPr>
        <w:t>6</w:t>
      </w:r>
      <w:r>
        <w:rPr>
          <w:rFonts w:hint="default" w:ascii="Times New Roman" w:hAnsi="Times New Roman" w:eastAsia="仿宋_GB2312" w:cs="Times New Roman"/>
          <w:color w:val="000000"/>
          <w:kern w:val="32"/>
          <w:sz w:val="32"/>
          <w:szCs w:val="32"/>
          <w:highlight w:val="none"/>
        </w:rPr>
        <w:t>月统筹盘活使用存量资金</w:t>
      </w:r>
      <w:r>
        <w:rPr>
          <w:rFonts w:hint="eastAsia" w:eastAsia="仿宋_GB2312" w:cs="Times New Roman"/>
          <w:color w:val="000000"/>
          <w:kern w:val="32"/>
          <w:sz w:val="32"/>
          <w:szCs w:val="32"/>
          <w:highlight w:val="none"/>
          <w:lang w:val="en-US" w:eastAsia="zh-CN"/>
        </w:rPr>
        <w:t>20,567</w:t>
      </w:r>
      <w:r>
        <w:rPr>
          <w:rFonts w:hint="default" w:ascii="Times New Roman" w:hAnsi="Times New Roman" w:eastAsia="仿宋_GB2312" w:cs="Times New Roman"/>
          <w:color w:val="000000"/>
          <w:kern w:val="32"/>
          <w:sz w:val="32"/>
          <w:szCs w:val="32"/>
          <w:highlight w:val="none"/>
        </w:rPr>
        <w:t>万元，使用财政结余结转资金</w:t>
      </w:r>
      <w:r>
        <w:rPr>
          <w:rFonts w:hint="eastAsia" w:eastAsia="仿宋_GB2312" w:cs="Times New Roman"/>
          <w:color w:val="000000"/>
          <w:kern w:val="32"/>
          <w:sz w:val="32"/>
          <w:szCs w:val="32"/>
          <w:highlight w:val="none"/>
          <w:lang w:val="en-US" w:eastAsia="zh-CN"/>
        </w:rPr>
        <w:t>18,893</w:t>
      </w:r>
      <w:r>
        <w:rPr>
          <w:rFonts w:hint="default" w:ascii="Times New Roman" w:hAnsi="Times New Roman" w:eastAsia="仿宋_GB2312" w:cs="Times New Roman"/>
          <w:color w:val="000000"/>
          <w:kern w:val="32"/>
          <w:sz w:val="32"/>
          <w:szCs w:val="32"/>
          <w:highlight w:val="none"/>
        </w:rPr>
        <w:t>万元，主要用于支付突发公共卫生事件应急能力提升项目、主城区重要节点及道路景观亮化建设、住建局北部山水新城供水工程等重点项目支出，提高财政资金使用效益和效率；</w:t>
      </w:r>
      <w:r>
        <w:rPr>
          <w:rFonts w:hint="default" w:ascii="Times New Roman" w:hAnsi="Times New Roman" w:eastAsia="仿宋_GB2312" w:cs="Times New Roman"/>
          <w:b/>
          <w:sz w:val="32"/>
          <w:szCs w:val="32"/>
          <w:highlight w:val="none"/>
        </w:rPr>
        <w:t>三是</w:t>
      </w:r>
      <w:r>
        <w:rPr>
          <w:rFonts w:hint="default" w:ascii="Times New Roman" w:hAnsi="Times New Roman" w:eastAsia="仿宋_GB2312" w:cs="Times New Roman"/>
          <w:bCs/>
          <w:sz w:val="32"/>
          <w:szCs w:val="32"/>
          <w:highlight w:val="none"/>
        </w:rPr>
        <w:t>加强和规范预算单位银行账户管理，开展2021年区级预算单位银行账户年检工作。将年检工作与账户清理相结合，注重预算单位在预算年度内账户开立、备案、撤销等手续的合规性和完整性，发现问题立即督促预算单位进行整改</w:t>
      </w:r>
      <w:r>
        <w:rPr>
          <w:rFonts w:hint="default" w:ascii="Times New Roman" w:hAnsi="Times New Roman" w:eastAsia="仿宋_GB2312" w:cs="Times New Roman"/>
          <w:sz w:val="32"/>
          <w:szCs w:val="32"/>
          <w:highlight w:val="none"/>
        </w:rPr>
        <w:t>。</w:t>
      </w:r>
    </w:p>
    <w:p w14:paraId="387C768E">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黑体" w:cs="Times New Roman"/>
          <w:sz w:val="32"/>
          <w:szCs w:val="32"/>
          <w:highlight w:val="none"/>
        </w:rPr>
        <w:t>三、上半年财政运行存在的困难及问题</w:t>
      </w:r>
    </w:p>
    <w:p w14:paraId="45A0948B">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kern w:val="32"/>
          <w:sz w:val="32"/>
          <w:szCs w:val="32"/>
          <w:highlight w:val="none"/>
        </w:rPr>
      </w:pPr>
      <w:r>
        <w:rPr>
          <w:rFonts w:hint="default" w:ascii="Times New Roman" w:hAnsi="Times New Roman" w:eastAsia="仿宋_GB2312" w:cs="Times New Roman"/>
          <w:kern w:val="32"/>
          <w:sz w:val="32"/>
          <w:szCs w:val="32"/>
          <w:highlight w:val="none"/>
        </w:rPr>
        <w:t>上半年面对严峻的财政收支形势，全体财政干部拧成一股绳，在区委的坚强领导下，在区人大及其常委会的监督指导下，取得了一定的成绩，积累了一定的经验。面对新的发展形势和任务，我区的财政收支工作仍面临着许多问题和困难，要确保完成全年收支目标任务任重而道远。</w:t>
      </w:r>
    </w:p>
    <w:p w14:paraId="0EF5F0E3">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仿宋" w:cs="Times New Roman"/>
          <w:b/>
          <w:bCs/>
          <w:sz w:val="32"/>
          <w:szCs w:val="32"/>
          <w:highlight w:val="none"/>
        </w:rPr>
        <w:t>一是</w:t>
      </w:r>
      <w:r>
        <w:rPr>
          <w:rFonts w:hint="default" w:ascii="Times New Roman" w:hAnsi="Times New Roman" w:eastAsia="仿宋_GB2312" w:cs="Times New Roman"/>
          <w:bCs/>
          <w:sz w:val="32"/>
          <w:szCs w:val="32"/>
          <w:highlight w:val="none"/>
          <w:lang w:eastAsia="zh-CN"/>
        </w:rPr>
        <w:t>上半</w:t>
      </w:r>
      <w:r>
        <w:rPr>
          <w:rFonts w:hint="default" w:ascii="Times New Roman" w:hAnsi="Times New Roman" w:eastAsia="仿宋_GB2312" w:cs="Times New Roman"/>
          <w:bCs/>
          <w:sz w:val="32"/>
          <w:szCs w:val="32"/>
          <w:highlight w:val="none"/>
        </w:rPr>
        <w:t>年一般公共预算收入与去年同期相比呈增长态势，但增长原因之一是去年同期受疫情影响基数较低</w:t>
      </w:r>
      <w:r>
        <w:rPr>
          <w:rFonts w:hint="default" w:ascii="Times New Roman" w:hAnsi="Times New Roman" w:eastAsia="仿宋" w:cs="Times New Roman"/>
          <w:sz w:val="32"/>
          <w:szCs w:val="32"/>
          <w:highlight w:val="none"/>
        </w:rPr>
        <w:t>；</w:t>
      </w:r>
      <w:r>
        <w:rPr>
          <w:rFonts w:hint="default" w:ascii="Times New Roman" w:hAnsi="Times New Roman" w:eastAsia="仿宋" w:cs="Times New Roman"/>
          <w:b/>
          <w:bCs/>
          <w:sz w:val="32"/>
          <w:szCs w:val="32"/>
          <w:highlight w:val="none"/>
        </w:rPr>
        <w:t>二是</w:t>
      </w:r>
      <w:r>
        <w:rPr>
          <w:rFonts w:hint="default" w:ascii="Times New Roman" w:hAnsi="Times New Roman" w:eastAsia="仿宋_GB2312" w:cs="Times New Roman"/>
          <w:bCs/>
          <w:sz w:val="32"/>
          <w:szCs w:val="32"/>
          <w:highlight w:val="none"/>
          <w:lang w:eastAsia="zh-CN"/>
        </w:rPr>
        <w:t>经济高质量发展支撑不强，产业类项目支撑不足，财源建设有待进一步加强，适应经济新常态、做好积极财政政策落实的谋划还不够；</w:t>
      </w:r>
      <w:r>
        <w:rPr>
          <w:rFonts w:hint="default" w:ascii="Times New Roman" w:hAnsi="Times New Roman" w:eastAsia="仿宋" w:cs="Times New Roman"/>
          <w:b/>
          <w:bCs/>
          <w:sz w:val="32"/>
          <w:szCs w:val="32"/>
          <w:highlight w:val="none"/>
        </w:rPr>
        <w:t>三是</w:t>
      </w:r>
      <w:r>
        <w:rPr>
          <w:rFonts w:hint="default" w:ascii="Times New Roman" w:hAnsi="Times New Roman" w:eastAsia="仿宋_GB2312" w:cs="Times New Roman"/>
          <w:color w:val="000000"/>
          <w:spacing w:val="-4"/>
          <w:kern w:val="0"/>
          <w:sz w:val="32"/>
          <w:szCs w:val="32"/>
          <w:highlight w:val="none"/>
        </w:rPr>
        <w:t>“三保”及基本建设等刚性支出需求增长较快，财政资金大量用于民生及基本建设支出，</w:t>
      </w:r>
      <w:r>
        <w:rPr>
          <w:rFonts w:hint="default" w:ascii="Times New Roman" w:hAnsi="Times New Roman" w:eastAsia="仿宋_GB2312" w:cs="Times New Roman"/>
          <w:bCs/>
          <w:sz w:val="32"/>
          <w:szCs w:val="32"/>
          <w:highlight w:val="none"/>
        </w:rPr>
        <w:t>部分工程项目集中在下半年付款，</w:t>
      </w:r>
      <w:r>
        <w:rPr>
          <w:rFonts w:hint="default" w:ascii="Times New Roman" w:hAnsi="Times New Roman" w:eastAsia="仿宋_GB2312" w:cs="Times New Roman"/>
          <w:color w:val="000000"/>
          <w:spacing w:val="-4"/>
          <w:kern w:val="0"/>
          <w:sz w:val="32"/>
          <w:szCs w:val="32"/>
          <w:highlight w:val="none"/>
        </w:rPr>
        <w:t>财政资金保障压力较大</w:t>
      </w:r>
      <w:r>
        <w:rPr>
          <w:rFonts w:hint="default" w:ascii="Times New Roman" w:hAnsi="Times New Roman" w:eastAsia="仿宋" w:cs="Times New Roman"/>
          <w:sz w:val="32"/>
          <w:szCs w:val="32"/>
          <w:highlight w:val="none"/>
        </w:rPr>
        <w:t>。</w:t>
      </w:r>
    </w:p>
    <w:p w14:paraId="20D5AFF7">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黑体" w:cs="Times New Roman"/>
          <w:sz w:val="32"/>
          <w:szCs w:val="32"/>
          <w:highlight w:val="none"/>
        </w:rPr>
        <w:t>四、2021年下半年财政主要工作措施</w:t>
      </w:r>
    </w:p>
    <w:p w14:paraId="129BBED7">
      <w:pPr>
        <w:keepNext w:val="0"/>
        <w:keepLines w:val="0"/>
        <w:pageBreakBefore w:val="0"/>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 w:cs="Times New Roman"/>
          <w:sz w:val="32"/>
          <w:szCs w:val="32"/>
          <w:highlight w:val="none"/>
        </w:rPr>
      </w:pPr>
      <w:r>
        <w:rPr>
          <w:rFonts w:hint="default" w:ascii="Times New Roman" w:hAnsi="Times New Roman" w:eastAsia="仿宋_GB2312" w:cs="Times New Roman"/>
          <w:sz w:val="32"/>
          <w:szCs w:val="32"/>
          <w:highlight w:val="none"/>
        </w:rPr>
        <w:t>下半年，我们将继续紧紧围绕全年财政收支目标任务，以“六保”、“六稳”为主线，坚持稳中求进工作总基调，坚持新发展理念，创新工作思路，强化工作措施，坚定信心决心，努力完成全年经济社会发展目标任务。</w:t>
      </w:r>
    </w:p>
    <w:p w14:paraId="2B3CB807">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highlight w:val="none"/>
          <w:lang w:eastAsia="zh-CN"/>
        </w:rPr>
      </w:pPr>
      <w:r>
        <w:rPr>
          <w:rFonts w:hint="default" w:ascii="Times New Roman" w:hAnsi="Times New Roman" w:eastAsia="楷体_GB2312" w:cs="Times New Roman"/>
          <w:color w:val="000000"/>
          <w:kern w:val="32"/>
          <w:sz w:val="32"/>
          <w:szCs w:val="32"/>
          <w:highlight w:val="none"/>
          <w:lang w:eastAsia="zh-CN"/>
        </w:rPr>
        <w:t>（一）财源建设上下功夫，确保财政持续发展源动力</w:t>
      </w:r>
    </w:p>
    <w:p w14:paraId="6B8D0E26">
      <w:pPr>
        <w:keepNext w:val="0"/>
        <w:keepLines w:val="0"/>
        <w:pageBreakBefore w:val="0"/>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b/>
          <w:bCs/>
          <w:sz w:val="32"/>
          <w:szCs w:val="32"/>
          <w:highlight w:val="none"/>
        </w:rPr>
        <w:t>一是</w:t>
      </w:r>
      <w:r>
        <w:rPr>
          <w:rFonts w:hint="default" w:ascii="Times New Roman" w:hAnsi="Times New Roman" w:eastAsia="仿宋_GB2312" w:cs="Times New Roman"/>
          <w:color w:val="000000"/>
          <w:kern w:val="32"/>
          <w:sz w:val="32"/>
          <w:szCs w:val="32"/>
          <w:highlight w:val="none"/>
        </w:rPr>
        <w:t>科学研判经济形势，继续分析全区产业发展方向，继续落实产业扶持政策，加强对重点税源和新增税源的服务</w:t>
      </w:r>
      <w:r>
        <w:rPr>
          <w:rFonts w:hint="default" w:ascii="Times New Roman" w:hAnsi="Times New Roman" w:eastAsia="仿宋_GB2312" w:cs="Times New Roman"/>
          <w:bCs/>
          <w:sz w:val="32"/>
          <w:szCs w:val="32"/>
          <w:highlight w:val="none"/>
        </w:rPr>
        <w:t>力度</w:t>
      </w:r>
      <w:r>
        <w:rPr>
          <w:rFonts w:hint="default" w:ascii="Times New Roman" w:hAnsi="Times New Roman" w:eastAsia="仿宋_GB2312" w:cs="Times New Roman"/>
          <w:color w:val="000000"/>
          <w:kern w:val="32"/>
          <w:sz w:val="32"/>
          <w:szCs w:val="32"/>
          <w:highlight w:val="none"/>
        </w:rPr>
        <w:t>，</w:t>
      </w:r>
      <w:r>
        <w:rPr>
          <w:rFonts w:hint="default" w:ascii="Times New Roman" w:hAnsi="Times New Roman" w:eastAsia="仿宋_GB2312" w:cs="Times New Roman"/>
          <w:bCs/>
          <w:sz w:val="32"/>
          <w:szCs w:val="32"/>
          <w:highlight w:val="none"/>
        </w:rPr>
        <w:t>健全协同共治工作机制，互通涉税信息，不断优化营商环境，</w:t>
      </w:r>
      <w:r>
        <w:rPr>
          <w:rFonts w:hint="default" w:ascii="Times New Roman" w:hAnsi="Times New Roman" w:eastAsia="仿宋_GB2312" w:cs="Times New Roman"/>
          <w:color w:val="000000"/>
          <w:kern w:val="32"/>
          <w:sz w:val="32"/>
          <w:szCs w:val="32"/>
          <w:highlight w:val="none"/>
        </w:rPr>
        <w:t>扩充税收来源</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
          <w:bCs/>
          <w:sz w:val="32"/>
          <w:szCs w:val="32"/>
          <w:highlight w:val="none"/>
        </w:rPr>
        <w:t>二是</w:t>
      </w:r>
      <w:r>
        <w:rPr>
          <w:rFonts w:hint="default" w:ascii="Times New Roman" w:hAnsi="Times New Roman" w:eastAsia="仿宋_GB2312" w:cs="Times New Roman"/>
          <w:sz w:val="32"/>
          <w:szCs w:val="32"/>
          <w:highlight w:val="none"/>
        </w:rPr>
        <w:t>继续稳步实施土地增值税清算工作，按计划完成清算任务；</w:t>
      </w:r>
      <w:r>
        <w:rPr>
          <w:rFonts w:hint="default" w:ascii="Times New Roman" w:hAnsi="Times New Roman" w:eastAsia="仿宋_GB2312" w:cs="Times New Roman"/>
          <w:b/>
          <w:color w:val="000000"/>
          <w:kern w:val="32"/>
          <w:sz w:val="32"/>
          <w:szCs w:val="32"/>
          <w:highlight w:val="none"/>
        </w:rPr>
        <w:t>三是</w:t>
      </w:r>
      <w:r>
        <w:rPr>
          <w:rFonts w:hint="default" w:ascii="Times New Roman" w:hAnsi="Times New Roman" w:eastAsia="仿宋_GB2312" w:cs="Times New Roman"/>
          <w:color w:val="000000"/>
          <w:kern w:val="32"/>
          <w:sz w:val="32"/>
          <w:szCs w:val="32"/>
          <w:highlight w:val="none"/>
        </w:rPr>
        <w:t>加强非税收入征缴管理，确保非税收入依法依规足额上缴</w:t>
      </w:r>
      <w:r>
        <w:rPr>
          <w:rFonts w:hint="default" w:ascii="Times New Roman" w:hAnsi="Times New Roman" w:eastAsia="仿宋_GB2312" w:cs="Times New Roman"/>
          <w:bCs/>
          <w:sz w:val="32"/>
          <w:szCs w:val="32"/>
          <w:highlight w:val="none"/>
        </w:rPr>
        <w:t>；</w:t>
      </w:r>
      <w:r>
        <w:rPr>
          <w:rFonts w:hint="default" w:ascii="Times New Roman" w:hAnsi="Times New Roman" w:eastAsia="仿宋_GB2312" w:cs="Times New Roman"/>
          <w:b/>
          <w:bCs/>
          <w:sz w:val="32"/>
          <w:szCs w:val="32"/>
          <w:highlight w:val="none"/>
        </w:rPr>
        <w:t>四是</w:t>
      </w:r>
      <w:r>
        <w:rPr>
          <w:rFonts w:hint="default" w:ascii="Times New Roman" w:hAnsi="Times New Roman" w:eastAsia="仿宋_GB2312" w:cs="Times New Roman"/>
          <w:bCs/>
          <w:sz w:val="32"/>
          <w:szCs w:val="32"/>
          <w:highlight w:val="none"/>
        </w:rPr>
        <w:t>推进政策落实，</w:t>
      </w:r>
      <w:r>
        <w:rPr>
          <w:rFonts w:hint="default" w:ascii="Times New Roman" w:hAnsi="Times New Roman" w:eastAsia="仿宋_GB2312" w:cs="Times New Roman"/>
          <w:sz w:val="32"/>
          <w:szCs w:val="32"/>
          <w:highlight w:val="none"/>
        </w:rPr>
        <w:t>做好稳增长工作，支持实体经济发展，夯实税基，促进增收，</w:t>
      </w:r>
      <w:r>
        <w:rPr>
          <w:rFonts w:hint="default" w:ascii="Times New Roman" w:hAnsi="Times New Roman" w:eastAsia="仿宋_GB2312" w:cs="Times New Roman"/>
          <w:color w:val="000000"/>
          <w:kern w:val="32"/>
          <w:sz w:val="32"/>
          <w:szCs w:val="32"/>
          <w:highlight w:val="none"/>
        </w:rPr>
        <w:t>进一步增强发展动能</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kern w:val="32"/>
          <w:sz w:val="32"/>
          <w:szCs w:val="32"/>
          <w:highlight w:val="none"/>
        </w:rPr>
        <w:t>坚持只减不增、能减尽减原则，严格落实各项普遍性减税降费政策，切实减轻企业负担；</w:t>
      </w:r>
      <w:r>
        <w:rPr>
          <w:rFonts w:hint="default" w:ascii="Times New Roman" w:hAnsi="Times New Roman" w:eastAsia="仿宋_GB2312" w:cs="Times New Roman"/>
          <w:b/>
          <w:bCs/>
          <w:sz w:val="32"/>
          <w:szCs w:val="32"/>
          <w:highlight w:val="none"/>
        </w:rPr>
        <w:t>五是</w:t>
      </w:r>
      <w:r>
        <w:rPr>
          <w:rFonts w:hint="default" w:ascii="Times New Roman" w:hAnsi="Times New Roman" w:eastAsia="仿宋_GB2312" w:cs="Times New Roman"/>
          <w:sz w:val="32"/>
          <w:szCs w:val="32"/>
          <w:highlight w:val="none"/>
        </w:rPr>
        <w:t>积极争取上级转移支付资金，实施直达资金机制常态化，明确资金使用方向，避免直达资金滥用沉淀，确保上级资金精准落到位。</w:t>
      </w:r>
    </w:p>
    <w:p w14:paraId="3068F618">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highlight w:val="none"/>
          <w:lang w:eastAsia="zh-CN"/>
        </w:rPr>
      </w:pPr>
      <w:r>
        <w:rPr>
          <w:rFonts w:hint="default" w:ascii="Times New Roman" w:hAnsi="Times New Roman" w:eastAsia="楷体_GB2312" w:cs="Times New Roman"/>
          <w:color w:val="000000"/>
          <w:kern w:val="32"/>
          <w:sz w:val="32"/>
          <w:szCs w:val="32"/>
          <w:highlight w:val="none"/>
          <w:lang w:eastAsia="zh-CN"/>
        </w:rPr>
        <w:t>（二）民生保障上出实招，确保群众生活质量日益改善</w:t>
      </w:r>
    </w:p>
    <w:p w14:paraId="1B8AC302">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color w:val="FF0000"/>
          <w:spacing w:val="-4"/>
          <w:sz w:val="32"/>
          <w:szCs w:val="32"/>
          <w:lang w:val="zh-CN"/>
        </w:rPr>
      </w:pPr>
      <w:r>
        <w:rPr>
          <w:rFonts w:hint="default" w:ascii="Times New Roman" w:hAnsi="Times New Roman" w:eastAsia="仿宋_GB2312" w:cs="Times New Roman"/>
          <w:b/>
          <w:bCs/>
          <w:color w:val="000000"/>
          <w:spacing w:val="-4"/>
          <w:sz w:val="32"/>
          <w:szCs w:val="32"/>
          <w:highlight w:val="none"/>
          <w:lang w:val="zh-CN"/>
        </w:rPr>
        <w:t>一是</w:t>
      </w:r>
      <w:r>
        <w:rPr>
          <w:rFonts w:hint="default" w:ascii="Times New Roman" w:hAnsi="Times New Roman" w:eastAsia="仿宋_GB2312" w:cs="Times New Roman"/>
          <w:color w:val="000000"/>
          <w:spacing w:val="-4"/>
          <w:sz w:val="32"/>
          <w:szCs w:val="32"/>
          <w:highlight w:val="none"/>
          <w:lang w:val="zh-CN"/>
        </w:rPr>
        <w:t>关注民生领域，加大投入力度，积极实施就业优先政策，稳步提高养老保障水平，加强疾病预防控制和医疗救治体系建设，持续加大教育投入，多方面提高居民生活保障；</w:t>
      </w:r>
      <w:r>
        <w:rPr>
          <w:rFonts w:hint="default" w:ascii="Times New Roman" w:hAnsi="Times New Roman" w:eastAsia="仿宋_GB2312" w:cs="Times New Roman"/>
          <w:b/>
          <w:bCs/>
          <w:color w:val="000000"/>
          <w:spacing w:val="-4"/>
          <w:sz w:val="32"/>
          <w:szCs w:val="32"/>
          <w:highlight w:val="none"/>
          <w:lang w:val="zh-CN"/>
        </w:rPr>
        <w:t>二是</w:t>
      </w:r>
      <w:r>
        <w:rPr>
          <w:rFonts w:hint="default" w:ascii="Times New Roman" w:hAnsi="Times New Roman" w:eastAsia="仿宋_GB2312" w:cs="Times New Roman"/>
          <w:color w:val="000000"/>
          <w:spacing w:val="-4"/>
          <w:sz w:val="32"/>
          <w:szCs w:val="32"/>
          <w:highlight w:val="none"/>
          <w:lang w:val="zh-CN"/>
        </w:rPr>
        <w:t>巩固和提升精准脱贫成果，推动脱贫攻坚和乡村振兴有效衔接，加强农村生态文明建设，提升农民获得感，促进农村社会稳定和谐；</w:t>
      </w:r>
      <w:r>
        <w:rPr>
          <w:rFonts w:hint="default" w:ascii="Times New Roman" w:hAnsi="Times New Roman" w:eastAsia="仿宋_GB2312" w:cs="Times New Roman"/>
          <w:b/>
          <w:bCs/>
          <w:color w:val="000000"/>
          <w:spacing w:val="-4"/>
          <w:sz w:val="32"/>
          <w:szCs w:val="32"/>
          <w:highlight w:val="none"/>
          <w:lang w:val="zh-CN"/>
        </w:rPr>
        <w:t>三是</w:t>
      </w:r>
      <w:r>
        <w:rPr>
          <w:rFonts w:hint="default" w:ascii="Times New Roman" w:hAnsi="Times New Roman" w:eastAsia="仿宋_GB2312" w:cs="Times New Roman"/>
          <w:color w:val="000000"/>
          <w:spacing w:val="-4"/>
          <w:sz w:val="32"/>
          <w:szCs w:val="32"/>
          <w:highlight w:val="none"/>
          <w:lang w:val="zh-CN"/>
        </w:rPr>
        <w:t>坚持不懈打好污染防治攻坚战，不断增强污染治理财政保障，确保环境质量持续向好，全面加强市容环境整治，改善城乡环境面貌和质</w:t>
      </w:r>
      <w:r>
        <w:rPr>
          <w:rFonts w:hint="default" w:ascii="Times New Roman" w:hAnsi="Times New Roman" w:eastAsia="仿宋_GB2312" w:cs="Times New Roman"/>
          <w:color w:val="000000"/>
          <w:spacing w:val="-4"/>
          <w:sz w:val="32"/>
          <w:szCs w:val="32"/>
          <w:lang w:val="zh-CN"/>
        </w:rPr>
        <w:t>量</w:t>
      </w:r>
      <w:r>
        <w:rPr>
          <w:rFonts w:hint="eastAsia" w:eastAsia="仿宋_GB2312" w:cs="Times New Roman"/>
          <w:color w:val="000000"/>
          <w:spacing w:val="-4"/>
          <w:sz w:val="32"/>
          <w:szCs w:val="32"/>
          <w:lang w:val="zh-CN"/>
        </w:rPr>
        <w:t>；</w:t>
      </w:r>
      <w:r>
        <w:rPr>
          <w:rFonts w:hint="default" w:ascii="Times New Roman" w:hAnsi="Times New Roman" w:eastAsia="仿宋_GB2312" w:cs="Times New Roman"/>
          <w:b/>
          <w:bCs/>
          <w:color w:val="000000"/>
          <w:kern w:val="32"/>
          <w:sz w:val="32"/>
          <w:szCs w:val="32"/>
        </w:rPr>
        <w:t>四是</w:t>
      </w:r>
      <w:r>
        <w:rPr>
          <w:rFonts w:hint="default" w:ascii="Times New Roman" w:hAnsi="Times New Roman" w:eastAsia="仿宋_GB2312" w:cs="Times New Roman"/>
          <w:color w:val="000000"/>
          <w:kern w:val="32"/>
          <w:sz w:val="32"/>
          <w:szCs w:val="32"/>
        </w:rPr>
        <w:t>持续做好常态化疫情防控工作，对新冠疫苗接种相关保障经费给予财政支持，继续支持企业复工复产，加强金融信贷支持，落实居民就业，推进物资采购便利化。</w:t>
      </w:r>
    </w:p>
    <w:p w14:paraId="2BC4A05D">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lang w:eastAsia="zh-CN"/>
        </w:rPr>
      </w:pPr>
      <w:r>
        <w:rPr>
          <w:rFonts w:hint="default" w:ascii="Times New Roman" w:hAnsi="Times New Roman" w:eastAsia="楷体_GB2312" w:cs="Times New Roman"/>
          <w:color w:val="000000"/>
          <w:kern w:val="32"/>
          <w:sz w:val="32"/>
          <w:szCs w:val="32"/>
          <w:lang w:eastAsia="zh-CN"/>
        </w:rPr>
        <w:t>（三）支出结构上求突破，确保财政资金效益持续增强</w:t>
      </w:r>
    </w:p>
    <w:p w14:paraId="741BD7A0">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持续贯彻落实中央八项规定等文件及党政机关厉行节约反对浪费条例，坚决贯彻过“紧日子”的总体方针，科学理财、规范理财，注重节用裕民，大力压减一般性支出，</w:t>
      </w:r>
      <w:r>
        <w:rPr>
          <w:rFonts w:hint="default" w:ascii="Times New Roman" w:hAnsi="Times New Roman" w:eastAsia="仿宋" w:cs="Times New Roman"/>
          <w:sz w:val="32"/>
          <w:szCs w:val="32"/>
        </w:rPr>
        <w:t>优先安排“六稳”“六保”支出，</w:t>
      </w:r>
      <w:r>
        <w:rPr>
          <w:rFonts w:hint="default" w:ascii="Times New Roman" w:hAnsi="Times New Roman" w:eastAsia="仿宋_GB2312" w:cs="Times New Roman"/>
          <w:sz w:val="32"/>
          <w:szCs w:val="32"/>
        </w:rPr>
        <w:t>确保不出现“三保”预算缺口，保障国家各项政策部署落实到位；</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进一步盘活存量资金资产和结余结转资金，</w:t>
      </w:r>
      <w:r>
        <w:rPr>
          <w:rFonts w:hint="default" w:ascii="Times New Roman" w:hAnsi="Times New Roman" w:eastAsia="仿宋_GB2312" w:cs="Times New Roman"/>
          <w:color w:val="000000"/>
          <w:sz w:val="32"/>
          <w:szCs w:val="32"/>
        </w:rPr>
        <w:t>采取开展账务核查、提高资金使用效率、建立定期清理机制、加强资金整合调度、严格控制资金滞留等措施，优化资金配置，实现财政资金的统筹使用和合理分配，集中财力保障重点支出；</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sz w:val="32"/>
          <w:szCs w:val="32"/>
        </w:rPr>
        <w:t>强化预算执行管理，硬化预算执行约束，严控预算追加，加快财政支出下达拨付进度，压实部门预算执行主体责任，加大支出进度通报力度，充分发挥财政资金的经济和社会效益。</w:t>
      </w:r>
    </w:p>
    <w:p w14:paraId="0A8F2BDF">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outlineLvl w:val="0"/>
        <w:rPr>
          <w:rFonts w:hint="default" w:ascii="Times New Roman" w:hAnsi="Times New Roman" w:eastAsia="楷体_GB2312" w:cs="Times New Roman"/>
          <w:color w:val="000000"/>
          <w:kern w:val="32"/>
          <w:sz w:val="32"/>
          <w:szCs w:val="32"/>
          <w:lang w:eastAsia="zh-CN"/>
        </w:rPr>
      </w:pPr>
      <w:r>
        <w:rPr>
          <w:rFonts w:hint="default" w:ascii="Times New Roman" w:hAnsi="Times New Roman" w:eastAsia="楷体_GB2312" w:cs="Times New Roman"/>
          <w:color w:val="000000"/>
          <w:kern w:val="32"/>
          <w:sz w:val="32"/>
          <w:szCs w:val="32"/>
          <w:lang w:eastAsia="zh-CN"/>
        </w:rPr>
        <w:t>（四）风险防控上见成效，确保财政收支运行平稳有序</w:t>
      </w:r>
    </w:p>
    <w:p w14:paraId="1B72F8F1">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3" w:firstLineChars="200"/>
        <w:textAlignment w:val="auto"/>
        <w:rPr>
          <w:rFonts w:hint="default" w:ascii="Times New Roman" w:hAnsi="Times New Roman" w:eastAsia="仿宋_GB2312" w:cs="Times New Roman"/>
          <w:bCs/>
          <w:color w:val="FF0000"/>
          <w:sz w:val="32"/>
          <w:szCs w:val="32"/>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坚持“稳”字当头，积极开展多部门多领域协同监督检查工作，与纪检、监察、税务、审计等部门保持密切联系，相互配合；</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多渠道规范财政管理，有序推进政府会计制度改革等领域实现平稳过渡和有效实施，进一步加强财政投资评审工作，规范财务服务集中会计记账工作，全面推进行政事业单位内部控制规范化建设工作；</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bCs/>
          <w:sz w:val="32"/>
          <w:szCs w:val="32"/>
        </w:rPr>
        <w:t>工作机制再健全，积极应对当前经济金融面临的严峻形势，防范地方政府违规举债及地方性金融风险，加强融资平台公司监管，利用好债务监测平台，强化政府债务监管，做好债务监测预警，筑牢盘龙区风险防控根基</w:t>
      </w:r>
      <w:r>
        <w:rPr>
          <w:rFonts w:hint="eastAsia" w:eastAsia="仿宋_GB2312" w:cs="Times New Roman"/>
          <w:bCs/>
          <w:sz w:val="32"/>
          <w:szCs w:val="32"/>
          <w:lang w:eastAsia="zh-CN"/>
        </w:rPr>
        <w:t>；</w:t>
      </w:r>
      <w:r>
        <w:rPr>
          <w:rFonts w:hint="default" w:ascii="Times New Roman" w:hAnsi="Times New Roman" w:eastAsia="仿宋_GB2312" w:cs="Times New Roman"/>
          <w:b/>
          <w:sz w:val="32"/>
          <w:szCs w:val="32"/>
        </w:rPr>
        <w:t>四是</w:t>
      </w:r>
      <w:r>
        <w:rPr>
          <w:rFonts w:hint="default" w:ascii="Times New Roman" w:hAnsi="Times New Roman" w:eastAsia="仿宋_GB2312" w:cs="Times New Roman"/>
          <w:bCs/>
          <w:sz w:val="32"/>
          <w:szCs w:val="32"/>
        </w:rPr>
        <w:t>推进政府采购制度改革，强化政府采购监督管理工作。加快实施“互联网+采购”行动，全面实行政府采购备案审批事项网上办理</w:t>
      </w:r>
      <w:r>
        <w:rPr>
          <w:rFonts w:hint="eastAsia" w:eastAsia="仿宋_GB2312" w:cs="Times New Roman"/>
          <w:bCs/>
          <w:sz w:val="32"/>
          <w:szCs w:val="32"/>
          <w:lang w:eastAsia="zh-CN"/>
        </w:rPr>
        <w:t>；</w:t>
      </w:r>
      <w:r>
        <w:rPr>
          <w:rFonts w:hint="default" w:ascii="Times New Roman" w:hAnsi="Times New Roman" w:eastAsia="仿宋_GB2312" w:cs="Times New Roman"/>
          <w:b/>
          <w:sz w:val="32"/>
          <w:szCs w:val="32"/>
        </w:rPr>
        <w:t>五是</w:t>
      </w:r>
      <w:r>
        <w:rPr>
          <w:rFonts w:hint="default" w:ascii="Times New Roman" w:hAnsi="Times New Roman" w:eastAsia="仿宋_GB2312" w:cs="Times New Roman"/>
          <w:sz w:val="32"/>
          <w:szCs w:val="32"/>
        </w:rPr>
        <w:t>通过政策传达、专业培训、规范统计等措施健全政府购买服务工作机制。</w:t>
      </w:r>
    </w:p>
    <w:p w14:paraId="1EAB76C7">
      <w:pPr>
        <w:keepNext w:val="0"/>
        <w:keepLines w:val="0"/>
        <w:pageBreakBefore w:val="0"/>
        <w:pBdr>
          <w:bottom w:val="single" w:color="FFFFFF" w:sz="4" w:space="31"/>
        </w:pBdr>
        <w:tabs>
          <w:tab w:val="left" w:pos="4830"/>
          <w:tab w:val="left" w:pos="8640"/>
        </w:tabs>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主任，各位副主任、各位委员，今年财政收入形势严峻，财政收支矛盾突出，财政深化改革任务繁重，我们将在区委的坚强领导下，在区人大及其常委会的监督和指导下，坚持稳中求进工作总基调，立足新发展阶段，贯彻新发展理念，构建新发展格局，兴落实之风，汇发展之智，聚实干之力，以高质量发展为引领，扎实做好财政改革发展各项工作，积极发挥财政职能作用，全面完成好下半年财政工作各项目标任务。</w:t>
      </w:r>
    </w:p>
    <w:sectPr>
      <w:headerReference r:id="rId3" w:type="default"/>
      <w:footerReference r:id="rId5" w:type="default"/>
      <w:headerReference r:id="rId4" w:type="even"/>
      <w:footerReference r:id="rId6" w:type="even"/>
      <w:pgSz w:w="11906" w:h="16838"/>
      <w:pgMar w:top="2098" w:right="1418" w:bottom="1985"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BDE70">
    <w:pPr>
      <w:pStyle w:val="4"/>
      <w:jc w:val="right"/>
      <w:rPr>
        <w:rFonts w:ascii="宋体" w:hAnsi="宋体"/>
        <w:sz w:val="28"/>
        <w:szCs w:val="28"/>
        <w:lang w:val="zh-CN"/>
      </w:rPr>
    </w:pPr>
    <w:r>
      <w:rPr>
        <w:rFonts w:ascii="宋体" w:hAnsi="宋体"/>
        <w:sz w:val="28"/>
        <w:szCs w:val="28"/>
        <w:lang w:val="zh-CN"/>
      </w:rPr>
      <w:fldChar w:fldCharType="begin"/>
    </w:r>
    <w:r>
      <w:rPr>
        <w:rFonts w:ascii="宋体" w:hAnsi="宋体"/>
        <w:sz w:val="28"/>
        <w:szCs w:val="28"/>
        <w:lang w:val="zh-CN"/>
      </w:rPr>
      <w:instrText xml:space="preserve">PAGE   \* MERGEFORMAT</w:instrText>
    </w:r>
    <w:r>
      <w:rPr>
        <w:rFonts w:ascii="宋体" w:hAnsi="宋体"/>
        <w:sz w:val="28"/>
        <w:szCs w:val="28"/>
        <w:lang w:val="zh-CN"/>
      </w:rPr>
      <w:fldChar w:fldCharType="separate"/>
    </w:r>
    <w:r>
      <w:rPr>
        <w:rFonts w:ascii="宋体" w:hAnsi="宋体"/>
        <w:sz w:val="28"/>
        <w:szCs w:val="28"/>
        <w:lang w:val="zh-CN"/>
      </w:rPr>
      <w:t>- 8 -</w:t>
    </w:r>
    <w:r>
      <w:rPr>
        <w:rFonts w:ascii="宋体" w:hAnsi="宋体"/>
        <w:sz w:val="28"/>
        <w:szCs w:val="28"/>
        <w:lang w:val="zh-CN"/>
      </w:rPr>
      <w:fldChar w:fldCharType="end"/>
    </w:r>
  </w:p>
  <w:p w14:paraId="094205B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1E655">
    <w:pPr>
      <w:pStyle w:val="4"/>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14:paraId="3759EBA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D9180">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5CB4">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C03"/>
    <w:rsid w:val="000205CB"/>
    <w:rsid w:val="00147EC0"/>
    <w:rsid w:val="003A7EEA"/>
    <w:rsid w:val="003C7FD7"/>
    <w:rsid w:val="00452B1F"/>
    <w:rsid w:val="005850AC"/>
    <w:rsid w:val="005952AE"/>
    <w:rsid w:val="0066321D"/>
    <w:rsid w:val="0067157E"/>
    <w:rsid w:val="00705205"/>
    <w:rsid w:val="008D198E"/>
    <w:rsid w:val="00B67D3F"/>
    <w:rsid w:val="00C71C03"/>
    <w:rsid w:val="00F57B0E"/>
    <w:rsid w:val="01C149DC"/>
    <w:rsid w:val="070B2A93"/>
    <w:rsid w:val="076777B5"/>
    <w:rsid w:val="08354250"/>
    <w:rsid w:val="0A23305B"/>
    <w:rsid w:val="0B707148"/>
    <w:rsid w:val="0C963F7E"/>
    <w:rsid w:val="0DF36A94"/>
    <w:rsid w:val="0E2A25F4"/>
    <w:rsid w:val="110A0580"/>
    <w:rsid w:val="115B5144"/>
    <w:rsid w:val="11765350"/>
    <w:rsid w:val="117C7860"/>
    <w:rsid w:val="13E25151"/>
    <w:rsid w:val="166F18A8"/>
    <w:rsid w:val="174910C2"/>
    <w:rsid w:val="1B84377A"/>
    <w:rsid w:val="1D3D5763"/>
    <w:rsid w:val="1D603BC6"/>
    <w:rsid w:val="1EEB34F7"/>
    <w:rsid w:val="1FD818DB"/>
    <w:rsid w:val="21C23676"/>
    <w:rsid w:val="220300EA"/>
    <w:rsid w:val="262F266A"/>
    <w:rsid w:val="26802B7A"/>
    <w:rsid w:val="27A86AE9"/>
    <w:rsid w:val="29D02443"/>
    <w:rsid w:val="2B3A1C3D"/>
    <w:rsid w:val="2D3B6308"/>
    <w:rsid w:val="31A66339"/>
    <w:rsid w:val="34624095"/>
    <w:rsid w:val="37752811"/>
    <w:rsid w:val="39BF5529"/>
    <w:rsid w:val="3C8D3970"/>
    <w:rsid w:val="3ECD35FB"/>
    <w:rsid w:val="40B917EC"/>
    <w:rsid w:val="42C04C0D"/>
    <w:rsid w:val="42E7325B"/>
    <w:rsid w:val="4457247D"/>
    <w:rsid w:val="465E50AA"/>
    <w:rsid w:val="48EC5760"/>
    <w:rsid w:val="5724558C"/>
    <w:rsid w:val="58115A15"/>
    <w:rsid w:val="58835F1E"/>
    <w:rsid w:val="58B82C5A"/>
    <w:rsid w:val="59135874"/>
    <w:rsid w:val="5D8D7140"/>
    <w:rsid w:val="609F0000"/>
    <w:rsid w:val="65734D97"/>
    <w:rsid w:val="663E20CD"/>
    <w:rsid w:val="677D16F9"/>
    <w:rsid w:val="68BF2A8A"/>
    <w:rsid w:val="69AC5B44"/>
    <w:rsid w:val="69D51C88"/>
    <w:rsid w:val="6A1A0914"/>
    <w:rsid w:val="6BF45276"/>
    <w:rsid w:val="6E672471"/>
    <w:rsid w:val="6EE15A2E"/>
    <w:rsid w:val="6F5D1FA7"/>
    <w:rsid w:val="70890975"/>
    <w:rsid w:val="717B033D"/>
    <w:rsid w:val="71FA2C5A"/>
    <w:rsid w:val="735F0314"/>
    <w:rsid w:val="7A5478BD"/>
    <w:rsid w:val="7B4207B2"/>
    <w:rsid w:val="7BD43389"/>
    <w:rsid w:val="7D453684"/>
    <w:rsid w:val="7DC62ED9"/>
    <w:rsid w:val="7DE239A6"/>
    <w:rsid w:val="7DEF7E4A"/>
    <w:rsid w:val="7F025B6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99"/>
    <w:rPr>
      <w:rFonts w:ascii="仿宋_GB2312" w:hAnsi="Courier New" w:eastAsia="仿宋_GB2312"/>
      <w:kern w:val="0"/>
      <w:szCs w:val="21"/>
    </w:rPr>
  </w:style>
  <w:style w:type="paragraph" w:styleId="3">
    <w:name w:val="Balloon Text"/>
    <w:basedOn w:val="1"/>
    <w:link w:val="12"/>
    <w:qFormat/>
    <w:uiPriority w:val="99"/>
    <w:rPr>
      <w:kern w:val="0"/>
      <w:sz w:val="18"/>
      <w:szCs w:val="18"/>
    </w:rPr>
  </w:style>
  <w:style w:type="paragraph" w:styleId="4">
    <w:name w:val="footer"/>
    <w:basedOn w:val="1"/>
    <w:link w:val="10"/>
    <w:qFormat/>
    <w:uiPriority w:val="99"/>
    <w:pPr>
      <w:tabs>
        <w:tab w:val="center" w:pos="4153"/>
        <w:tab w:val="right" w:pos="8306"/>
      </w:tabs>
      <w:snapToGrid w:val="0"/>
      <w:jc w:val="left"/>
    </w:pPr>
    <w:rPr>
      <w:kern w:val="0"/>
      <w:sz w:val="18"/>
      <w:szCs w:val="18"/>
    </w:rPr>
  </w:style>
  <w:style w:type="paragraph" w:styleId="5">
    <w:name w:val="header"/>
    <w:basedOn w:val="1"/>
    <w:link w:val="9"/>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9">
    <w:name w:val="页眉 Char"/>
    <w:link w:val="5"/>
    <w:qFormat/>
    <w:uiPriority w:val="99"/>
    <w:rPr>
      <w:rFonts w:ascii="Times New Roman" w:hAnsi="Times New Roman" w:eastAsia="宋体" w:cs="Times New Roman"/>
      <w:sz w:val="18"/>
      <w:szCs w:val="18"/>
    </w:rPr>
  </w:style>
  <w:style w:type="character" w:customStyle="1" w:styleId="10">
    <w:name w:val="页脚 Char"/>
    <w:link w:val="4"/>
    <w:qFormat/>
    <w:uiPriority w:val="99"/>
    <w:rPr>
      <w:rFonts w:ascii="Times New Roman" w:hAnsi="Times New Roman" w:eastAsia="宋体" w:cs="Times New Roman"/>
      <w:sz w:val="18"/>
      <w:szCs w:val="18"/>
    </w:rPr>
  </w:style>
  <w:style w:type="character" w:customStyle="1" w:styleId="11">
    <w:name w:val="纯文本 Char"/>
    <w:link w:val="2"/>
    <w:qFormat/>
    <w:uiPriority w:val="99"/>
    <w:rPr>
      <w:rFonts w:ascii="仿宋_GB2312" w:hAnsi="Courier New" w:eastAsia="仿宋_GB2312" w:cs="Times New Roman"/>
      <w:sz w:val="21"/>
      <w:szCs w:val="21"/>
    </w:rPr>
  </w:style>
  <w:style w:type="character" w:customStyle="1" w:styleId="12">
    <w:name w:val="批注框文本 Char"/>
    <w:link w:val="3"/>
    <w:qFormat/>
    <w:uiPriority w:val="99"/>
    <w:rPr>
      <w:rFonts w:ascii="Times New Roman" w:hAnsi="Times New Roman" w:eastAsia="宋体" w:cs="Times New Roman"/>
      <w:sz w:val="18"/>
      <w:szCs w:val="18"/>
    </w:rPr>
  </w:style>
  <w:style w:type="paragraph" w:customStyle="1" w:styleId="1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szCs w:val="20"/>
    </w:rPr>
  </w:style>
  <w:style w:type="paragraph" w:customStyle="1" w:styleId="14">
    <w:name w:val="List Paragraph_cad427c5-3adb-4717-be65-da755b6d6aa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72B18-52E4-4A76-BB8B-BEA906144E0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4292</Words>
  <Characters>4515</Characters>
  <Lines>32</Lines>
  <Paragraphs>9</Paragraphs>
  <TotalTime>19</TotalTime>
  <ScaleCrop>false</ScaleCrop>
  <LinksUpToDate>false</LinksUpToDate>
  <CharactersWithSpaces>4544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2021-06-21T02:27:00Z</dcterms:created>
  <dc:creator>Administrator</dc:creator>
  <cp:lastModifiedBy>方</cp:lastModifiedBy>
  <cp:lastPrinted>2018-07-12T07:04:00Z</cp:lastPrinted>
  <dcterms:modified xsi:type="dcterms:W3CDTF">2025-07-29T08:43:18Z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2C21243EF3F34185BD75257F212EA8AE_13</vt:lpwstr>
  </property>
  <property fmtid="{D5CDD505-2E9C-101B-9397-08002B2CF9AE}" pid="4" name="KSOTemplateDocerSaveRecord">
    <vt:lpwstr>eyJoZGlkIjoiYWM4OTdjYmM5OTc1ZTExMjliOThhNWZiOGFiODE3Y2QiLCJ1c2VySWQiOiIxMTIxMzIwNzkyIn0=</vt:lpwstr>
  </property>
</Properties>
</file>