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675F11">
      <w:pPr>
        <w:adjustRightInd w:val="0"/>
        <w:snapToGrid w:val="0"/>
        <w:spacing w:line="600" w:lineRule="exact"/>
        <w:jc w:val="center"/>
        <w:rPr>
          <w:rFonts w:eastAsia="方正小标宋简体"/>
          <w:sz w:val="44"/>
          <w:szCs w:val="44"/>
        </w:rPr>
      </w:pPr>
      <w:r>
        <w:rPr>
          <w:rFonts w:eastAsia="方正小标宋简体"/>
          <w:sz w:val="44"/>
          <w:szCs w:val="44"/>
        </w:rPr>
        <w:t>昆明市盘龙区人民政府</w:t>
      </w:r>
    </w:p>
    <w:p w14:paraId="02A8FBBD">
      <w:pPr>
        <w:adjustRightInd w:val="0"/>
        <w:snapToGrid w:val="0"/>
        <w:spacing w:line="600" w:lineRule="exact"/>
        <w:jc w:val="center"/>
        <w:rPr>
          <w:rFonts w:eastAsia="方正小标宋简体"/>
          <w:sz w:val="44"/>
          <w:szCs w:val="44"/>
        </w:rPr>
      </w:pPr>
      <w:r>
        <w:rPr>
          <w:rFonts w:eastAsia="方正小标宋简体"/>
          <w:sz w:val="44"/>
          <w:szCs w:val="44"/>
        </w:rPr>
        <w:t>关于202</w:t>
      </w:r>
      <w:r>
        <w:rPr>
          <w:rFonts w:hint="eastAsia" w:eastAsia="方正小标宋简体"/>
          <w:sz w:val="44"/>
          <w:szCs w:val="44"/>
        </w:rPr>
        <w:t>3</w:t>
      </w:r>
      <w:r>
        <w:rPr>
          <w:rFonts w:eastAsia="方正小标宋简体"/>
          <w:sz w:val="44"/>
          <w:szCs w:val="44"/>
        </w:rPr>
        <w:t>年上半年地方财政预算</w:t>
      </w:r>
    </w:p>
    <w:p w14:paraId="377FA96F">
      <w:pPr>
        <w:adjustRightInd w:val="0"/>
        <w:snapToGrid w:val="0"/>
        <w:spacing w:line="600" w:lineRule="exact"/>
        <w:jc w:val="center"/>
        <w:rPr>
          <w:rFonts w:eastAsia="方正小标宋简体"/>
          <w:sz w:val="44"/>
          <w:szCs w:val="44"/>
        </w:rPr>
      </w:pPr>
      <w:r>
        <w:rPr>
          <w:rFonts w:eastAsia="方正小标宋简体"/>
          <w:sz w:val="44"/>
          <w:szCs w:val="44"/>
        </w:rPr>
        <w:t>执行情况的报告</w:t>
      </w:r>
    </w:p>
    <w:p w14:paraId="799F2203">
      <w:pPr>
        <w:spacing w:line="600" w:lineRule="exact"/>
        <w:ind w:firstLine="1760" w:firstLineChars="550"/>
        <w:rPr>
          <w:rFonts w:eastAsia="楷体_GB2312"/>
          <w:sz w:val="32"/>
          <w:szCs w:val="32"/>
        </w:rPr>
      </w:pPr>
    </w:p>
    <w:p w14:paraId="42E14BDE">
      <w:pPr>
        <w:spacing w:line="600" w:lineRule="exact"/>
        <w:ind w:firstLine="2880" w:firstLineChars="900"/>
        <w:rPr>
          <w:rFonts w:eastAsia="楷体_GB2312"/>
          <w:sz w:val="32"/>
          <w:szCs w:val="32"/>
        </w:rPr>
      </w:pPr>
      <w:r>
        <w:rPr>
          <w:rFonts w:eastAsia="楷体_GB2312"/>
          <w:sz w:val="32"/>
          <w:szCs w:val="32"/>
        </w:rPr>
        <w:t>昆明市盘龙区人民政府</w:t>
      </w:r>
    </w:p>
    <w:p w14:paraId="46112E9F">
      <w:pPr>
        <w:spacing w:line="600" w:lineRule="exact"/>
        <w:ind w:firstLine="2880" w:firstLineChars="900"/>
        <w:rPr>
          <w:rFonts w:eastAsia="楷体_GB2312"/>
          <w:sz w:val="32"/>
          <w:szCs w:val="32"/>
        </w:rPr>
      </w:pPr>
      <w:r>
        <w:rPr>
          <w:rFonts w:eastAsia="楷体_GB2312"/>
          <w:sz w:val="32"/>
          <w:szCs w:val="32"/>
        </w:rPr>
        <w:t>（2023</w:t>
      </w:r>
      <w:bookmarkStart w:id="0" w:name="_GoBack"/>
      <w:bookmarkEnd w:id="0"/>
      <w:r>
        <w:rPr>
          <w:rFonts w:eastAsia="楷体_GB2312"/>
          <w:sz w:val="32"/>
          <w:szCs w:val="32"/>
        </w:rPr>
        <w:t>年</w:t>
      </w:r>
      <w:r>
        <w:rPr>
          <w:rFonts w:hint="eastAsia" w:eastAsia="楷体_GB2312"/>
          <w:sz w:val="32"/>
          <w:szCs w:val="32"/>
        </w:rPr>
        <w:t>7</w:t>
      </w:r>
      <w:r>
        <w:rPr>
          <w:rFonts w:eastAsia="楷体_GB2312"/>
          <w:sz w:val="32"/>
          <w:szCs w:val="32"/>
        </w:rPr>
        <w:t>月</w:t>
      </w:r>
      <w:r>
        <w:rPr>
          <w:rFonts w:hint="eastAsia" w:eastAsia="楷体_GB2312"/>
          <w:sz w:val="32"/>
          <w:szCs w:val="32"/>
          <w:lang w:val="en-US" w:eastAsia="zh-CN"/>
        </w:rPr>
        <w:t>27</w:t>
      </w:r>
      <w:r>
        <w:rPr>
          <w:rFonts w:eastAsia="楷体_GB2312"/>
          <w:sz w:val="32"/>
          <w:szCs w:val="32"/>
        </w:rPr>
        <w:t>日）</w:t>
      </w:r>
    </w:p>
    <w:p w14:paraId="1FBEDE2A">
      <w:pPr>
        <w:spacing w:line="600" w:lineRule="exact"/>
        <w:rPr>
          <w:rFonts w:eastAsia="仿宋_GB2312"/>
          <w:sz w:val="32"/>
        </w:rPr>
      </w:pPr>
    </w:p>
    <w:p w14:paraId="2E1E7939">
      <w:pPr>
        <w:widowControl/>
        <w:spacing w:line="600" w:lineRule="exact"/>
        <w:rPr>
          <w:rFonts w:hint="default" w:eastAsia="仿宋_GB2312"/>
          <w:sz w:val="32"/>
          <w:szCs w:val="32"/>
          <w:lang w:val="en-US" w:eastAsia="zh-CN"/>
        </w:rPr>
      </w:pPr>
      <w:r>
        <w:rPr>
          <w:rFonts w:eastAsia="仿宋_GB2312"/>
          <w:sz w:val="32"/>
          <w:szCs w:val="32"/>
        </w:rPr>
        <w:t>主任，各位副主任、各位委员：</w:t>
      </w:r>
      <w:r>
        <w:rPr>
          <w:rFonts w:hint="eastAsia" w:eastAsia="仿宋_GB2312"/>
          <w:sz w:val="32"/>
          <w:szCs w:val="32"/>
          <w:lang w:val="en-US" w:eastAsia="zh-CN"/>
        </w:rPr>
        <w:t xml:space="preserve">  </w:t>
      </w:r>
    </w:p>
    <w:p w14:paraId="1D81144C">
      <w:pPr>
        <w:widowControl/>
        <w:spacing w:line="600" w:lineRule="exact"/>
        <w:ind w:firstLine="640" w:firstLineChars="200"/>
        <w:rPr>
          <w:rFonts w:eastAsia="仿宋_GB2312"/>
          <w:sz w:val="32"/>
          <w:szCs w:val="32"/>
        </w:rPr>
      </w:pPr>
      <w:r>
        <w:rPr>
          <w:rFonts w:eastAsia="仿宋_GB2312"/>
          <w:sz w:val="32"/>
          <w:szCs w:val="32"/>
        </w:rPr>
        <w:t>受区委副书记、区长高庚同志委托，我代表盘龙区人民政府，向区第十七届人大常委会第</w:t>
      </w:r>
      <w:r>
        <w:rPr>
          <w:rFonts w:hint="eastAsia" w:eastAsia="仿宋_GB2312"/>
          <w:sz w:val="32"/>
          <w:szCs w:val="32"/>
        </w:rPr>
        <w:t>十一</w:t>
      </w:r>
      <w:r>
        <w:rPr>
          <w:rFonts w:eastAsia="仿宋_GB2312"/>
          <w:sz w:val="32"/>
          <w:szCs w:val="32"/>
        </w:rPr>
        <w:t>次会议作《昆明市盘龙区人民政府关于2023年上半年地方财政预算执行情况的报告》，请予审议。</w:t>
      </w:r>
    </w:p>
    <w:p w14:paraId="1DCDAE9F">
      <w:pPr>
        <w:widowControl/>
        <w:spacing w:line="600" w:lineRule="exact"/>
        <w:ind w:firstLine="640" w:firstLineChars="200"/>
        <w:rPr>
          <w:rFonts w:eastAsia="黑体"/>
          <w:sz w:val="32"/>
          <w:szCs w:val="32"/>
        </w:rPr>
      </w:pPr>
      <w:r>
        <w:rPr>
          <w:rFonts w:eastAsia="黑体"/>
          <w:sz w:val="32"/>
          <w:szCs w:val="32"/>
        </w:rPr>
        <w:t>一、上半年财政收支执行情况</w:t>
      </w:r>
    </w:p>
    <w:p w14:paraId="28B82610">
      <w:pPr>
        <w:widowControl/>
        <w:spacing w:line="600" w:lineRule="exact"/>
        <w:ind w:firstLine="640" w:firstLineChars="200"/>
        <w:jc w:val="left"/>
        <w:rPr>
          <w:rFonts w:eastAsia="仿宋_GB2312"/>
          <w:sz w:val="32"/>
          <w:szCs w:val="32"/>
        </w:rPr>
      </w:pPr>
      <w:r>
        <w:rPr>
          <w:rFonts w:eastAsia="仿宋_GB2312"/>
          <w:sz w:val="32"/>
          <w:szCs w:val="32"/>
        </w:rPr>
        <w:t>上半年，面对实现经济稳定增长的空前压力，以及推动经济提档升级的迫切任务，在区委的坚强领导下，在区人大及其常委会的依法监督和指导下，全区财税部门</w:t>
      </w:r>
      <w:r>
        <w:rPr>
          <w:rFonts w:hint="eastAsia" w:eastAsia="仿宋_GB2312"/>
          <w:sz w:val="32"/>
          <w:szCs w:val="32"/>
          <w:lang w:eastAsia="zh-CN"/>
        </w:rPr>
        <w:t>坚持稳中求进工作总基调，全面贯彻新发展理念，积极服务和融入新发展格局，</w:t>
      </w:r>
      <w:r>
        <w:rPr>
          <w:rFonts w:eastAsia="仿宋_GB2312"/>
          <w:sz w:val="32"/>
          <w:szCs w:val="32"/>
        </w:rPr>
        <w:t>紧紧围绕财政收支目标，严格按照年初工作部署，以深化财政改革为主线，持续加大组织收入的主动性，</w:t>
      </w:r>
      <w:r>
        <w:rPr>
          <w:rFonts w:hint="eastAsia" w:eastAsia="仿宋_GB2312"/>
          <w:sz w:val="32"/>
          <w:szCs w:val="32"/>
          <w:lang w:eastAsia="zh-CN"/>
        </w:rPr>
        <w:t>着力优化支出结构保重点，集中财力稳投资、促发展、保民生，实现</w:t>
      </w:r>
      <w:r>
        <w:rPr>
          <w:rFonts w:eastAsia="仿宋_GB2312"/>
          <w:sz w:val="32"/>
          <w:szCs w:val="32"/>
        </w:rPr>
        <w:t>全区财政运行总体平稳，预算执行情况总体良好，为推动</w:t>
      </w:r>
      <w:r>
        <w:rPr>
          <w:rFonts w:hint="eastAsia" w:eastAsia="仿宋_GB2312"/>
          <w:sz w:val="32"/>
          <w:szCs w:val="32"/>
          <w:lang w:eastAsia="zh-CN"/>
        </w:rPr>
        <w:t>经济</w:t>
      </w:r>
      <w:r>
        <w:rPr>
          <w:rFonts w:eastAsia="仿宋_GB2312"/>
          <w:sz w:val="32"/>
          <w:szCs w:val="32"/>
        </w:rPr>
        <w:t>社会</w:t>
      </w:r>
      <w:r>
        <w:rPr>
          <w:rFonts w:hint="eastAsia" w:eastAsia="仿宋_GB2312"/>
          <w:sz w:val="32"/>
          <w:szCs w:val="32"/>
          <w:lang w:eastAsia="zh-CN"/>
        </w:rPr>
        <w:t>发展</w:t>
      </w:r>
      <w:r>
        <w:rPr>
          <w:rFonts w:eastAsia="仿宋_GB2312"/>
          <w:sz w:val="32"/>
          <w:szCs w:val="32"/>
        </w:rPr>
        <w:t>稳</w:t>
      </w:r>
      <w:r>
        <w:rPr>
          <w:rFonts w:hint="eastAsia" w:eastAsia="仿宋_GB2312"/>
          <w:sz w:val="32"/>
          <w:szCs w:val="32"/>
          <w:lang w:eastAsia="zh-CN"/>
        </w:rPr>
        <w:t>中向好</w:t>
      </w:r>
      <w:r>
        <w:rPr>
          <w:rFonts w:eastAsia="仿宋_GB2312"/>
          <w:sz w:val="32"/>
          <w:szCs w:val="32"/>
        </w:rPr>
        <w:t>做出了积极贡献。</w:t>
      </w:r>
    </w:p>
    <w:p w14:paraId="620F7957">
      <w:pPr>
        <w:spacing w:line="600" w:lineRule="exact"/>
        <w:ind w:firstLine="640" w:firstLineChars="200"/>
        <w:rPr>
          <w:rFonts w:eastAsia="楷体_GB2312"/>
          <w:sz w:val="32"/>
          <w:szCs w:val="32"/>
        </w:rPr>
      </w:pPr>
      <w:r>
        <w:rPr>
          <w:rFonts w:eastAsia="楷体_GB2312"/>
          <w:sz w:val="32"/>
          <w:szCs w:val="32"/>
        </w:rPr>
        <w:t>（一）一般公共预算执行情况</w:t>
      </w:r>
    </w:p>
    <w:p w14:paraId="682F2C9F">
      <w:pPr>
        <w:widowControl/>
        <w:spacing w:line="600" w:lineRule="exact"/>
        <w:ind w:firstLine="640" w:firstLineChars="200"/>
        <w:rPr>
          <w:rFonts w:hint="eastAsia" w:eastAsia="仿宋_GB2312"/>
          <w:sz w:val="32"/>
          <w:szCs w:val="32"/>
        </w:rPr>
      </w:pPr>
      <w:r>
        <w:rPr>
          <w:rFonts w:hint="eastAsia" w:eastAsia="仿宋_GB2312"/>
          <w:sz w:val="32"/>
          <w:szCs w:val="32"/>
        </w:rPr>
        <w:t>全区一般公共预算收入完成169,916万元，</w:t>
      </w:r>
      <w:r>
        <w:rPr>
          <w:rFonts w:hint="eastAsia" w:eastAsia="仿宋_GB2312"/>
          <w:sz w:val="32"/>
          <w:szCs w:val="32"/>
          <w:lang w:eastAsia="zh-CN"/>
        </w:rPr>
        <w:t>自然口径</w:t>
      </w:r>
      <w:r>
        <w:rPr>
          <w:rFonts w:hint="eastAsia" w:eastAsia="仿宋_GB2312"/>
          <w:sz w:val="32"/>
          <w:szCs w:val="32"/>
        </w:rPr>
        <w:t>同比增加2,709万元，</w:t>
      </w:r>
      <w:r>
        <w:rPr>
          <w:rFonts w:hint="eastAsia" w:eastAsia="仿宋_GB2312"/>
          <w:sz w:val="32"/>
          <w:szCs w:val="32"/>
          <w:lang w:eastAsia="zh-CN"/>
        </w:rPr>
        <w:t>增长</w:t>
      </w:r>
      <w:r>
        <w:rPr>
          <w:rFonts w:hint="eastAsia" w:eastAsia="仿宋_GB2312"/>
          <w:sz w:val="32"/>
          <w:szCs w:val="32"/>
          <w:lang w:val="en-US" w:eastAsia="zh-CN"/>
        </w:rPr>
        <w:t>1.62%，</w:t>
      </w:r>
      <w:r>
        <w:rPr>
          <w:rFonts w:hint="eastAsia" w:eastAsia="仿宋_GB2312"/>
          <w:sz w:val="32"/>
          <w:szCs w:val="32"/>
          <w:lang w:eastAsia="zh-CN"/>
        </w:rPr>
        <w:t>剔除留抵退税因素后同口径</w:t>
      </w:r>
      <w:r>
        <w:rPr>
          <w:rFonts w:hint="eastAsia" w:eastAsia="仿宋_GB2312"/>
          <w:sz w:val="32"/>
          <w:szCs w:val="32"/>
          <w:lang w:val="en-US" w:eastAsia="zh-CN"/>
        </w:rPr>
        <w:t>同比减少23,318万元，下降12.07%，</w:t>
      </w:r>
      <w:r>
        <w:rPr>
          <w:rFonts w:hint="eastAsia" w:eastAsia="仿宋_GB2312"/>
          <w:sz w:val="32"/>
          <w:szCs w:val="32"/>
        </w:rPr>
        <w:t>完成预算的43.02%。</w:t>
      </w:r>
    </w:p>
    <w:p w14:paraId="3A6049B3">
      <w:pPr>
        <w:spacing w:line="600" w:lineRule="exact"/>
        <w:ind w:firstLine="640" w:firstLineChars="200"/>
        <w:rPr>
          <w:rFonts w:hint="eastAsia" w:eastAsia="仿宋_GB2312"/>
          <w:sz w:val="32"/>
          <w:szCs w:val="32"/>
        </w:rPr>
      </w:pPr>
      <w:r>
        <w:rPr>
          <w:rFonts w:hint="eastAsia" w:eastAsia="仿宋_GB2312"/>
          <w:sz w:val="32"/>
          <w:szCs w:val="32"/>
        </w:rPr>
        <w:t>全区一般公共预算支出完成219,713万元，同比减少61,409万元，下降21.84%，完成预算的40.91%。</w:t>
      </w:r>
    </w:p>
    <w:p w14:paraId="601124C1">
      <w:pPr>
        <w:spacing w:line="600" w:lineRule="exact"/>
        <w:ind w:firstLine="640" w:firstLineChars="200"/>
        <w:rPr>
          <w:rFonts w:eastAsia="楷体_GB2312"/>
          <w:sz w:val="32"/>
          <w:szCs w:val="32"/>
        </w:rPr>
      </w:pPr>
      <w:r>
        <w:rPr>
          <w:rFonts w:eastAsia="楷体_GB2312"/>
          <w:sz w:val="32"/>
          <w:szCs w:val="32"/>
        </w:rPr>
        <w:t>（二）政府性基金预算执行情况</w:t>
      </w:r>
    </w:p>
    <w:p w14:paraId="0A87AF1A">
      <w:pPr>
        <w:widowControl/>
        <w:spacing w:line="600" w:lineRule="exact"/>
        <w:ind w:firstLine="640" w:firstLineChars="200"/>
        <w:rPr>
          <w:rFonts w:eastAsia="仿宋_GB2312"/>
          <w:sz w:val="32"/>
          <w:szCs w:val="32"/>
        </w:rPr>
      </w:pPr>
      <w:r>
        <w:rPr>
          <w:rFonts w:eastAsia="仿宋_GB2312"/>
          <w:sz w:val="32"/>
          <w:szCs w:val="32"/>
        </w:rPr>
        <w:t>全区政府性基金预算收入</w:t>
      </w:r>
      <w:r>
        <w:rPr>
          <w:rFonts w:hint="eastAsia" w:eastAsia="仿宋_GB2312"/>
          <w:sz w:val="32"/>
          <w:szCs w:val="32"/>
        </w:rPr>
        <w:t>1,753</w:t>
      </w:r>
      <w:r>
        <w:rPr>
          <w:rFonts w:eastAsia="仿宋_GB2312"/>
          <w:sz w:val="32"/>
          <w:szCs w:val="32"/>
        </w:rPr>
        <w:t>万元，</w:t>
      </w:r>
      <w:r>
        <w:rPr>
          <w:rFonts w:hint="eastAsia" w:eastAsia="仿宋_GB2312"/>
          <w:sz w:val="32"/>
          <w:szCs w:val="32"/>
        </w:rPr>
        <w:t>同比增加1,109万元，增长172.20%，</w:t>
      </w:r>
      <w:r>
        <w:rPr>
          <w:rFonts w:eastAsia="仿宋_GB2312"/>
          <w:kern w:val="0"/>
          <w:sz w:val="32"/>
          <w:szCs w:val="32"/>
        </w:rPr>
        <w:t>完成预算的</w:t>
      </w:r>
      <w:r>
        <w:rPr>
          <w:rFonts w:hint="eastAsia" w:eastAsia="仿宋_GB2312"/>
          <w:kern w:val="0"/>
          <w:sz w:val="32"/>
          <w:szCs w:val="32"/>
        </w:rPr>
        <w:t>25.49</w:t>
      </w:r>
      <w:r>
        <w:rPr>
          <w:rFonts w:eastAsia="仿宋_GB2312"/>
          <w:sz w:val="32"/>
          <w:szCs w:val="32"/>
        </w:rPr>
        <w:t>%。</w:t>
      </w:r>
      <w:r>
        <w:rPr>
          <w:rFonts w:eastAsia="仿宋_GB2312"/>
          <w:kern w:val="32"/>
          <w:sz w:val="32"/>
          <w:szCs w:val="32"/>
        </w:rPr>
        <w:t>债务转贷收入637,500万元。专项债券对应项目专项收入1,614.84万元。其中，棚户区改造专项债券对应项目专项收入400.28万元，其他地方自行试点项目收益专项债券对应项目专项收入1,214.56万元。</w:t>
      </w:r>
    </w:p>
    <w:p w14:paraId="05D054F7">
      <w:pPr>
        <w:widowControl/>
        <w:spacing w:line="600" w:lineRule="exact"/>
        <w:ind w:firstLine="640" w:firstLineChars="200"/>
        <w:rPr>
          <w:rFonts w:eastAsia="仿宋_GB2312"/>
          <w:sz w:val="32"/>
          <w:szCs w:val="32"/>
        </w:rPr>
      </w:pPr>
      <w:r>
        <w:rPr>
          <w:rFonts w:hint="eastAsia" w:eastAsia="仿宋_GB2312"/>
          <w:sz w:val="32"/>
          <w:szCs w:val="32"/>
        </w:rPr>
        <w:t>全区政府性基金预算支出639,572万元，同比增加632,637万元，增长9122.38%，完成预算的90.94%。债务付息支出1,446.84万元,债务发行费用支出61.47万元。</w:t>
      </w:r>
    </w:p>
    <w:p w14:paraId="586ACC9F">
      <w:pPr>
        <w:widowControl/>
        <w:spacing w:line="600" w:lineRule="exact"/>
        <w:ind w:firstLine="640" w:firstLineChars="200"/>
        <w:rPr>
          <w:rFonts w:eastAsia="楷体_GB2312"/>
          <w:sz w:val="32"/>
          <w:szCs w:val="32"/>
        </w:rPr>
      </w:pPr>
      <w:r>
        <w:rPr>
          <w:rFonts w:eastAsia="楷体_GB2312"/>
          <w:sz w:val="32"/>
          <w:szCs w:val="32"/>
        </w:rPr>
        <w:t>（三）国有资本经营预算执行情况</w:t>
      </w:r>
    </w:p>
    <w:p w14:paraId="3C692FA2">
      <w:pPr>
        <w:widowControl/>
        <w:spacing w:line="600" w:lineRule="exact"/>
        <w:ind w:firstLine="640" w:firstLineChars="200"/>
        <w:rPr>
          <w:rFonts w:eastAsia="仿宋_GB2312"/>
          <w:sz w:val="32"/>
          <w:szCs w:val="32"/>
        </w:rPr>
      </w:pPr>
      <w:r>
        <w:rPr>
          <w:rFonts w:hint="eastAsia" w:eastAsia="仿宋_GB2312"/>
          <w:sz w:val="32"/>
          <w:szCs w:val="32"/>
        </w:rPr>
        <w:t>全区国有资本经营预算收入741万元，同比减少173万元，下降18.93%</w:t>
      </w:r>
      <w:r>
        <w:rPr>
          <w:rFonts w:hint="eastAsia" w:eastAsia="仿宋_GB2312"/>
          <w:sz w:val="32"/>
          <w:szCs w:val="32"/>
          <w:lang w:eastAsia="zh-CN"/>
        </w:rPr>
        <w:t>，</w:t>
      </w:r>
      <w:r>
        <w:rPr>
          <w:rFonts w:hint="eastAsia" w:eastAsia="仿宋_GB2312"/>
          <w:sz w:val="32"/>
          <w:szCs w:val="32"/>
        </w:rPr>
        <w:t>完成预算的100%。</w:t>
      </w:r>
    </w:p>
    <w:p w14:paraId="0A911430">
      <w:pPr>
        <w:widowControl/>
        <w:spacing w:line="600" w:lineRule="exact"/>
        <w:ind w:firstLine="640" w:firstLineChars="200"/>
        <w:rPr>
          <w:rFonts w:eastAsia="仿宋_GB2312"/>
          <w:sz w:val="32"/>
          <w:szCs w:val="32"/>
        </w:rPr>
      </w:pPr>
      <w:r>
        <w:rPr>
          <w:rFonts w:hint="eastAsia" w:eastAsia="仿宋_GB2312"/>
          <w:sz w:val="32"/>
          <w:szCs w:val="32"/>
        </w:rPr>
        <w:t>全区国有资本经营预算支出481万元，同比减少281万元，下降36.88%</w:t>
      </w:r>
      <w:r>
        <w:rPr>
          <w:rFonts w:hint="eastAsia" w:eastAsia="仿宋_GB2312"/>
          <w:sz w:val="32"/>
          <w:szCs w:val="32"/>
          <w:lang w:eastAsia="zh-CN"/>
        </w:rPr>
        <w:t>，</w:t>
      </w:r>
      <w:r>
        <w:rPr>
          <w:rFonts w:hint="eastAsia" w:eastAsia="仿宋_GB2312"/>
          <w:sz w:val="32"/>
          <w:szCs w:val="32"/>
        </w:rPr>
        <w:t>完成预算的35.68%。</w:t>
      </w:r>
    </w:p>
    <w:p w14:paraId="27F895BA">
      <w:pPr>
        <w:widowControl/>
        <w:spacing w:line="600" w:lineRule="exact"/>
        <w:ind w:firstLine="640" w:firstLineChars="200"/>
        <w:rPr>
          <w:rFonts w:eastAsia="楷体_GB2312"/>
          <w:sz w:val="32"/>
          <w:szCs w:val="32"/>
        </w:rPr>
      </w:pPr>
      <w:r>
        <w:rPr>
          <w:rFonts w:eastAsia="楷体_GB2312"/>
          <w:sz w:val="32"/>
          <w:szCs w:val="32"/>
        </w:rPr>
        <w:t>（四）社会保险基金预算执行情况</w:t>
      </w:r>
    </w:p>
    <w:p w14:paraId="16DB24E5">
      <w:pPr>
        <w:pStyle w:val="6"/>
        <w:spacing w:line="600" w:lineRule="exact"/>
        <w:ind w:firstLine="640" w:firstLineChars="200"/>
        <w:rPr>
          <w:rFonts w:ascii="Times New Roman" w:hAnsi="Times New Roman"/>
          <w:kern w:val="2"/>
          <w:sz w:val="32"/>
          <w:szCs w:val="32"/>
        </w:rPr>
      </w:pPr>
      <w:r>
        <w:rPr>
          <w:rFonts w:hint="eastAsia" w:ascii="Times New Roman" w:hAnsi="Times New Roman"/>
          <w:kern w:val="2"/>
          <w:sz w:val="32"/>
          <w:szCs w:val="32"/>
        </w:rPr>
        <w:t>目前，昆明市社会保险基金预算统一由市级财政编列，区级财政暂不编列社会保险基金预算。</w:t>
      </w:r>
    </w:p>
    <w:p w14:paraId="2AAE6B03">
      <w:pPr>
        <w:widowControl/>
        <w:spacing w:line="600" w:lineRule="exact"/>
        <w:ind w:firstLine="640" w:firstLineChars="200"/>
        <w:rPr>
          <w:rFonts w:eastAsia="楷体_GB2312"/>
          <w:sz w:val="32"/>
          <w:szCs w:val="32"/>
        </w:rPr>
      </w:pPr>
      <w:r>
        <w:rPr>
          <w:rFonts w:eastAsia="楷体_GB2312"/>
          <w:sz w:val="32"/>
          <w:szCs w:val="32"/>
        </w:rPr>
        <w:t>（五）政府性债务情况</w:t>
      </w:r>
    </w:p>
    <w:p w14:paraId="726EAA5F">
      <w:pPr>
        <w:pStyle w:val="11"/>
        <w:spacing w:line="600" w:lineRule="exact"/>
        <w:ind w:firstLine="640"/>
        <w:rPr>
          <w:rFonts w:ascii="Times New Roman" w:hAnsi="Times New Roman" w:eastAsia="仿宋_GB2312"/>
          <w:kern w:val="32"/>
          <w:sz w:val="32"/>
          <w:szCs w:val="32"/>
        </w:rPr>
      </w:pPr>
      <w:r>
        <w:rPr>
          <w:rFonts w:ascii="Times New Roman" w:hAnsi="Times New Roman" w:eastAsia="仿宋_GB2312"/>
          <w:color w:val="000000" w:themeColor="text1"/>
          <w:spacing w:val="6"/>
          <w:sz w:val="32"/>
          <w:szCs w:val="32"/>
          <w14:textFill>
            <w14:solidFill>
              <w14:schemeClr w14:val="tx1"/>
            </w14:solidFill>
          </w14:textFill>
        </w:rPr>
        <w:t>截至2023年6月</w:t>
      </w:r>
      <w:r>
        <w:rPr>
          <w:rFonts w:hint="eastAsia" w:ascii="Times New Roman" w:hAnsi="Times New Roman" w:eastAsia="仿宋_GB2312"/>
          <w:color w:val="000000" w:themeColor="text1"/>
          <w:spacing w:val="6"/>
          <w:sz w:val="32"/>
          <w:szCs w:val="32"/>
          <w14:textFill>
            <w14:solidFill>
              <w14:schemeClr w14:val="tx1"/>
            </w14:solidFill>
          </w14:textFill>
        </w:rPr>
        <w:t>30日</w:t>
      </w:r>
      <w:r>
        <w:rPr>
          <w:rFonts w:ascii="Times New Roman" w:hAnsi="Times New Roman" w:eastAsia="仿宋_GB2312"/>
          <w:color w:val="000000" w:themeColor="text1"/>
          <w:spacing w:val="6"/>
          <w:sz w:val="32"/>
          <w:szCs w:val="32"/>
          <w14:textFill>
            <w14:solidFill>
              <w14:schemeClr w14:val="tx1"/>
            </w14:solidFill>
          </w14:textFill>
        </w:rPr>
        <w:t>，</w:t>
      </w:r>
      <w:r>
        <w:rPr>
          <w:rFonts w:hint="eastAsia" w:ascii="Times New Roman" w:hAnsi="Times New Roman" w:eastAsia="仿宋_GB2312"/>
          <w:sz w:val="32"/>
          <w:szCs w:val="32"/>
        </w:rPr>
        <w:t>盘龙</w:t>
      </w:r>
      <w:r>
        <w:rPr>
          <w:rFonts w:ascii="Times New Roman" w:hAnsi="Times New Roman" w:eastAsia="仿宋_GB2312"/>
          <w:sz w:val="32"/>
          <w:szCs w:val="32"/>
        </w:rPr>
        <w:t>区</w:t>
      </w:r>
      <w:r>
        <w:rPr>
          <w:rFonts w:ascii="Times New Roman" w:hAnsi="Times New Roman" w:eastAsia="仿宋_GB2312"/>
          <w:color w:val="000000" w:themeColor="text1"/>
          <w:spacing w:val="6"/>
          <w:sz w:val="32"/>
          <w:szCs w:val="32"/>
          <w14:textFill>
            <w14:solidFill>
              <w14:schemeClr w14:val="tx1"/>
            </w14:solidFill>
          </w14:textFill>
        </w:rPr>
        <w:t>地方政府债务余额</w:t>
      </w:r>
      <w:r>
        <w:rPr>
          <w:rFonts w:ascii="Times New Roman" w:hAnsi="Times New Roman" w:eastAsia="仿宋_GB2312"/>
          <w:color w:val="000000" w:themeColor="text1"/>
          <w:sz w:val="32"/>
          <w:szCs w:val="32"/>
          <w14:textFill>
            <w14:solidFill>
              <w14:schemeClr w14:val="tx1"/>
            </w14:solidFill>
          </w14:textFill>
        </w:rPr>
        <w:t>782,450</w:t>
      </w:r>
      <w:r>
        <w:rPr>
          <w:rFonts w:ascii="Times New Roman" w:hAnsi="Times New Roman" w:eastAsia="仿宋_GB2312"/>
          <w:color w:val="000000" w:themeColor="text1"/>
          <w:spacing w:val="6"/>
          <w:sz w:val="32"/>
          <w:szCs w:val="32"/>
          <w14:textFill>
            <w14:solidFill>
              <w14:schemeClr w14:val="tx1"/>
            </w14:solidFill>
          </w14:textFill>
        </w:rPr>
        <w:t>万元，</w:t>
      </w:r>
      <w:r>
        <w:rPr>
          <w:rFonts w:ascii="Times New Roman" w:hAnsi="Times New Roman" w:eastAsia="仿宋_GB2312"/>
          <w:spacing w:val="6"/>
          <w:sz w:val="32"/>
          <w:szCs w:val="32"/>
        </w:rPr>
        <w:t>其中：</w:t>
      </w:r>
      <w:r>
        <w:rPr>
          <w:rFonts w:ascii="Times New Roman" w:hAnsi="Times New Roman" w:eastAsia="仿宋_GB2312"/>
          <w:kern w:val="32"/>
          <w:sz w:val="32"/>
          <w:szCs w:val="32"/>
        </w:rPr>
        <w:t>一般债务余额7,450万元，专项债务余额775,000万元。</w:t>
      </w:r>
    </w:p>
    <w:p w14:paraId="40494A87">
      <w:pPr>
        <w:widowControl/>
        <w:spacing w:line="600" w:lineRule="exact"/>
        <w:ind w:firstLine="640" w:firstLineChars="200"/>
        <w:rPr>
          <w:rFonts w:eastAsia="黑体"/>
          <w:sz w:val="32"/>
          <w:szCs w:val="32"/>
        </w:rPr>
      </w:pPr>
      <w:r>
        <w:rPr>
          <w:rFonts w:eastAsia="黑体"/>
          <w:sz w:val="32"/>
          <w:szCs w:val="32"/>
        </w:rPr>
        <w:t>二、上半年财政政策执行和重点工作情况</w:t>
      </w:r>
    </w:p>
    <w:p w14:paraId="7DE268F7">
      <w:pPr>
        <w:tabs>
          <w:tab w:val="left" w:pos="4830"/>
          <w:tab w:val="left" w:pos="8640"/>
        </w:tabs>
        <w:spacing w:line="600" w:lineRule="exact"/>
        <w:ind w:firstLine="640" w:firstLineChars="200"/>
        <w:outlineLvl w:val="0"/>
        <w:rPr>
          <w:rFonts w:eastAsia="楷体_GB2312"/>
          <w:kern w:val="32"/>
          <w:sz w:val="32"/>
          <w:szCs w:val="32"/>
        </w:rPr>
      </w:pPr>
      <w:r>
        <w:rPr>
          <w:rFonts w:eastAsia="楷体_GB2312"/>
          <w:kern w:val="32"/>
          <w:sz w:val="32"/>
          <w:szCs w:val="32"/>
        </w:rPr>
        <w:t>（一）紧盯预期目标抓增收，落实政策扩源挖潜</w:t>
      </w:r>
    </w:p>
    <w:p w14:paraId="3A548704">
      <w:pPr>
        <w:tabs>
          <w:tab w:val="left" w:pos="4830"/>
          <w:tab w:val="left" w:pos="8640"/>
        </w:tabs>
        <w:spacing w:line="600" w:lineRule="exact"/>
        <w:ind w:firstLine="643" w:firstLineChars="200"/>
        <w:rPr>
          <w:rFonts w:hint="eastAsia" w:eastAsia="仿宋_GB2312"/>
          <w:sz w:val="32"/>
          <w:szCs w:val="32"/>
          <w:lang w:eastAsia="zh-CN"/>
        </w:rPr>
      </w:pPr>
      <w:r>
        <w:rPr>
          <w:rFonts w:eastAsia="仿宋_GB2312"/>
          <w:b/>
          <w:sz w:val="32"/>
          <w:szCs w:val="32"/>
        </w:rPr>
        <w:t>一是</w:t>
      </w:r>
      <w:r>
        <w:rPr>
          <w:rFonts w:eastAsia="仿宋_GB2312"/>
          <w:sz w:val="32"/>
          <w:szCs w:val="32"/>
        </w:rPr>
        <w:t>延续和优化实施部分阶段性税费优惠政策，贯彻落实支持实体经济、鼓励平台经济等稳增长系列政策措施，</w:t>
      </w:r>
      <w:r>
        <w:rPr>
          <w:rFonts w:hint="eastAsia" w:eastAsia="仿宋_GB2312"/>
          <w:sz w:val="32"/>
          <w:szCs w:val="32"/>
        </w:rPr>
        <w:t>完成</w:t>
      </w:r>
      <w:r>
        <w:rPr>
          <w:rFonts w:hint="eastAsia" w:eastAsia="仿宋_GB2312"/>
          <w:sz w:val="32"/>
          <w:szCs w:val="32"/>
          <w:lang w:eastAsia="zh-CN"/>
        </w:rPr>
        <w:t>全口径</w:t>
      </w:r>
      <w:r>
        <w:rPr>
          <w:rFonts w:eastAsia="仿宋_GB2312"/>
          <w:sz w:val="32"/>
          <w:szCs w:val="32"/>
        </w:rPr>
        <w:t>增值税留抵退税</w:t>
      </w:r>
      <w:r>
        <w:rPr>
          <w:rFonts w:ascii="Times New Roman" w:hAnsi="Times New Roman" w:eastAsia="仿宋_GB2312" w:cs="Times New Roman"/>
          <w:sz w:val="32"/>
          <w:szCs w:val="32"/>
        </w:rPr>
        <w:t>规模达</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亿元</w:t>
      </w:r>
      <w:r>
        <w:rPr>
          <w:rFonts w:hint="eastAsia"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拨付</w:t>
      </w:r>
      <w:r>
        <w:rPr>
          <w:rFonts w:hint="eastAsia" w:ascii="Times New Roman" w:hAnsi="Times New Roman" w:eastAsia="仿宋_GB2312" w:cs="Times New Roman"/>
          <w:sz w:val="32"/>
          <w:szCs w:val="32"/>
          <w:lang w:val="en-US" w:eastAsia="zh-CN"/>
        </w:rPr>
        <w:t>涉企资金2</w:t>
      </w:r>
      <w:r>
        <w:rPr>
          <w:rFonts w:hint="eastAsia"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304.87万元</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扶持企业</w:t>
      </w:r>
      <w:r>
        <w:rPr>
          <w:rFonts w:hint="eastAsia" w:ascii="Times New Roman" w:hAnsi="Times New Roman" w:eastAsia="仿宋_GB2312" w:cs="Times New Roman"/>
          <w:color w:val="auto"/>
          <w:sz w:val="32"/>
          <w:szCs w:val="32"/>
          <w:lang w:val="en-US" w:eastAsia="zh-CN"/>
        </w:rPr>
        <w:t>151</w:t>
      </w:r>
      <w:r>
        <w:rPr>
          <w:rFonts w:hint="default" w:ascii="Times New Roman" w:hAnsi="Times New Roman" w:eastAsia="仿宋_GB2312" w:cs="Times New Roman"/>
          <w:color w:val="auto"/>
          <w:sz w:val="32"/>
          <w:szCs w:val="32"/>
          <w:lang w:eastAsia="zh-CN"/>
        </w:rPr>
        <w:t>户</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2"/>
          <w:sz w:val="32"/>
          <w:szCs w:val="32"/>
          <w:highlight w:val="none"/>
          <w:lang w:val="en-US" w:eastAsia="zh-CN" w:bidi="ar-SA"/>
        </w:rPr>
        <w:t>发放</w:t>
      </w:r>
      <w:r>
        <w:rPr>
          <w:rFonts w:hint="eastAsia" w:eastAsia="仿宋_GB2312" w:cs="Times New Roman"/>
          <w:color w:val="auto"/>
          <w:kern w:val="2"/>
          <w:sz w:val="32"/>
          <w:szCs w:val="32"/>
          <w:highlight w:val="none"/>
          <w:lang w:val="en-US" w:eastAsia="zh-CN" w:bidi="ar-SA"/>
        </w:rPr>
        <w:t>第三期</w:t>
      </w:r>
      <w:r>
        <w:rPr>
          <w:rFonts w:hint="default" w:ascii="Times New Roman" w:hAnsi="Times New Roman" w:eastAsia="仿宋_GB2312" w:cs="Times New Roman"/>
          <w:color w:val="auto"/>
          <w:kern w:val="2"/>
          <w:sz w:val="32"/>
          <w:szCs w:val="32"/>
          <w:highlight w:val="none"/>
          <w:lang w:val="en-US" w:eastAsia="zh-CN" w:bidi="ar-SA"/>
        </w:rPr>
        <w:t>彩云盘龙消费券1</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077.75万元</w:t>
      </w:r>
      <w:r>
        <w:rPr>
          <w:rFonts w:hint="eastAsia" w:eastAsia="仿宋_GB2312" w:cs="Times New Roman"/>
          <w:color w:val="auto"/>
          <w:kern w:val="2"/>
          <w:sz w:val="32"/>
          <w:szCs w:val="32"/>
          <w:highlight w:val="none"/>
          <w:lang w:val="en-US" w:eastAsia="zh-CN" w:bidi="ar-SA"/>
        </w:rPr>
        <w:t>，</w:t>
      </w:r>
      <w:r>
        <w:rPr>
          <w:rFonts w:eastAsia="仿宋_GB2312"/>
          <w:color w:val="auto"/>
          <w:sz w:val="32"/>
          <w:szCs w:val="32"/>
        </w:rPr>
        <w:t>着力</w:t>
      </w:r>
      <w:r>
        <w:rPr>
          <w:rFonts w:hint="eastAsia" w:eastAsia="仿宋_GB2312"/>
          <w:color w:val="auto"/>
          <w:sz w:val="32"/>
          <w:szCs w:val="32"/>
          <w:lang w:eastAsia="zh-CN"/>
        </w:rPr>
        <w:t>助企纾困</w:t>
      </w:r>
      <w:r>
        <w:rPr>
          <w:rFonts w:eastAsia="仿宋_GB2312"/>
          <w:color w:val="auto"/>
          <w:sz w:val="32"/>
          <w:szCs w:val="32"/>
        </w:rPr>
        <w:t>、扩大投资、促进消费。</w:t>
      </w:r>
      <w:r>
        <w:rPr>
          <w:rFonts w:eastAsia="仿宋_GB2312"/>
          <w:b/>
          <w:bCs/>
          <w:sz w:val="32"/>
          <w:szCs w:val="32"/>
        </w:rPr>
        <w:t>二是</w:t>
      </w:r>
      <w:r>
        <w:rPr>
          <w:rFonts w:eastAsia="仿宋_GB2312"/>
          <w:sz w:val="32"/>
          <w:szCs w:val="32"/>
        </w:rPr>
        <w:t>贯彻落实区委、区政府“聚焦北京路，打造昆明城市CBD，提升楼宇（总部）经济，建设现代服务示范区”的决策部署，全面落实市场主</w:t>
      </w:r>
      <w:r>
        <w:rPr>
          <w:rFonts w:eastAsia="仿宋_GB2312"/>
          <w:sz w:val="32"/>
          <w:szCs w:val="32"/>
          <w:highlight w:val="none"/>
        </w:rPr>
        <w:t>体倍增计划，全力以赴抓好税源服务，以产业升级助力财源税源增长。</w:t>
      </w:r>
      <w:r>
        <w:rPr>
          <w:rFonts w:eastAsia="仿宋_GB2312"/>
          <w:sz w:val="32"/>
          <w:szCs w:val="32"/>
        </w:rPr>
        <w:t>三</w:t>
      </w:r>
      <w:r>
        <w:rPr>
          <w:rFonts w:eastAsia="仿宋_GB2312"/>
          <w:b/>
          <w:bCs/>
          <w:sz w:val="32"/>
          <w:szCs w:val="32"/>
        </w:rPr>
        <w:t>是</w:t>
      </w:r>
      <w:r>
        <w:rPr>
          <w:rFonts w:eastAsia="仿宋_GB2312"/>
          <w:sz w:val="32"/>
          <w:szCs w:val="32"/>
        </w:rPr>
        <w:t>持续优化营商环境支持中小企业发展</w:t>
      </w:r>
      <w:r>
        <w:rPr>
          <w:rFonts w:hint="eastAsia" w:eastAsia="仿宋_GB2312"/>
          <w:sz w:val="32"/>
          <w:szCs w:val="32"/>
          <w:lang w:eastAsia="zh-CN"/>
        </w:rPr>
        <w:t>，</w:t>
      </w:r>
      <w:r>
        <w:rPr>
          <w:rFonts w:eastAsia="仿宋_GB2312"/>
          <w:sz w:val="32"/>
          <w:szCs w:val="32"/>
        </w:rPr>
        <w:t>政府采购合同</w:t>
      </w:r>
      <w:r>
        <w:rPr>
          <w:rFonts w:hint="eastAsia" w:eastAsia="仿宋_GB2312"/>
          <w:sz w:val="32"/>
          <w:szCs w:val="32"/>
          <w:lang w:eastAsia="zh-CN"/>
        </w:rPr>
        <w:t>涉及</w:t>
      </w:r>
      <w:r>
        <w:rPr>
          <w:rFonts w:eastAsia="仿宋_GB2312"/>
          <w:sz w:val="32"/>
          <w:szCs w:val="32"/>
        </w:rPr>
        <w:t>中小微企业</w:t>
      </w:r>
      <w:r>
        <w:rPr>
          <w:rFonts w:hint="eastAsia" w:eastAsia="仿宋_GB2312"/>
          <w:sz w:val="32"/>
          <w:szCs w:val="32"/>
          <w:lang w:eastAsia="zh-CN"/>
        </w:rPr>
        <w:t>份额达</w:t>
      </w:r>
      <w:r>
        <w:rPr>
          <w:rFonts w:hint="eastAsia" w:eastAsia="仿宋_GB2312"/>
          <w:color w:val="000000" w:themeColor="text1"/>
          <w:sz w:val="32"/>
          <w:szCs w:val="32"/>
          <w14:textFill>
            <w14:solidFill>
              <w14:schemeClr w14:val="tx1"/>
            </w14:solidFill>
          </w14:textFill>
        </w:rPr>
        <w:t>88.01</w:t>
      </w:r>
      <w:r>
        <w:rPr>
          <w:rFonts w:eastAsia="仿宋_GB2312"/>
          <w:color w:val="000000" w:themeColor="text1"/>
          <w:sz w:val="32"/>
          <w:szCs w:val="32"/>
          <w14:textFill>
            <w14:solidFill>
              <w14:schemeClr w14:val="tx1"/>
            </w14:solidFill>
          </w14:textFill>
        </w:rPr>
        <w:t>%，</w:t>
      </w:r>
      <w:r>
        <w:rPr>
          <w:rFonts w:eastAsia="仿宋_GB2312"/>
          <w:sz w:val="32"/>
          <w:szCs w:val="32"/>
        </w:rPr>
        <w:t>助力企业发展。</w:t>
      </w:r>
      <w:r>
        <w:rPr>
          <w:rFonts w:eastAsia="仿宋_GB2312"/>
          <w:b/>
          <w:bCs/>
          <w:sz w:val="32"/>
          <w:szCs w:val="32"/>
        </w:rPr>
        <w:t>四是</w:t>
      </w:r>
      <w:r>
        <w:rPr>
          <w:rFonts w:eastAsia="仿宋_GB2312"/>
          <w:sz w:val="32"/>
          <w:szCs w:val="32"/>
        </w:rPr>
        <w:t>全面落实金融业支持企业发展政策，</w:t>
      </w:r>
      <w:r>
        <w:rPr>
          <w:rFonts w:eastAsia="仿宋_GB2312"/>
          <w:sz w:val="32"/>
          <w:szCs w:val="32"/>
          <w:lang w:val="zh-CN"/>
        </w:rPr>
        <w:t>拓展</w:t>
      </w:r>
      <w:r>
        <w:rPr>
          <w:rFonts w:hint="eastAsia" w:eastAsia="仿宋_GB2312"/>
          <w:sz w:val="32"/>
          <w:szCs w:val="32"/>
          <w:lang w:val="zh-CN"/>
        </w:rPr>
        <w:t>金融</w:t>
      </w:r>
      <w:r>
        <w:rPr>
          <w:rFonts w:eastAsia="仿宋_GB2312"/>
          <w:sz w:val="32"/>
          <w:szCs w:val="32"/>
          <w:lang w:val="zh-CN"/>
        </w:rPr>
        <w:t>示范区普惠金融服务深度和广度，</w:t>
      </w:r>
      <w:r>
        <w:rPr>
          <w:rFonts w:hint="eastAsia" w:eastAsia="仿宋_GB2312"/>
          <w:sz w:val="32"/>
          <w:szCs w:val="32"/>
        </w:rPr>
        <w:t>落实“昆易贷”</w:t>
      </w:r>
      <w:r>
        <w:rPr>
          <w:rFonts w:hint="eastAsia" w:eastAsia="仿宋_GB2312"/>
          <w:sz w:val="32"/>
          <w:szCs w:val="32"/>
          <w:lang w:eastAsia="zh-CN"/>
        </w:rPr>
        <w:t>政策</w:t>
      </w:r>
      <w:r>
        <w:rPr>
          <w:rFonts w:hint="eastAsia" w:eastAsia="仿宋_GB2312"/>
          <w:sz w:val="32"/>
          <w:szCs w:val="32"/>
        </w:rPr>
        <w:t>共</w:t>
      </w:r>
      <w:r>
        <w:rPr>
          <w:rFonts w:hint="eastAsia" w:eastAsia="仿宋_GB2312"/>
          <w:color w:val="auto"/>
          <w:sz w:val="32"/>
          <w:szCs w:val="32"/>
          <w:highlight w:val="none"/>
          <w:lang w:val="en-US" w:eastAsia="zh-CN"/>
        </w:rPr>
        <w:t>96</w:t>
      </w:r>
      <w:r>
        <w:rPr>
          <w:rFonts w:hint="eastAsia" w:eastAsia="仿宋_GB2312"/>
          <w:color w:val="auto"/>
          <w:sz w:val="32"/>
          <w:szCs w:val="32"/>
          <w:highlight w:val="none"/>
        </w:rPr>
        <w:t>户</w:t>
      </w:r>
      <w:r>
        <w:rPr>
          <w:rFonts w:hint="eastAsia" w:eastAsia="仿宋_GB2312"/>
          <w:color w:val="auto"/>
          <w:sz w:val="32"/>
          <w:szCs w:val="32"/>
        </w:rPr>
        <w:t>企业加入白名单，</w:t>
      </w:r>
      <w:r>
        <w:rPr>
          <w:rFonts w:hint="eastAsia" w:eastAsia="仿宋_GB2312"/>
          <w:color w:val="auto"/>
          <w:sz w:val="32"/>
          <w:szCs w:val="32"/>
          <w:highlight w:val="none"/>
          <w:lang w:eastAsia="zh-CN"/>
        </w:rPr>
        <w:t>授</w:t>
      </w:r>
      <w:r>
        <w:rPr>
          <w:rFonts w:hint="eastAsia" w:eastAsia="仿宋_GB2312"/>
          <w:color w:val="auto"/>
          <w:sz w:val="32"/>
          <w:szCs w:val="32"/>
          <w:highlight w:val="none"/>
        </w:rPr>
        <w:t>信</w:t>
      </w:r>
      <w:r>
        <w:rPr>
          <w:rFonts w:hint="eastAsia" w:eastAsia="仿宋_GB2312"/>
          <w:color w:val="auto"/>
          <w:sz w:val="32"/>
          <w:szCs w:val="32"/>
          <w:highlight w:val="none"/>
          <w:lang w:eastAsia="zh-CN"/>
        </w:rPr>
        <w:t>金额</w:t>
      </w:r>
      <w:r>
        <w:rPr>
          <w:rFonts w:hint="eastAsia" w:eastAsia="仿宋_GB2312"/>
          <w:color w:val="auto"/>
          <w:sz w:val="32"/>
          <w:szCs w:val="32"/>
          <w:highlight w:val="none"/>
          <w:lang w:val="en-US" w:eastAsia="zh-CN"/>
        </w:rPr>
        <w:t>8</w:t>
      </w:r>
      <w:r>
        <w:rPr>
          <w:rFonts w:hint="eastAsia" w:eastAsia="仿宋_GB2312"/>
          <w:color w:val="auto"/>
          <w:sz w:val="32"/>
          <w:szCs w:val="32"/>
          <w:highlight w:val="none"/>
        </w:rPr>
        <w:t>,1</w:t>
      </w:r>
      <w:r>
        <w:rPr>
          <w:rFonts w:hint="eastAsia" w:eastAsia="仿宋_GB2312"/>
          <w:color w:val="auto"/>
          <w:sz w:val="32"/>
          <w:szCs w:val="32"/>
          <w:highlight w:val="none"/>
          <w:lang w:val="en-US" w:eastAsia="zh-CN"/>
        </w:rPr>
        <w:t>55</w:t>
      </w:r>
      <w:r>
        <w:rPr>
          <w:rFonts w:hint="eastAsia" w:eastAsia="仿宋_GB2312"/>
          <w:color w:val="auto"/>
          <w:sz w:val="32"/>
          <w:szCs w:val="32"/>
          <w:highlight w:val="none"/>
        </w:rPr>
        <w:t>万元</w:t>
      </w:r>
      <w:r>
        <w:rPr>
          <w:rFonts w:hint="eastAsia" w:eastAsia="仿宋_GB2312"/>
          <w:sz w:val="32"/>
          <w:szCs w:val="32"/>
        </w:rPr>
        <w:t>，</w:t>
      </w:r>
      <w:r>
        <w:rPr>
          <w:rFonts w:hint="eastAsia" w:eastAsia="仿宋_GB2312"/>
          <w:sz w:val="32"/>
          <w:szCs w:val="32"/>
          <w:lang w:eastAsia="zh-CN"/>
        </w:rPr>
        <w:t>助力企业融资。</w:t>
      </w:r>
    </w:p>
    <w:p w14:paraId="245FE1FB">
      <w:pPr>
        <w:tabs>
          <w:tab w:val="left" w:pos="4830"/>
          <w:tab w:val="left" w:pos="8640"/>
        </w:tabs>
        <w:spacing w:line="600" w:lineRule="exact"/>
        <w:ind w:firstLine="640" w:firstLineChars="200"/>
        <w:outlineLvl w:val="0"/>
        <w:rPr>
          <w:rFonts w:eastAsia="楷体_GB2312"/>
          <w:b/>
          <w:bCs/>
          <w:kern w:val="32"/>
          <w:sz w:val="32"/>
          <w:szCs w:val="32"/>
        </w:rPr>
      </w:pPr>
      <w:r>
        <w:rPr>
          <w:rFonts w:eastAsia="楷体_GB2312"/>
          <w:kern w:val="32"/>
          <w:sz w:val="32"/>
          <w:szCs w:val="32"/>
        </w:rPr>
        <w:t>（二）优化支出结构保重点，民生保障坚强有力</w:t>
      </w:r>
    </w:p>
    <w:p w14:paraId="28042504">
      <w:pPr>
        <w:tabs>
          <w:tab w:val="left" w:pos="4830"/>
          <w:tab w:val="left" w:pos="8640"/>
        </w:tabs>
        <w:spacing w:line="600" w:lineRule="exact"/>
        <w:ind w:firstLine="640" w:firstLineChars="200"/>
        <w:rPr>
          <w:rFonts w:eastAsia="仿宋_GB2312"/>
          <w:sz w:val="32"/>
          <w:szCs w:val="32"/>
        </w:rPr>
      </w:pPr>
      <w:r>
        <w:rPr>
          <w:rFonts w:eastAsia="仿宋_GB2312"/>
          <w:sz w:val="32"/>
          <w:szCs w:val="32"/>
        </w:rPr>
        <w:t>一般公共预算支出</w:t>
      </w:r>
      <w:r>
        <w:rPr>
          <w:rFonts w:hint="eastAsia" w:eastAsia="仿宋_GB2312"/>
          <w:sz w:val="32"/>
          <w:szCs w:val="32"/>
        </w:rPr>
        <w:t>219,713</w:t>
      </w:r>
      <w:r>
        <w:rPr>
          <w:rFonts w:eastAsia="仿宋_GB2312"/>
          <w:sz w:val="32"/>
          <w:szCs w:val="32"/>
        </w:rPr>
        <w:t>万元，其中涉及民生领域支出</w:t>
      </w:r>
      <w:r>
        <w:rPr>
          <w:rFonts w:hint="eastAsia" w:eastAsia="仿宋_GB2312"/>
          <w:kern w:val="32"/>
          <w:sz w:val="32"/>
          <w:szCs w:val="32"/>
        </w:rPr>
        <w:t>163,544</w:t>
      </w:r>
      <w:r>
        <w:rPr>
          <w:rFonts w:eastAsia="仿宋_GB2312"/>
          <w:sz w:val="32"/>
          <w:szCs w:val="32"/>
        </w:rPr>
        <w:t>万元，占一般公共预算支出的</w:t>
      </w:r>
      <w:r>
        <w:rPr>
          <w:rFonts w:hint="eastAsia" w:eastAsia="仿宋_GB2312"/>
          <w:kern w:val="32"/>
          <w:sz w:val="32"/>
          <w:szCs w:val="32"/>
        </w:rPr>
        <w:t>74.44</w:t>
      </w:r>
      <w:r>
        <w:rPr>
          <w:rFonts w:eastAsia="仿宋_GB2312"/>
          <w:sz w:val="32"/>
          <w:szCs w:val="32"/>
        </w:rPr>
        <w:t>%。</w:t>
      </w:r>
    </w:p>
    <w:p w14:paraId="3B01ADBD">
      <w:pPr>
        <w:spacing w:line="600" w:lineRule="exact"/>
        <w:ind w:firstLine="643" w:firstLineChars="200"/>
        <w:rPr>
          <w:rFonts w:hint="eastAsia" w:eastAsia="仿宋_GB2312"/>
          <w:sz w:val="32"/>
          <w:szCs w:val="32"/>
        </w:rPr>
      </w:pPr>
      <w:r>
        <w:rPr>
          <w:rFonts w:eastAsia="仿宋_GB2312"/>
          <w:b/>
          <w:sz w:val="32"/>
          <w:szCs w:val="32"/>
        </w:rPr>
        <w:t>一是保障教育资金投入，着力建设教育强区。</w:t>
      </w:r>
      <w:r>
        <w:rPr>
          <w:rFonts w:eastAsia="仿宋_GB2312"/>
          <w:sz w:val="32"/>
          <w:szCs w:val="32"/>
        </w:rPr>
        <w:t>教育支出</w:t>
      </w:r>
      <w:r>
        <w:rPr>
          <w:rFonts w:hint="eastAsia" w:eastAsia="仿宋_GB2312"/>
          <w:sz w:val="32"/>
          <w:szCs w:val="32"/>
        </w:rPr>
        <w:t>52,582</w:t>
      </w:r>
      <w:r>
        <w:rPr>
          <w:rFonts w:eastAsia="仿宋_GB2312"/>
          <w:sz w:val="32"/>
          <w:szCs w:val="32"/>
        </w:rPr>
        <w:t>万元，</w:t>
      </w:r>
      <w:r>
        <w:rPr>
          <w:rFonts w:hint="eastAsia" w:eastAsia="仿宋_GB2312"/>
          <w:sz w:val="32"/>
          <w:szCs w:val="32"/>
        </w:rPr>
        <w:t>重点落实义务教育经费保障机制，强化教师队伍建设和办学条件改善，</w:t>
      </w:r>
      <w:r>
        <w:rPr>
          <w:rFonts w:eastAsia="仿宋_GB2312"/>
          <w:bCs/>
          <w:sz w:val="32"/>
          <w:szCs w:val="32"/>
        </w:rPr>
        <w:t>深化与云南师范大学、云南财经大学等高校合作办学</w:t>
      </w:r>
      <w:r>
        <w:rPr>
          <w:rFonts w:hint="eastAsia" w:eastAsia="仿宋_GB2312"/>
          <w:bCs/>
          <w:sz w:val="32"/>
          <w:szCs w:val="32"/>
        </w:rPr>
        <w:t>，</w:t>
      </w:r>
      <w:r>
        <w:rPr>
          <w:rFonts w:hint="eastAsia" w:eastAsia="仿宋_GB2312"/>
          <w:sz w:val="32"/>
          <w:szCs w:val="32"/>
        </w:rPr>
        <w:t>支持龙江片区配建48班小学建设，</w:t>
      </w:r>
      <w:r>
        <w:rPr>
          <w:rFonts w:eastAsia="仿宋_GB2312"/>
          <w:sz w:val="32"/>
          <w:szCs w:val="32"/>
        </w:rPr>
        <w:t>推动全区教育事业高质量发展。</w:t>
      </w:r>
      <w:r>
        <w:rPr>
          <w:rFonts w:eastAsia="仿宋_GB2312"/>
          <w:b/>
          <w:sz w:val="32"/>
          <w:szCs w:val="32"/>
        </w:rPr>
        <w:t>二是助力卫健事业发展，夯实公共卫生基础。</w:t>
      </w:r>
      <w:r>
        <w:rPr>
          <w:rFonts w:eastAsia="仿宋_GB2312"/>
          <w:sz w:val="32"/>
          <w:szCs w:val="32"/>
        </w:rPr>
        <w:t>卫生健康支出</w:t>
      </w:r>
      <w:r>
        <w:rPr>
          <w:rFonts w:hint="eastAsia" w:eastAsia="仿宋_GB2312"/>
          <w:sz w:val="32"/>
          <w:szCs w:val="32"/>
        </w:rPr>
        <w:t>18,925</w:t>
      </w:r>
      <w:r>
        <w:rPr>
          <w:rFonts w:eastAsia="仿宋_GB2312"/>
          <w:sz w:val="32"/>
          <w:szCs w:val="32"/>
        </w:rPr>
        <w:t>万元，</w:t>
      </w:r>
      <w:r>
        <w:rPr>
          <w:rFonts w:hint="eastAsia" w:eastAsia="仿宋_GB2312"/>
          <w:sz w:val="32"/>
          <w:szCs w:val="32"/>
        </w:rPr>
        <w:t>重点用于全区医疗服务体系配套综合改革、区人民医院改扩建、盘龙区医疗卫生能力提升及</w:t>
      </w:r>
      <w:r>
        <w:rPr>
          <w:rFonts w:eastAsia="仿宋_GB2312"/>
          <w:sz w:val="32"/>
          <w:szCs w:val="32"/>
        </w:rPr>
        <w:t>乡村医生综合能力提升</w:t>
      </w:r>
      <w:r>
        <w:rPr>
          <w:rFonts w:hint="eastAsia" w:eastAsia="仿宋_GB2312"/>
          <w:sz w:val="32"/>
          <w:szCs w:val="32"/>
        </w:rPr>
        <w:t>等工作，</w:t>
      </w:r>
      <w:r>
        <w:rPr>
          <w:rFonts w:eastAsia="仿宋_GB2312"/>
          <w:sz w:val="32"/>
          <w:szCs w:val="32"/>
        </w:rPr>
        <w:t>切实建强建实我区基本医疗和公共卫生服务的</w:t>
      </w:r>
      <w:r>
        <w:rPr>
          <w:rFonts w:hint="eastAsia" w:eastAsia="仿宋_GB2312"/>
          <w:sz w:val="32"/>
          <w:szCs w:val="32"/>
        </w:rPr>
        <w:t>体系建设</w:t>
      </w:r>
      <w:r>
        <w:rPr>
          <w:rFonts w:eastAsia="仿宋_GB2312"/>
          <w:sz w:val="32"/>
          <w:szCs w:val="32"/>
        </w:rPr>
        <w:t>。</w:t>
      </w:r>
      <w:r>
        <w:rPr>
          <w:rFonts w:eastAsia="仿宋_GB2312"/>
          <w:b/>
          <w:bCs/>
          <w:sz w:val="32"/>
          <w:szCs w:val="32"/>
        </w:rPr>
        <w:t>三是持续提高社保水平</w:t>
      </w:r>
      <w:r>
        <w:rPr>
          <w:rFonts w:eastAsia="仿宋_GB2312"/>
          <w:b/>
          <w:sz w:val="32"/>
          <w:szCs w:val="32"/>
        </w:rPr>
        <w:t>，健全社会保障体系。</w:t>
      </w:r>
      <w:r>
        <w:rPr>
          <w:rFonts w:eastAsia="仿宋_GB2312"/>
          <w:sz w:val="32"/>
          <w:szCs w:val="32"/>
        </w:rPr>
        <w:t>社会保障和就业支出</w:t>
      </w:r>
      <w:r>
        <w:rPr>
          <w:rFonts w:hint="eastAsia" w:eastAsia="仿宋_GB2312"/>
          <w:sz w:val="32"/>
          <w:szCs w:val="32"/>
        </w:rPr>
        <w:t>50,773</w:t>
      </w:r>
      <w:r>
        <w:rPr>
          <w:rFonts w:eastAsia="仿宋_GB2312"/>
          <w:sz w:val="32"/>
          <w:szCs w:val="32"/>
        </w:rPr>
        <w:t>万元，重点</w:t>
      </w:r>
      <w:r>
        <w:rPr>
          <w:rFonts w:hint="eastAsia" w:eastAsia="仿宋_GB2312"/>
          <w:sz w:val="32"/>
          <w:szCs w:val="32"/>
        </w:rPr>
        <w:t>支持</w:t>
      </w:r>
      <w:r>
        <w:rPr>
          <w:rFonts w:eastAsia="仿宋_GB2312"/>
          <w:sz w:val="32"/>
          <w:szCs w:val="32"/>
        </w:rPr>
        <w:t>用于</w:t>
      </w:r>
      <w:r>
        <w:rPr>
          <w:rFonts w:hint="eastAsia" w:eastAsia="仿宋_GB2312"/>
          <w:sz w:val="32"/>
          <w:szCs w:val="32"/>
        </w:rPr>
        <w:t>困难群众救助、优抚对象抚恤、街道（社区）养老服务中心和老年人幸福食堂建设等支出，</w:t>
      </w:r>
      <w:r>
        <w:rPr>
          <w:rFonts w:eastAsia="仿宋_GB2312"/>
          <w:sz w:val="32"/>
          <w:szCs w:val="32"/>
        </w:rPr>
        <w:t>进一步</w:t>
      </w:r>
      <w:r>
        <w:rPr>
          <w:rFonts w:hint="eastAsia" w:eastAsia="仿宋_GB2312"/>
          <w:sz w:val="32"/>
          <w:szCs w:val="32"/>
        </w:rPr>
        <w:t>推进我区三级养老服务体系完善，</w:t>
      </w:r>
      <w:r>
        <w:rPr>
          <w:rFonts w:eastAsia="仿宋_GB2312"/>
          <w:sz w:val="32"/>
          <w:szCs w:val="32"/>
        </w:rPr>
        <w:t>兜牢我区基本民生保障底线，不断提高民生保障水平。</w:t>
      </w:r>
      <w:r>
        <w:rPr>
          <w:rFonts w:eastAsia="仿宋_GB2312"/>
          <w:b/>
          <w:bCs/>
          <w:sz w:val="32"/>
          <w:szCs w:val="32"/>
        </w:rPr>
        <w:t>四是推进基层文化繁荣，强化公共文化服务。</w:t>
      </w:r>
      <w:r>
        <w:rPr>
          <w:rFonts w:eastAsia="仿宋_GB2312"/>
          <w:sz w:val="32"/>
          <w:szCs w:val="32"/>
        </w:rPr>
        <w:t>文化旅游体育与传媒支出</w:t>
      </w:r>
      <w:r>
        <w:rPr>
          <w:rFonts w:hint="eastAsia" w:eastAsia="仿宋_GB2312"/>
          <w:sz w:val="32"/>
          <w:szCs w:val="32"/>
        </w:rPr>
        <w:t>1,790</w:t>
      </w:r>
      <w:r>
        <w:rPr>
          <w:rFonts w:eastAsia="仿宋_GB2312"/>
          <w:sz w:val="32"/>
          <w:szCs w:val="32"/>
        </w:rPr>
        <w:t>万元，</w:t>
      </w:r>
      <w:r>
        <w:rPr>
          <w:rFonts w:hint="eastAsia" w:eastAsia="仿宋_GB2312"/>
          <w:sz w:val="32"/>
          <w:szCs w:val="32"/>
        </w:rPr>
        <w:t>助力盘龙区第43届盘龙江文化艺术节筹办、重点文物修缮及非遗文化传承，基层文化公共基础设施提档升级，推动盘龙区文化事业蓬勃发展。</w:t>
      </w:r>
      <w:r>
        <w:rPr>
          <w:rFonts w:eastAsia="仿宋_GB2312"/>
          <w:b/>
          <w:sz w:val="32"/>
          <w:szCs w:val="32"/>
        </w:rPr>
        <w:t>五是支持城市精细化管理，提升城市发展品质。</w:t>
      </w:r>
      <w:r>
        <w:rPr>
          <w:rFonts w:eastAsia="仿宋_GB2312"/>
          <w:sz w:val="32"/>
          <w:szCs w:val="32"/>
        </w:rPr>
        <w:t>城乡社区支出</w:t>
      </w:r>
      <w:r>
        <w:rPr>
          <w:rFonts w:hint="eastAsia" w:eastAsia="仿宋_GB2312"/>
          <w:sz w:val="32"/>
          <w:szCs w:val="32"/>
        </w:rPr>
        <w:t>16,902</w:t>
      </w:r>
      <w:r>
        <w:rPr>
          <w:rFonts w:eastAsia="仿宋_GB2312"/>
          <w:sz w:val="32"/>
          <w:szCs w:val="32"/>
        </w:rPr>
        <w:t>万元，重点用于支持环卫一体化主城区全覆盖、</w:t>
      </w:r>
      <w:r>
        <w:rPr>
          <w:rFonts w:hint="eastAsia" w:eastAsia="仿宋_GB2312"/>
          <w:sz w:val="32"/>
          <w:szCs w:val="32"/>
        </w:rPr>
        <w:t>城区“雨污分流”工程及</w:t>
      </w:r>
      <w:r>
        <w:rPr>
          <w:rFonts w:eastAsia="仿宋_GB2312"/>
          <w:sz w:val="32"/>
          <w:szCs w:val="32"/>
        </w:rPr>
        <w:t>绿化提升工程</w:t>
      </w:r>
      <w:r>
        <w:rPr>
          <w:rFonts w:hint="eastAsia" w:eastAsia="仿宋_GB2312"/>
          <w:sz w:val="32"/>
          <w:szCs w:val="32"/>
        </w:rPr>
        <w:t>，持续推进</w:t>
      </w:r>
      <w:r>
        <w:rPr>
          <w:rFonts w:eastAsia="仿宋_GB2312"/>
          <w:sz w:val="32"/>
          <w:szCs w:val="32"/>
        </w:rPr>
        <w:t>“</w:t>
      </w:r>
      <w:r>
        <w:rPr>
          <w:rFonts w:hint="eastAsia" w:eastAsia="仿宋_GB2312"/>
          <w:sz w:val="32"/>
          <w:szCs w:val="32"/>
        </w:rPr>
        <w:t>绿美城市</w:t>
      </w:r>
      <w:r>
        <w:rPr>
          <w:rFonts w:eastAsia="仿宋_GB2312"/>
          <w:sz w:val="32"/>
          <w:szCs w:val="32"/>
        </w:rPr>
        <w:t>”建设，促进城市品牌形象提升。</w:t>
      </w:r>
      <w:r>
        <w:rPr>
          <w:rFonts w:eastAsia="仿宋_GB2312"/>
          <w:b/>
          <w:bCs/>
          <w:kern w:val="32"/>
          <w:sz w:val="32"/>
          <w:szCs w:val="32"/>
        </w:rPr>
        <w:t>六是加强生态文明建设，推动全区绿色发展。</w:t>
      </w:r>
      <w:r>
        <w:rPr>
          <w:rFonts w:eastAsia="仿宋_GB2312"/>
          <w:kern w:val="32"/>
          <w:sz w:val="32"/>
          <w:szCs w:val="32"/>
        </w:rPr>
        <w:t>节能环保支出</w:t>
      </w:r>
      <w:r>
        <w:rPr>
          <w:rFonts w:hint="eastAsia" w:eastAsia="仿宋_GB2312"/>
          <w:sz w:val="32"/>
          <w:szCs w:val="32"/>
        </w:rPr>
        <w:t>4,645</w:t>
      </w:r>
      <w:r>
        <w:rPr>
          <w:rFonts w:eastAsia="仿宋_GB2312"/>
          <w:kern w:val="32"/>
          <w:sz w:val="32"/>
          <w:szCs w:val="32"/>
        </w:rPr>
        <w:t>万元，推进</w:t>
      </w:r>
      <w:r>
        <w:rPr>
          <w:rFonts w:hint="eastAsia" w:eastAsia="仿宋_GB2312"/>
          <w:kern w:val="32"/>
          <w:sz w:val="32"/>
          <w:szCs w:val="32"/>
        </w:rPr>
        <w:t>绿美盘龙、海绵示范城市建设，重点用于松华坝生态修复项目、农村一体化污水处理设施提升改造工程等，推动盘龙区绿色低碳发展。</w:t>
      </w:r>
      <w:r>
        <w:rPr>
          <w:rFonts w:eastAsia="仿宋_GB2312"/>
          <w:b/>
          <w:bCs/>
          <w:sz w:val="32"/>
          <w:szCs w:val="32"/>
        </w:rPr>
        <w:t>七是加大“三农”资金投入，全面推进乡村振兴。</w:t>
      </w:r>
      <w:r>
        <w:rPr>
          <w:rFonts w:hint="eastAsia" w:eastAsia="仿宋_GB2312"/>
          <w:sz w:val="32"/>
          <w:szCs w:val="32"/>
        </w:rPr>
        <w:t>农林水支出9,801万元，重点用于</w:t>
      </w:r>
      <w:r>
        <w:rPr>
          <w:rFonts w:hint="eastAsia" w:eastAsia="仿宋_GB2312"/>
          <w:sz w:val="32"/>
          <w:szCs w:val="32"/>
          <w:lang w:eastAsia="zh-CN"/>
        </w:rPr>
        <w:t>巩固拓展脱贫攻坚成果同乡村振兴有效衔接</w:t>
      </w:r>
      <w:r>
        <w:rPr>
          <w:rFonts w:hint="eastAsia" w:eastAsia="仿宋_GB2312"/>
          <w:sz w:val="32"/>
          <w:szCs w:val="32"/>
        </w:rPr>
        <w:t>工作，认真落实强农惠农政策，稳步推进黄龙供水工程水厂，助力国家有机食品生产基地创建、哈马者至源清水库公路等项目建设，奋力开创乡村振兴新局面。</w:t>
      </w:r>
    </w:p>
    <w:p w14:paraId="4BFD9FAB">
      <w:pPr>
        <w:numPr>
          <w:ilvl w:val="0"/>
          <w:numId w:val="1"/>
        </w:numPr>
        <w:pBdr>
          <w:bottom w:val="single" w:color="FFFFFF" w:sz="4" w:space="31"/>
        </w:pBdr>
        <w:tabs>
          <w:tab w:val="left" w:pos="4830"/>
          <w:tab w:val="left" w:pos="8640"/>
        </w:tabs>
        <w:spacing w:line="600" w:lineRule="exact"/>
        <w:ind w:firstLine="640" w:firstLineChars="200"/>
        <w:rPr>
          <w:rFonts w:eastAsia="仿宋_GB2312"/>
          <w:sz w:val="32"/>
          <w:szCs w:val="32"/>
        </w:rPr>
      </w:pPr>
      <w:r>
        <w:rPr>
          <w:rFonts w:eastAsia="楷体"/>
          <w:sz w:val="32"/>
          <w:szCs w:val="32"/>
        </w:rPr>
        <w:t>深化改革创新增活力，财政管理提质增效</w:t>
      </w:r>
    </w:p>
    <w:p w14:paraId="2B9D8EDD">
      <w:pPr>
        <w:pBdr>
          <w:bottom w:val="single" w:color="FFFFFF" w:sz="4" w:space="31"/>
        </w:pBdr>
        <w:tabs>
          <w:tab w:val="left" w:pos="4830"/>
          <w:tab w:val="left" w:pos="8640"/>
        </w:tabs>
        <w:spacing w:line="600" w:lineRule="exact"/>
        <w:ind w:firstLine="643" w:firstLineChars="200"/>
        <w:rPr>
          <w:rFonts w:eastAsia="仿宋_GB2312"/>
          <w:sz w:val="32"/>
          <w:szCs w:val="32"/>
        </w:rPr>
      </w:pPr>
      <w:r>
        <w:rPr>
          <w:rFonts w:eastAsia="仿宋_GB2312"/>
          <w:b/>
          <w:bCs/>
          <w:sz w:val="32"/>
          <w:szCs w:val="32"/>
          <w:highlight w:val="none"/>
        </w:rPr>
        <w:t>一是</w:t>
      </w:r>
      <w:r>
        <w:rPr>
          <w:rFonts w:eastAsia="仿宋_GB2312"/>
          <w:sz w:val="32"/>
          <w:szCs w:val="32"/>
          <w:highlight w:val="none"/>
          <w:lang w:val="zh-CN"/>
        </w:rPr>
        <w:t>持续加强预算管理。</w:t>
      </w:r>
      <w:r>
        <w:rPr>
          <w:rFonts w:hint="eastAsia" w:eastAsia="仿宋_GB2312"/>
          <w:sz w:val="32"/>
          <w:szCs w:val="32"/>
          <w:highlight w:val="none"/>
          <w:lang w:val="zh-CN"/>
        </w:rPr>
        <w:t>严格执行人大批准的预算，严控新增支出、</w:t>
      </w:r>
      <w:r>
        <w:rPr>
          <w:rFonts w:hint="eastAsia" w:eastAsia="仿宋_GB2312"/>
          <w:color w:val="auto"/>
          <w:sz w:val="32"/>
          <w:szCs w:val="32"/>
          <w:highlight w:val="none"/>
          <w:lang w:val="zh-CN"/>
        </w:rPr>
        <w:t>规范预算调剂管理、强化预算执行约束，当好“铁公鸡”，打好“铁算盘”，努力把每一分钱都用在刀刃上、紧要处，</w:t>
      </w:r>
      <w:r>
        <w:rPr>
          <w:rFonts w:eastAsia="仿宋_GB2312"/>
          <w:color w:val="auto"/>
          <w:sz w:val="32"/>
          <w:szCs w:val="32"/>
          <w:highlight w:val="none"/>
          <w:lang w:val="zh-CN"/>
        </w:rPr>
        <w:t>提高预算管理水平和财政资源配置效率。</w:t>
      </w:r>
      <w:r>
        <w:rPr>
          <w:rFonts w:hint="default" w:ascii="Times New Roman" w:hAnsi="Times New Roman" w:eastAsia="仿宋_GB2312" w:cs="Times New Roman"/>
          <w:b/>
          <w:sz w:val="32"/>
          <w:szCs w:val="32"/>
          <w:highlight w:val="none"/>
        </w:rPr>
        <w:t>二是</w:t>
      </w:r>
      <w:r>
        <w:rPr>
          <w:rFonts w:hint="eastAsia" w:eastAsia="仿宋_GB2312"/>
          <w:sz w:val="32"/>
          <w:szCs w:val="32"/>
          <w:highlight w:val="none"/>
          <w:lang w:val="zh-CN" w:eastAsia="zh-CN"/>
        </w:rPr>
        <w:t>加大存量资金清理盘活力度</w:t>
      </w:r>
      <w:r>
        <w:rPr>
          <w:rFonts w:hint="eastAsia" w:eastAsia="仿宋_GB2312"/>
          <w:sz w:val="32"/>
          <w:szCs w:val="32"/>
          <w:highlight w:val="none"/>
          <w:lang w:val="en-US" w:eastAsia="zh-CN"/>
        </w:rPr>
        <w:t>，统筹约1.38亿元用于区级产业发展扶持、</w:t>
      </w:r>
      <w:r>
        <w:rPr>
          <w:rFonts w:hint="eastAsia" w:eastAsia="仿宋_GB2312"/>
          <w:sz w:val="32"/>
          <w:szCs w:val="32"/>
          <w:highlight w:val="none"/>
          <w:lang w:val="zh-CN" w:eastAsia="zh-CN"/>
        </w:rPr>
        <w:t>延安医院过街人行天桥建设、妇幼健康服务中心提升等项目</w:t>
      </w:r>
      <w:r>
        <w:rPr>
          <w:rFonts w:hint="eastAsia" w:eastAsia="仿宋_GB2312"/>
          <w:sz w:val="32"/>
          <w:szCs w:val="32"/>
          <w:highlight w:val="none"/>
          <w:lang w:val="en-US" w:eastAsia="zh-CN"/>
        </w:rPr>
        <w:t>，继续</w:t>
      </w:r>
      <w:r>
        <w:rPr>
          <w:rFonts w:hint="default" w:eastAsia="仿宋_GB2312"/>
          <w:sz w:val="32"/>
          <w:szCs w:val="32"/>
          <w:highlight w:val="none"/>
          <w:lang w:val="zh-CN" w:eastAsia="zh-CN"/>
        </w:rPr>
        <w:t>巩</w:t>
      </w:r>
      <w:r>
        <w:rPr>
          <w:rFonts w:hint="default" w:eastAsia="仿宋_GB2312"/>
          <w:sz w:val="32"/>
          <w:szCs w:val="32"/>
          <w:highlight w:val="none"/>
          <w:lang w:val="zh-CN"/>
        </w:rPr>
        <w:t>固财政存量资金清理长效机制，规范财政往来款管理，提高财政结余结转资金的统筹使用力度，增强财政统筹调配能力</w:t>
      </w:r>
      <w:r>
        <w:rPr>
          <w:rFonts w:hint="eastAsia" w:eastAsia="仿宋_GB2312"/>
          <w:sz w:val="32"/>
          <w:szCs w:val="32"/>
          <w:highlight w:val="none"/>
          <w:lang w:val="zh-CN"/>
        </w:rPr>
        <w:t>和</w:t>
      </w:r>
      <w:r>
        <w:rPr>
          <w:rFonts w:hint="default" w:eastAsia="仿宋_GB2312"/>
          <w:sz w:val="32"/>
          <w:szCs w:val="32"/>
          <w:highlight w:val="none"/>
          <w:lang w:val="zh-CN"/>
        </w:rPr>
        <w:t>财政资金使用效益</w:t>
      </w:r>
      <w:r>
        <w:rPr>
          <w:rFonts w:hint="eastAsia" w:eastAsia="仿宋_GB2312" w:cs="Times New Roman"/>
          <w:sz w:val="32"/>
          <w:szCs w:val="32"/>
          <w:highlight w:val="none"/>
          <w:lang w:eastAsia="zh-CN"/>
        </w:rPr>
        <w:t>。三</w:t>
      </w:r>
      <w:r>
        <w:rPr>
          <w:rFonts w:eastAsia="仿宋_GB2312"/>
          <w:b/>
          <w:bCs/>
          <w:sz w:val="32"/>
          <w:szCs w:val="32"/>
          <w:highlight w:val="none"/>
        </w:rPr>
        <w:t>是</w:t>
      </w:r>
      <w:r>
        <w:rPr>
          <w:rFonts w:eastAsia="仿宋_GB2312"/>
          <w:sz w:val="32"/>
          <w:szCs w:val="32"/>
          <w:highlight w:val="none"/>
        </w:rPr>
        <w:t>推进财务报告改革工作。严格对照省市要求开展财务报告改</w:t>
      </w:r>
      <w:r>
        <w:rPr>
          <w:rFonts w:eastAsia="仿宋_GB2312"/>
          <w:sz w:val="32"/>
          <w:szCs w:val="32"/>
        </w:rPr>
        <w:t>革相关业务，实现会计业务从账务登记到财务报告生成全流程信息化管理。</w:t>
      </w:r>
      <w:r>
        <w:rPr>
          <w:rFonts w:hint="eastAsia" w:eastAsia="仿宋_GB2312" w:cs="Times New Roman"/>
          <w:b/>
          <w:bCs/>
          <w:sz w:val="32"/>
          <w:szCs w:val="32"/>
          <w:highlight w:val="none"/>
          <w:lang w:eastAsia="zh-CN"/>
        </w:rPr>
        <w:t>四是</w:t>
      </w:r>
      <w:r>
        <w:rPr>
          <w:rFonts w:eastAsia="仿宋_GB2312"/>
          <w:sz w:val="32"/>
          <w:szCs w:val="32"/>
        </w:rPr>
        <w:t>持续深化政府采购改革工作，推进政府采购全流程电子化交易，加强推广线上“政采贷”及政府采购保证保险业务。</w:t>
      </w:r>
    </w:p>
    <w:p w14:paraId="4C9AB00E">
      <w:pPr>
        <w:pBdr>
          <w:bottom w:val="single" w:color="FFFFFF" w:sz="4" w:space="31"/>
        </w:pBdr>
        <w:tabs>
          <w:tab w:val="left" w:pos="4830"/>
          <w:tab w:val="left" w:pos="8640"/>
        </w:tabs>
        <w:spacing w:line="600" w:lineRule="exact"/>
        <w:ind w:firstLine="640" w:firstLineChars="200"/>
        <w:rPr>
          <w:rFonts w:eastAsia="楷体"/>
          <w:sz w:val="32"/>
          <w:szCs w:val="32"/>
        </w:rPr>
      </w:pPr>
      <w:r>
        <w:rPr>
          <w:rFonts w:eastAsia="楷体"/>
          <w:sz w:val="32"/>
          <w:szCs w:val="32"/>
        </w:rPr>
        <w:t>（四）坚持底线思维防风险，财政运行安全有序</w:t>
      </w:r>
    </w:p>
    <w:p w14:paraId="1B5C3811">
      <w:pPr>
        <w:pBdr>
          <w:bottom w:val="single" w:color="FFFFFF" w:sz="4" w:space="31"/>
        </w:pBdr>
        <w:tabs>
          <w:tab w:val="left" w:pos="4830"/>
          <w:tab w:val="left" w:pos="8640"/>
        </w:tabs>
        <w:spacing w:line="600" w:lineRule="exact"/>
        <w:ind w:firstLine="643" w:firstLineChars="200"/>
      </w:pPr>
      <w:r>
        <w:rPr>
          <w:rFonts w:eastAsia="仿宋_GB2312"/>
          <w:b/>
          <w:bCs/>
          <w:sz w:val="32"/>
          <w:szCs w:val="32"/>
        </w:rPr>
        <w:t>一是</w:t>
      </w:r>
      <w:r>
        <w:rPr>
          <w:rFonts w:eastAsia="仿宋_GB2312"/>
          <w:sz w:val="32"/>
          <w:szCs w:val="32"/>
        </w:rPr>
        <w:t>严格落实“三保”保障机制，健全“三保”管理制度，坚持国家和省级标准“三保”支出在财政支出中的优先顺序，大力压减非刚性、非重点支出，确保“三保”政策落实到位、“三保”预算逐项足额编列、保障基本民生落实到位、工资按时足额发放、机构正常运转</w:t>
      </w:r>
      <w:r>
        <w:rPr>
          <w:rFonts w:hint="eastAsia" w:eastAsia="仿宋_GB2312"/>
          <w:sz w:val="32"/>
          <w:szCs w:val="32"/>
        </w:rPr>
        <w:t>。</w:t>
      </w:r>
      <w:r>
        <w:rPr>
          <w:rFonts w:eastAsia="仿宋_GB2312"/>
          <w:sz w:val="32"/>
          <w:szCs w:val="32"/>
        </w:rPr>
        <w:t>上半年“三保”支出</w:t>
      </w:r>
      <w:r>
        <w:rPr>
          <w:rFonts w:hint="eastAsia" w:eastAsia="仿宋_GB2312"/>
          <w:sz w:val="32"/>
          <w:szCs w:val="32"/>
        </w:rPr>
        <w:t>完成136,018</w:t>
      </w:r>
      <w:r>
        <w:rPr>
          <w:rFonts w:eastAsia="仿宋_GB2312"/>
          <w:sz w:val="32"/>
          <w:szCs w:val="32"/>
        </w:rPr>
        <w:t>万元，切实兜实兜牢“三保”底线。</w:t>
      </w:r>
      <w:r>
        <w:rPr>
          <w:rFonts w:eastAsia="仿宋_GB2312"/>
          <w:b/>
          <w:bCs/>
          <w:sz w:val="32"/>
          <w:szCs w:val="32"/>
        </w:rPr>
        <w:t>二是</w:t>
      </w:r>
      <w:r>
        <w:rPr>
          <w:rFonts w:eastAsia="仿宋_GB2312"/>
          <w:sz w:val="32"/>
          <w:szCs w:val="32"/>
        </w:rPr>
        <w:t>加强政府债务管理，全面守住债务风险。严格债务限额管理和预算管理，规范政府举债融资行为，加强政府专项债券项目谋划、储备、申报、建设和债券资金管理使用监测，提高专项债券资金使用效益。</w:t>
      </w:r>
      <w:r>
        <w:rPr>
          <w:rFonts w:eastAsia="仿宋_GB2312"/>
          <w:b/>
          <w:bCs/>
          <w:sz w:val="32"/>
          <w:szCs w:val="32"/>
        </w:rPr>
        <w:t>三是</w:t>
      </w:r>
      <w:r>
        <w:rPr>
          <w:rFonts w:eastAsia="仿宋_GB2312"/>
          <w:sz w:val="32"/>
          <w:szCs w:val="32"/>
        </w:rPr>
        <w:t>强化财政业务风险管控与监督制衡刚性约束，</w:t>
      </w:r>
      <w:r>
        <w:rPr>
          <w:rFonts w:ascii="Times New Roman" w:hAnsi="Times New Roman" w:eastAsia="仿宋_GB2312" w:cs="Times New Roman"/>
          <w:sz w:val="32"/>
          <w:szCs w:val="32"/>
        </w:rPr>
        <w:t>加强</w:t>
      </w:r>
      <w:r>
        <w:rPr>
          <w:rFonts w:ascii="Times New Roman" w:hAnsi="Times New Roman" w:eastAsia="仿宋_GB2312" w:cs="Times New Roman"/>
          <w:color w:val="auto"/>
          <w:sz w:val="32"/>
          <w:szCs w:val="32"/>
        </w:rPr>
        <w:t>财</w:t>
      </w:r>
      <w:r>
        <w:rPr>
          <w:rFonts w:hint="eastAsia" w:ascii="Times New Roman" w:hAnsi="Times New Roman" w:eastAsia="仿宋_GB2312" w:cs="Times New Roman"/>
          <w:color w:val="auto"/>
          <w:sz w:val="32"/>
          <w:szCs w:val="32"/>
          <w:lang w:eastAsia="zh-CN"/>
        </w:rPr>
        <w:t>会</w:t>
      </w:r>
      <w:r>
        <w:rPr>
          <w:rFonts w:ascii="Times New Roman" w:hAnsi="Times New Roman" w:eastAsia="仿宋_GB2312" w:cs="Times New Roman"/>
          <w:color w:val="auto"/>
          <w:sz w:val="32"/>
          <w:szCs w:val="32"/>
        </w:rPr>
        <w:t>监督</w:t>
      </w:r>
      <w:r>
        <w:rPr>
          <w:rFonts w:ascii="Times New Roman" w:hAnsi="Times New Roman" w:eastAsia="仿宋_GB2312" w:cs="Times New Roman"/>
          <w:sz w:val="32"/>
          <w:szCs w:val="32"/>
        </w:rPr>
        <w:t>，做</w:t>
      </w:r>
      <w:r>
        <w:rPr>
          <w:rFonts w:eastAsia="仿宋_GB2312"/>
          <w:sz w:val="32"/>
          <w:szCs w:val="32"/>
        </w:rPr>
        <w:t>好盘龙区财政资金监管“清源行动”整治工作，完成2023年盘龙区财政收支真实性自查工作，清零见底整改发现问题，防范财政运行风险。</w:t>
      </w:r>
      <w:r>
        <w:rPr>
          <w:rFonts w:eastAsia="仿宋_GB2312"/>
          <w:b/>
          <w:bCs/>
          <w:sz w:val="32"/>
          <w:szCs w:val="32"/>
        </w:rPr>
        <w:t>四是</w:t>
      </w:r>
      <w:r>
        <w:rPr>
          <w:rFonts w:hint="eastAsia" w:eastAsia="仿宋_GB2312"/>
          <w:sz w:val="32"/>
          <w:szCs w:val="32"/>
        </w:rPr>
        <w:t>进一步优化财政投资评审工作，提高财政资金使用效率。引导政府投资建设项目规范管理，上半年完成建设项目评审21项，审减率14.54%。</w:t>
      </w:r>
      <w:r>
        <w:rPr>
          <w:rFonts w:eastAsia="仿宋_GB2312"/>
          <w:b/>
          <w:bCs/>
          <w:sz w:val="32"/>
          <w:szCs w:val="32"/>
        </w:rPr>
        <w:t>五是</w:t>
      </w:r>
      <w:r>
        <w:rPr>
          <w:rFonts w:eastAsia="仿宋_GB2312"/>
          <w:sz w:val="32"/>
          <w:szCs w:val="32"/>
          <w:lang w:val="zh-CN"/>
        </w:rPr>
        <w:t>强化国资管理责任意识，</w:t>
      </w:r>
      <w:r>
        <w:rPr>
          <w:rFonts w:hint="eastAsia" w:eastAsia="仿宋_GB2312"/>
          <w:sz w:val="32"/>
          <w:szCs w:val="32"/>
          <w:lang w:val="zh-CN"/>
        </w:rPr>
        <w:t>继续</w:t>
      </w:r>
      <w:r>
        <w:rPr>
          <w:rFonts w:eastAsia="仿宋_GB2312"/>
          <w:sz w:val="32"/>
          <w:szCs w:val="32"/>
          <w:lang w:val="zh-CN"/>
        </w:rPr>
        <w:t>深化新一轮区属国有企业改革，防范化解区属国有企业债务风险，确保国有资产保值增值。</w:t>
      </w:r>
    </w:p>
    <w:p w14:paraId="45A05DF2">
      <w:pPr>
        <w:pBdr>
          <w:bottom w:val="single" w:color="FFFFFF" w:sz="4" w:space="31"/>
        </w:pBdr>
        <w:tabs>
          <w:tab w:val="left" w:pos="4830"/>
          <w:tab w:val="left" w:pos="8640"/>
        </w:tabs>
        <w:spacing w:line="600" w:lineRule="exact"/>
        <w:ind w:firstLine="640" w:firstLineChars="200"/>
        <w:rPr>
          <w:rFonts w:eastAsia="仿宋_GB2312"/>
          <w:sz w:val="32"/>
          <w:szCs w:val="32"/>
        </w:rPr>
      </w:pPr>
      <w:r>
        <w:rPr>
          <w:rFonts w:eastAsia="仿宋_GB2312"/>
          <w:kern w:val="32"/>
          <w:sz w:val="32"/>
          <w:szCs w:val="32"/>
        </w:rPr>
        <w:t>上半年，在区委的坚强领导下，在区人大及其常委会的监督指导下，我们积极应对经济恢复发展中的矛盾问题与财政收支“紧平衡”压力，尽全力确保我区财政平稳运行、稳步增长。同时，我们也清醒地认识到，全区财政运行中仍存在一些不容忽视的困难和问题，主要表现在：</w:t>
      </w:r>
      <w:r>
        <w:rPr>
          <w:rFonts w:eastAsia="仿宋"/>
          <w:b/>
          <w:bCs/>
          <w:sz w:val="32"/>
          <w:szCs w:val="32"/>
        </w:rPr>
        <w:t>一是</w:t>
      </w:r>
      <w:r>
        <w:rPr>
          <w:rFonts w:eastAsia="仿宋_GB2312"/>
          <w:kern w:val="32"/>
          <w:sz w:val="32"/>
          <w:szCs w:val="32"/>
        </w:rPr>
        <w:t>财政收入持续稳定增长面临较大压力，经济增长内生动力不强、市场需求疲弱、投资消费信心不足，盘龙区产业转型不够快，财政收入依赖房地产行业的状况并未彻底改变，完成年初预期目标的</w:t>
      </w:r>
      <w:r>
        <w:rPr>
          <w:rFonts w:eastAsia="仿宋_GB2312"/>
          <w:sz w:val="32"/>
          <w:szCs w:val="32"/>
        </w:rPr>
        <w:t>压力较大。</w:t>
      </w:r>
      <w:r>
        <w:rPr>
          <w:rFonts w:eastAsia="仿宋_GB2312"/>
          <w:b/>
          <w:bCs/>
          <w:sz w:val="32"/>
          <w:szCs w:val="32"/>
        </w:rPr>
        <w:t>二是</w:t>
      </w:r>
      <w:r>
        <w:rPr>
          <w:rFonts w:eastAsia="仿宋_GB2312"/>
          <w:sz w:val="32"/>
          <w:szCs w:val="32"/>
        </w:rPr>
        <w:t>财政收支矛盾依然突出，落实“三保”</w:t>
      </w:r>
      <w:r>
        <w:rPr>
          <w:rFonts w:hint="eastAsia" w:eastAsia="仿宋_GB2312"/>
          <w:sz w:val="32"/>
          <w:szCs w:val="32"/>
          <w:lang w:eastAsia="zh-CN"/>
        </w:rPr>
        <w:t>责任、</w:t>
      </w:r>
      <w:r>
        <w:rPr>
          <w:rFonts w:eastAsia="仿宋_GB2312"/>
          <w:sz w:val="32"/>
          <w:szCs w:val="32"/>
        </w:rPr>
        <w:t>水源区保护任务依然艰巨</w:t>
      </w:r>
      <w:r>
        <w:rPr>
          <w:rFonts w:hint="eastAsia" w:eastAsia="仿宋_GB2312"/>
          <w:sz w:val="32"/>
          <w:szCs w:val="32"/>
          <w:lang w:eastAsia="zh-CN"/>
        </w:rPr>
        <w:t>，</w:t>
      </w:r>
      <w:r>
        <w:rPr>
          <w:rFonts w:eastAsia="仿宋_GB2312"/>
          <w:kern w:val="32"/>
          <w:sz w:val="32"/>
          <w:szCs w:val="32"/>
        </w:rPr>
        <w:t>重点</w:t>
      </w:r>
      <w:r>
        <w:rPr>
          <w:rFonts w:hint="eastAsia" w:eastAsia="仿宋_GB2312"/>
          <w:kern w:val="32"/>
          <w:sz w:val="32"/>
          <w:szCs w:val="32"/>
          <w:lang w:eastAsia="zh-CN"/>
        </w:rPr>
        <w:t>建设</w:t>
      </w:r>
      <w:r>
        <w:rPr>
          <w:rFonts w:eastAsia="仿宋_GB2312"/>
          <w:kern w:val="32"/>
          <w:sz w:val="32"/>
          <w:szCs w:val="32"/>
        </w:rPr>
        <w:t>领域</w:t>
      </w:r>
      <w:r>
        <w:rPr>
          <w:rFonts w:eastAsia="仿宋_GB2312"/>
          <w:sz w:val="32"/>
          <w:szCs w:val="32"/>
        </w:rPr>
        <w:t>资金需求快速增长，导致财政收支平衡矛盾凸显，防范风险不容忽视。</w:t>
      </w:r>
      <w:r>
        <w:rPr>
          <w:rFonts w:eastAsia="仿宋_GB2312"/>
          <w:b/>
          <w:bCs/>
          <w:sz w:val="32"/>
          <w:szCs w:val="32"/>
        </w:rPr>
        <w:t>三是</w:t>
      </w:r>
      <w:r>
        <w:rPr>
          <w:rFonts w:eastAsia="仿宋_GB2312"/>
          <w:sz w:val="32"/>
          <w:szCs w:val="32"/>
        </w:rPr>
        <w:t>财政预算管理、绩效管理、政府采购、国资管理等多项工作的制度化、规范化建设需要继续强化，促改革、提绩效、强监管仍然任重道远。</w:t>
      </w:r>
    </w:p>
    <w:p w14:paraId="03E2D057">
      <w:pPr>
        <w:pBdr>
          <w:bottom w:val="single" w:color="FFFFFF" w:sz="4" w:space="31"/>
        </w:pBdr>
        <w:tabs>
          <w:tab w:val="left" w:pos="4830"/>
          <w:tab w:val="left" w:pos="8640"/>
        </w:tabs>
        <w:spacing w:line="600" w:lineRule="exact"/>
        <w:ind w:firstLine="640" w:firstLineChars="200"/>
        <w:rPr>
          <w:rFonts w:eastAsia="黑体"/>
          <w:sz w:val="32"/>
          <w:szCs w:val="32"/>
        </w:rPr>
      </w:pPr>
      <w:r>
        <w:rPr>
          <w:rFonts w:hint="eastAsia" w:eastAsia="黑体"/>
          <w:sz w:val="32"/>
          <w:szCs w:val="32"/>
          <w:lang w:eastAsia="zh-CN"/>
        </w:rPr>
        <w:t>三</w:t>
      </w:r>
      <w:r>
        <w:rPr>
          <w:rFonts w:eastAsia="黑体"/>
          <w:sz w:val="32"/>
          <w:szCs w:val="32"/>
        </w:rPr>
        <w:t>、2023年下半年财政主要工作措施</w:t>
      </w:r>
    </w:p>
    <w:p w14:paraId="550A6081">
      <w:pPr>
        <w:pBdr>
          <w:bottom w:val="single" w:color="FFFFFF" w:sz="4" w:space="31"/>
        </w:pBdr>
        <w:tabs>
          <w:tab w:val="left" w:pos="4830"/>
          <w:tab w:val="left" w:pos="8640"/>
        </w:tabs>
        <w:spacing w:line="600" w:lineRule="exact"/>
        <w:ind w:firstLine="640" w:firstLineChars="200"/>
        <w:rPr>
          <w:rFonts w:eastAsia="仿宋_GB2312"/>
          <w:sz w:val="32"/>
          <w:szCs w:val="32"/>
        </w:rPr>
      </w:pPr>
      <w:r>
        <w:rPr>
          <w:rFonts w:eastAsia="仿宋_GB2312"/>
          <w:sz w:val="32"/>
          <w:szCs w:val="32"/>
        </w:rPr>
        <w:t>下半年，我们将紧紧围绕全年财政收支目标任务，坚持稳字当头、稳中求进，坚决兜牢“三保”底线，创新工作思路，强化工作措施，坚定信心决心，努力完成全年经济社会发展目标任务。</w:t>
      </w:r>
    </w:p>
    <w:p w14:paraId="28D7D02D">
      <w:pPr>
        <w:pBdr>
          <w:bottom w:val="single" w:color="FFFFFF" w:sz="4" w:space="31"/>
        </w:pBdr>
        <w:tabs>
          <w:tab w:val="left" w:pos="4830"/>
          <w:tab w:val="left" w:pos="8640"/>
        </w:tabs>
        <w:spacing w:line="600" w:lineRule="exact"/>
        <w:ind w:firstLine="640" w:firstLineChars="200"/>
        <w:rPr>
          <w:rFonts w:eastAsia="楷体_GB2312"/>
          <w:kern w:val="32"/>
          <w:sz w:val="32"/>
          <w:szCs w:val="32"/>
        </w:rPr>
      </w:pPr>
      <w:r>
        <w:rPr>
          <w:rFonts w:eastAsia="楷体_GB2312"/>
          <w:kern w:val="32"/>
          <w:sz w:val="32"/>
          <w:szCs w:val="32"/>
        </w:rPr>
        <w:t>（一）围绕全年目标任务，加大财源建设力度</w:t>
      </w:r>
    </w:p>
    <w:p w14:paraId="45F7401B">
      <w:pPr>
        <w:pBdr>
          <w:bottom w:val="single" w:color="FFFFFF" w:sz="4" w:space="31"/>
        </w:pBdr>
        <w:tabs>
          <w:tab w:val="left" w:pos="4830"/>
          <w:tab w:val="left" w:pos="8640"/>
        </w:tabs>
        <w:spacing w:line="600" w:lineRule="exact"/>
        <w:ind w:firstLine="643" w:firstLineChars="200"/>
        <w:rPr>
          <w:rFonts w:eastAsia="仿宋_GB2312"/>
          <w:sz w:val="32"/>
          <w:szCs w:val="32"/>
        </w:rPr>
      </w:pPr>
      <w:r>
        <w:rPr>
          <w:rFonts w:eastAsia="仿宋_GB2312"/>
          <w:b/>
          <w:bCs/>
          <w:sz w:val="32"/>
          <w:szCs w:val="32"/>
        </w:rPr>
        <w:t>一是</w:t>
      </w:r>
      <w:r>
        <w:rPr>
          <w:rFonts w:eastAsia="仿宋_GB2312"/>
          <w:sz w:val="32"/>
          <w:szCs w:val="32"/>
        </w:rPr>
        <w:t>深入做好财政收入组织工作，切实稳定可用财力，拓宽财源渠道，把财源建设与支持经济高质量发展结合起来，</w:t>
      </w:r>
      <w:r>
        <w:rPr>
          <w:rFonts w:hint="eastAsia" w:eastAsia="仿宋_GB2312"/>
          <w:color w:val="auto"/>
          <w:sz w:val="32"/>
          <w:szCs w:val="32"/>
          <w:lang w:eastAsia="zh-CN"/>
        </w:rPr>
        <w:t>结合我区发展布局和功能定位招商引资，把准方向发</w:t>
      </w:r>
      <w:r>
        <w:rPr>
          <w:rFonts w:hint="eastAsia" w:ascii="Times New Roman" w:hAnsi="Times New Roman" w:eastAsia="仿宋_GB2312" w:cs="Times New Roman"/>
          <w:color w:val="auto"/>
          <w:sz w:val="32"/>
          <w:szCs w:val="32"/>
          <w:lang w:eastAsia="zh-CN"/>
        </w:rPr>
        <w:t>展支柱产业，同时把</w:t>
      </w:r>
      <w:r>
        <w:rPr>
          <w:rFonts w:hint="default" w:ascii="Times New Roman" w:hAnsi="Times New Roman" w:eastAsia="仿宋_GB2312" w:cs="Times New Roman"/>
          <w:color w:val="auto"/>
          <w:sz w:val="32"/>
          <w:szCs w:val="32"/>
          <w:lang w:eastAsia="zh-CN"/>
        </w:rPr>
        <w:t>支柱产业</w:t>
      </w:r>
      <w:r>
        <w:rPr>
          <w:rFonts w:hint="eastAsia" w:ascii="Times New Roman" w:hAnsi="Times New Roman" w:eastAsia="仿宋_GB2312" w:cs="Times New Roman"/>
          <w:color w:val="auto"/>
          <w:sz w:val="32"/>
          <w:szCs w:val="32"/>
          <w:lang w:eastAsia="zh-CN"/>
        </w:rPr>
        <w:t>培植</w:t>
      </w:r>
      <w:r>
        <w:rPr>
          <w:rFonts w:hint="default" w:ascii="Times New Roman" w:hAnsi="Times New Roman" w:eastAsia="仿宋_GB2312" w:cs="Times New Roman"/>
          <w:color w:val="auto"/>
          <w:sz w:val="32"/>
          <w:szCs w:val="32"/>
          <w:lang w:eastAsia="zh-CN"/>
        </w:rPr>
        <w:t>为支柱税源</w:t>
      </w:r>
      <w:r>
        <w:rPr>
          <w:rFonts w:hint="eastAsia" w:ascii="Times New Roman" w:hAnsi="Times New Roman" w:eastAsia="仿宋_GB2312" w:cs="Times New Roman"/>
          <w:color w:val="auto"/>
          <w:sz w:val="32"/>
          <w:szCs w:val="32"/>
          <w:lang w:eastAsia="zh-CN"/>
        </w:rPr>
        <w:t>。</w:t>
      </w:r>
      <w:r>
        <w:rPr>
          <w:rFonts w:eastAsia="仿宋_GB2312"/>
          <w:sz w:val="32"/>
          <w:szCs w:val="32"/>
        </w:rPr>
        <w:t>延续和优化实施部分阶段性税费优惠政策，落实助力中小微企业稳增长调结构强能力若干措施，持续推动项目落地投产、市场主体减负增效，形成优质稳定财源。</w:t>
      </w:r>
      <w:r>
        <w:rPr>
          <w:rFonts w:eastAsia="仿宋_GB2312"/>
          <w:b/>
          <w:bCs/>
          <w:sz w:val="32"/>
          <w:szCs w:val="32"/>
        </w:rPr>
        <w:t>二是</w:t>
      </w:r>
      <w:r>
        <w:rPr>
          <w:rFonts w:eastAsia="仿宋_GB2312"/>
          <w:sz w:val="32"/>
          <w:szCs w:val="32"/>
        </w:rPr>
        <w:t>进一步完善税源服务机制，不断优化营商环境，加强对重点税源和新增税源的服务力度，推进涉税信息共享平台建设，稳住存量税源挖掘增量税源。</w:t>
      </w:r>
      <w:r>
        <w:rPr>
          <w:rFonts w:eastAsia="仿宋_GB2312"/>
          <w:b/>
          <w:bCs/>
          <w:sz w:val="32"/>
          <w:szCs w:val="32"/>
        </w:rPr>
        <w:t>三是</w:t>
      </w:r>
      <w:r>
        <w:rPr>
          <w:rFonts w:eastAsia="仿宋_GB2312"/>
          <w:sz w:val="32"/>
          <w:szCs w:val="32"/>
        </w:rPr>
        <w:t>依法依规组织征收非税收入，稳步优化财政收入结构。</w:t>
      </w:r>
      <w:r>
        <w:rPr>
          <w:rFonts w:eastAsia="仿宋_GB2312"/>
          <w:b/>
          <w:bCs/>
          <w:sz w:val="32"/>
          <w:szCs w:val="32"/>
        </w:rPr>
        <w:t>四是</w:t>
      </w:r>
      <w:r>
        <w:rPr>
          <w:rFonts w:eastAsia="仿宋_GB2312"/>
          <w:sz w:val="32"/>
          <w:szCs w:val="32"/>
        </w:rPr>
        <w:t>加强国有资产、土地等资产资源统筹盘活，切实增强财政统筹调控能力。</w:t>
      </w:r>
    </w:p>
    <w:p w14:paraId="314A0743">
      <w:pPr>
        <w:pBdr>
          <w:bottom w:val="single" w:color="FFFFFF" w:sz="4" w:space="31"/>
        </w:pBdr>
        <w:tabs>
          <w:tab w:val="left" w:pos="4830"/>
          <w:tab w:val="left" w:pos="8640"/>
        </w:tabs>
        <w:spacing w:line="600" w:lineRule="exact"/>
        <w:ind w:firstLine="640" w:firstLineChars="200"/>
      </w:pPr>
      <w:r>
        <w:rPr>
          <w:rFonts w:eastAsia="楷体_GB2312"/>
          <w:kern w:val="32"/>
          <w:sz w:val="32"/>
          <w:szCs w:val="32"/>
        </w:rPr>
        <w:t>（二）围绕民生持续改善，不断优化支出结构</w:t>
      </w:r>
    </w:p>
    <w:p w14:paraId="093C6B11">
      <w:pPr>
        <w:pBdr>
          <w:bottom w:val="single" w:color="FFFFFF" w:sz="4" w:space="31"/>
        </w:pBdr>
        <w:tabs>
          <w:tab w:val="left" w:pos="4830"/>
          <w:tab w:val="left" w:pos="8640"/>
        </w:tabs>
        <w:spacing w:line="600" w:lineRule="exact"/>
        <w:ind w:firstLine="640" w:firstLineChars="200"/>
        <w:rPr>
          <w:rFonts w:ascii="Times New Roman" w:hAnsi="Times New Roman" w:eastAsia="仿宋_GB2312" w:cs="Times New Roman"/>
          <w:color w:val="auto"/>
          <w:sz w:val="32"/>
          <w:szCs w:val="32"/>
          <w:lang w:val="zh-CN"/>
        </w:rPr>
      </w:pPr>
      <w:r>
        <w:rPr>
          <w:rFonts w:eastAsia="仿宋_GB2312"/>
          <w:sz w:val="32"/>
          <w:szCs w:val="32"/>
          <w:lang w:val="zh-CN"/>
        </w:rPr>
        <w:t>牢固树立以人民为中心的理念，坚持统筹兼顾、循序渐进，积极服务人民群众物质文化需求的新变化，加快补齐民生领域和社会事业短板。</w:t>
      </w:r>
      <w:r>
        <w:rPr>
          <w:rFonts w:eastAsia="仿宋_GB2312"/>
          <w:b/>
          <w:bCs/>
          <w:sz w:val="32"/>
          <w:szCs w:val="32"/>
          <w:lang w:val="zh-CN"/>
        </w:rPr>
        <w:t>一是</w:t>
      </w:r>
      <w:r>
        <w:rPr>
          <w:rFonts w:eastAsia="仿宋_GB2312"/>
          <w:sz w:val="32"/>
          <w:szCs w:val="32"/>
          <w:lang w:val="zh-CN"/>
        </w:rPr>
        <w:t>支持落实就业优先政策</w:t>
      </w:r>
      <w:r>
        <w:rPr>
          <w:rFonts w:hint="eastAsia" w:eastAsia="仿宋_GB2312"/>
          <w:sz w:val="32"/>
          <w:szCs w:val="32"/>
          <w:lang w:val="zh-CN"/>
        </w:rPr>
        <w:t>，</w:t>
      </w:r>
      <w:r>
        <w:rPr>
          <w:rFonts w:eastAsia="仿宋_GB2312"/>
          <w:sz w:val="32"/>
          <w:szCs w:val="32"/>
          <w:lang w:val="zh-CN"/>
        </w:rPr>
        <w:t>加大对高校毕业生、退役军人、农民工和城镇困难人员等重点群体就业帮扶，加大企业稳岗支持力度，完善促进创业带动就业的保障制度，支持和规范发展新就业形态。</w:t>
      </w:r>
      <w:r>
        <w:rPr>
          <w:rFonts w:hint="eastAsia" w:ascii="Times New Roman" w:hAnsi="Times New Roman" w:eastAsia="仿宋_GB2312" w:cs="Times New Roman"/>
          <w:b/>
          <w:bCs/>
          <w:sz w:val="32"/>
          <w:szCs w:val="32"/>
          <w:lang w:val="zh-CN"/>
        </w:rPr>
        <w:t>二</w:t>
      </w:r>
      <w:r>
        <w:rPr>
          <w:rFonts w:ascii="Times New Roman" w:hAnsi="Times New Roman" w:eastAsia="仿宋_GB2312" w:cs="Times New Roman"/>
          <w:b/>
          <w:bCs/>
          <w:sz w:val="32"/>
          <w:szCs w:val="32"/>
          <w:lang w:val="zh-CN"/>
        </w:rPr>
        <w:t>是</w:t>
      </w:r>
      <w:r>
        <w:rPr>
          <w:rFonts w:eastAsia="仿宋_GB2312"/>
          <w:sz w:val="32"/>
          <w:szCs w:val="32"/>
          <w:lang w:val="zh-CN"/>
        </w:rPr>
        <w:t>坚持把教育投入作为支撑长远发展的基础性、战略性投入予以优先保障和重点投入。</w:t>
      </w:r>
      <w:r>
        <w:rPr>
          <w:rFonts w:hint="eastAsia" w:ascii="Times New Roman" w:hAnsi="Times New Roman" w:eastAsia="仿宋_GB2312" w:cs="Times New Roman"/>
          <w:b/>
          <w:bCs/>
          <w:sz w:val="32"/>
          <w:szCs w:val="32"/>
          <w:lang w:val="zh-CN"/>
        </w:rPr>
        <w:t>三</w:t>
      </w:r>
      <w:r>
        <w:rPr>
          <w:rFonts w:ascii="Times New Roman" w:hAnsi="Times New Roman" w:eastAsia="仿宋_GB2312" w:cs="Times New Roman"/>
          <w:b/>
          <w:bCs/>
          <w:sz w:val="32"/>
          <w:szCs w:val="32"/>
          <w:lang w:val="zh-CN"/>
        </w:rPr>
        <w:t>是</w:t>
      </w:r>
      <w:r>
        <w:rPr>
          <w:rFonts w:eastAsia="仿宋_GB2312"/>
          <w:sz w:val="32"/>
          <w:szCs w:val="32"/>
          <w:lang w:val="zh-CN"/>
        </w:rPr>
        <w:t>支持养老服务体系建设，支持医疗服务能力提升，推动公立医院高质量发展，全力推动防治结合的公共卫生体系。</w:t>
      </w:r>
      <w:r>
        <w:rPr>
          <w:rFonts w:hint="eastAsia" w:eastAsia="仿宋_GB2312"/>
          <w:b/>
          <w:bCs/>
          <w:sz w:val="32"/>
          <w:szCs w:val="32"/>
          <w:lang w:val="zh-CN"/>
        </w:rPr>
        <w:t>四</w:t>
      </w:r>
      <w:r>
        <w:rPr>
          <w:rFonts w:hint="eastAsia" w:eastAsia="仿宋_GB2312"/>
          <w:b/>
          <w:bCs/>
          <w:color w:val="auto"/>
          <w:sz w:val="32"/>
          <w:szCs w:val="32"/>
          <w:lang w:val="zh-CN"/>
        </w:rPr>
        <w:t>是</w:t>
      </w:r>
      <w:r>
        <w:rPr>
          <w:rFonts w:hint="eastAsia" w:ascii="Times New Roman" w:hAnsi="Times New Roman" w:eastAsia="仿宋_GB2312" w:cs="Times New Roman"/>
          <w:color w:val="auto"/>
          <w:sz w:val="32"/>
          <w:szCs w:val="32"/>
          <w:lang w:val="zh-CN"/>
        </w:rPr>
        <w:t>助力科技创新发展，持续加大全区科技资金投入，加快科技创新和成果转化，支持创新主体提升，助推“科技引领产业示范区”建设。</w:t>
      </w:r>
      <w:r>
        <w:rPr>
          <w:rFonts w:hint="eastAsia" w:eastAsia="仿宋_GB2312" w:cs="Times New Roman"/>
          <w:b/>
          <w:bCs/>
          <w:color w:val="auto"/>
          <w:sz w:val="32"/>
          <w:szCs w:val="32"/>
          <w:lang w:val="zh-CN"/>
        </w:rPr>
        <w:t>五</w:t>
      </w:r>
      <w:r>
        <w:rPr>
          <w:rFonts w:eastAsia="仿宋_GB2312"/>
          <w:b/>
          <w:bCs/>
          <w:sz w:val="32"/>
          <w:szCs w:val="32"/>
          <w:lang w:val="zh-CN"/>
        </w:rPr>
        <w:t>是</w:t>
      </w:r>
      <w:r>
        <w:rPr>
          <w:rFonts w:eastAsia="仿宋_GB2312"/>
          <w:sz w:val="32"/>
          <w:szCs w:val="32"/>
          <w:lang w:val="zh-CN"/>
        </w:rPr>
        <w:t>推进公共文化服务体系建设，推进文化事业和文化产业繁荣发展。</w:t>
      </w:r>
    </w:p>
    <w:p w14:paraId="77D8F0FF">
      <w:pPr>
        <w:pBdr>
          <w:bottom w:val="single" w:color="FFFFFF" w:sz="4" w:space="31"/>
        </w:pBdr>
        <w:tabs>
          <w:tab w:val="left" w:pos="4830"/>
          <w:tab w:val="left" w:pos="8640"/>
        </w:tabs>
        <w:spacing w:line="600" w:lineRule="exact"/>
        <w:ind w:firstLine="640" w:firstLineChars="200"/>
        <w:rPr>
          <w:rFonts w:eastAsia="楷体_GB2312"/>
          <w:kern w:val="32"/>
          <w:sz w:val="32"/>
          <w:szCs w:val="32"/>
        </w:rPr>
      </w:pPr>
      <w:r>
        <w:rPr>
          <w:rFonts w:hint="eastAsia" w:eastAsia="楷体_GB2312"/>
          <w:kern w:val="32"/>
          <w:sz w:val="32"/>
          <w:szCs w:val="32"/>
        </w:rPr>
        <w:t>（三）</w:t>
      </w:r>
      <w:r>
        <w:rPr>
          <w:rFonts w:eastAsia="楷体_GB2312"/>
          <w:kern w:val="32"/>
          <w:sz w:val="32"/>
          <w:szCs w:val="32"/>
        </w:rPr>
        <w:t>围绕加强预算管理，提升资金使用效益</w:t>
      </w:r>
    </w:p>
    <w:p w14:paraId="7ECC803A">
      <w:pPr>
        <w:pBdr>
          <w:bottom w:val="single" w:color="FFFFFF" w:sz="4" w:space="31"/>
        </w:pBdr>
        <w:tabs>
          <w:tab w:val="left" w:pos="4830"/>
          <w:tab w:val="left" w:pos="8640"/>
        </w:tabs>
        <w:spacing w:line="600" w:lineRule="exact"/>
        <w:ind w:firstLine="643" w:firstLineChars="200"/>
        <w:rPr>
          <w:rFonts w:ascii="Times New Roman" w:hAnsi="Times New Roman" w:eastAsia="仿宋_GB2312" w:cs="Times New Roman"/>
          <w:color w:val="auto"/>
          <w:sz w:val="32"/>
          <w:szCs w:val="32"/>
          <w:lang w:val="zh-CN"/>
        </w:rPr>
      </w:pPr>
      <w:r>
        <w:rPr>
          <w:rFonts w:eastAsia="仿宋_GB2312"/>
          <w:b/>
          <w:bCs/>
          <w:sz w:val="32"/>
          <w:szCs w:val="32"/>
          <w:lang w:val="zh-CN"/>
        </w:rPr>
        <w:t>一是</w:t>
      </w:r>
      <w:r>
        <w:rPr>
          <w:rFonts w:eastAsia="仿宋_GB2312"/>
          <w:sz w:val="32"/>
          <w:szCs w:val="32"/>
          <w:lang w:val="zh-CN"/>
        </w:rPr>
        <w:t>加强财政资金统筹。合理把握政策节奏，做好跨年度项目资金规划，支持稳投资、促消费、扩生产政策适当靠前发力，加快资金分配下达，确保快支出、早见效。</w:t>
      </w:r>
      <w:r>
        <w:rPr>
          <w:rFonts w:eastAsia="仿宋_GB2312"/>
          <w:b/>
          <w:bCs/>
          <w:sz w:val="32"/>
          <w:szCs w:val="32"/>
          <w:lang w:val="zh-CN"/>
        </w:rPr>
        <w:t>二是</w:t>
      </w:r>
      <w:r>
        <w:rPr>
          <w:rFonts w:eastAsia="仿宋_GB2312"/>
          <w:sz w:val="32"/>
          <w:szCs w:val="32"/>
          <w:lang w:val="zh-CN"/>
        </w:rPr>
        <w:t>优化支出结构，加快财政支出进度，持续加强“三公”经费管理，认真贯彻落实过“紧日子”要求、大力压减非急需非刚性支出、</w:t>
      </w:r>
      <w:r>
        <w:rPr>
          <w:rFonts w:hint="eastAsia" w:eastAsia="仿宋_GB2312"/>
          <w:sz w:val="32"/>
          <w:szCs w:val="32"/>
          <w:highlight w:val="none"/>
          <w:lang w:val="zh-CN"/>
        </w:rPr>
        <w:t>严格落实编外聘用人员“人财”双控要求、</w:t>
      </w:r>
      <w:r>
        <w:rPr>
          <w:rFonts w:eastAsia="仿宋_GB2312"/>
          <w:sz w:val="32"/>
          <w:szCs w:val="32"/>
          <w:highlight w:val="none"/>
          <w:lang w:val="zh-CN"/>
        </w:rPr>
        <w:t>足额保障基本民生类支出</w:t>
      </w:r>
      <w:r>
        <w:rPr>
          <w:rFonts w:hint="eastAsia" w:eastAsia="仿宋_GB2312"/>
          <w:sz w:val="32"/>
          <w:szCs w:val="32"/>
          <w:highlight w:val="none"/>
          <w:lang w:val="zh-CN"/>
        </w:rPr>
        <w:t>。</w:t>
      </w:r>
      <w:r>
        <w:rPr>
          <w:rFonts w:eastAsia="仿宋_GB2312"/>
          <w:sz w:val="32"/>
          <w:szCs w:val="32"/>
          <w:highlight w:val="none"/>
          <w:lang w:val="zh-CN"/>
        </w:rPr>
        <w:t>三</w:t>
      </w:r>
      <w:r>
        <w:rPr>
          <w:rFonts w:eastAsia="仿宋_GB2312"/>
          <w:b/>
          <w:bCs/>
          <w:sz w:val="32"/>
          <w:szCs w:val="32"/>
          <w:highlight w:val="none"/>
          <w:lang w:val="zh-CN"/>
        </w:rPr>
        <w:t>是</w:t>
      </w:r>
      <w:r>
        <w:rPr>
          <w:rFonts w:eastAsia="仿宋_GB2312"/>
          <w:sz w:val="32"/>
          <w:szCs w:val="32"/>
          <w:highlight w:val="none"/>
          <w:lang w:val="zh-CN"/>
        </w:rPr>
        <w:t>强化政府投资项目绩效评估，对未通过事前绩效评估的项目将</w:t>
      </w:r>
      <w:r>
        <w:rPr>
          <w:rFonts w:eastAsia="仿宋_GB2312"/>
          <w:sz w:val="32"/>
          <w:szCs w:val="32"/>
          <w:lang w:val="zh-CN"/>
        </w:rPr>
        <w:t>不予安排预算，对事后绩效评价不佳的项目预算进行压减，切实提高财政资金使用效益。</w:t>
      </w:r>
      <w:r>
        <w:rPr>
          <w:rFonts w:hint="eastAsia" w:eastAsia="仿宋_GB2312"/>
          <w:b/>
          <w:bCs/>
          <w:sz w:val="32"/>
          <w:szCs w:val="32"/>
          <w:lang w:val="zh-CN"/>
        </w:rPr>
        <w:t>四是</w:t>
      </w:r>
      <w:r>
        <w:rPr>
          <w:rFonts w:hint="eastAsia" w:ascii="Times New Roman" w:hAnsi="Times New Roman" w:eastAsia="仿宋_GB2312" w:cs="Times New Roman"/>
          <w:color w:val="auto"/>
          <w:sz w:val="32"/>
          <w:szCs w:val="32"/>
          <w:lang w:val="zh-CN"/>
        </w:rPr>
        <w:t>围绕中央、省、市级政策导向，抢抓发展机遇，结合盘龙区实际谋划项目、主动对接、抓好落实，积极争取</w:t>
      </w:r>
      <w:r>
        <w:rPr>
          <w:rFonts w:hint="eastAsia" w:eastAsia="仿宋_GB2312" w:cs="Times New Roman"/>
          <w:color w:val="auto"/>
          <w:sz w:val="32"/>
          <w:szCs w:val="32"/>
          <w:lang w:val="zh-CN"/>
        </w:rPr>
        <w:t>上级</w:t>
      </w:r>
      <w:r>
        <w:rPr>
          <w:rFonts w:hint="eastAsia" w:ascii="Times New Roman" w:hAnsi="Times New Roman" w:eastAsia="仿宋_GB2312" w:cs="Times New Roman"/>
          <w:color w:val="auto"/>
          <w:sz w:val="32"/>
          <w:szCs w:val="32"/>
          <w:lang w:val="zh-CN"/>
        </w:rPr>
        <w:t>资金</w:t>
      </w:r>
      <w:r>
        <w:rPr>
          <w:rFonts w:hint="eastAsia" w:eastAsia="仿宋_GB2312" w:cs="Times New Roman"/>
          <w:color w:val="auto"/>
          <w:sz w:val="32"/>
          <w:szCs w:val="32"/>
          <w:lang w:val="zh-CN"/>
        </w:rPr>
        <w:t>及专项债券</w:t>
      </w:r>
      <w:r>
        <w:rPr>
          <w:rFonts w:hint="eastAsia" w:ascii="Times New Roman" w:hAnsi="Times New Roman" w:eastAsia="仿宋_GB2312" w:cs="Times New Roman"/>
          <w:color w:val="auto"/>
          <w:sz w:val="32"/>
          <w:szCs w:val="32"/>
          <w:lang w:val="zh-CN"/>
        </w:rPr>
        <w:t>支持，推动重点项目加快建设。</w:t>
      </w:r>
    </w:p>
    <w:p w14:paraId="30E78936">
      <w:pPr>
        <w:pBdr>
          <w:bottom w:val="single" w:color="FFFFFF" w:sz="4" w:space="31"/>
        </w:pBdr>
        <w:tabs>
          <w:tab w:val="left" w:pos="4830"/>
          <w:tab w:val="left" w:pos="8640"/>
        </w:tabs>
        <w:spacing w:line="600" w:lineRule="exact"/>
        <w:ind w:firstLine="640" w:firstLineChars="200"/>
        <w:rPr>
          <w:rFonts w:eastAsia="楷体_GB2312"/>
          <w:kern w:val="32"/>
          <w:sz w:val="32"/>
          <w:szCs w:val="32"/>
        </w:rPr>
      </w:pPr>
      <w:r>
        <w:rPr>
          <w:rFonts w:eastAsia="楷体_GB2312"/>
          <w:kern w:val="32"/>
          <w:sz w:val="32"/>
          <w:szCs w:val="32"/>
        </w:rPr>
        <w:t>（四）围绕防范财政风险，强化责任压紧压实</w:t>
      </w:r>
    </w:p>
    <w:p w14:paraId="39A2DE16">
      <w:pPr>
        <w:pBdr>
          <w:bottom w:val="single" w:color="FFFFFF" w:sz="4" w:space="31"/>
        </w:pBdr>
        <w:tabs>
          <w:tab w:val="left" w:pos="4830"/>
          <w:tab w:val="left" w:pos="8640"/>
        </w:tabs>
        <w:spacing w:line="600" w:lineRule="exact"/>
        <w:ind w:firstLine="643" w:firstLineChars="200"/>
        <w:rPr>
          <w:rFonts w:eastAsia="仿宋_GB2312"/>
          <w:sz w:val="32"/>
          <w:szCs w:val="32"/>
          <w:lang w:val="zh-CN"/>
        </w:rPr>
      </w:pPr>
      <w:r>
        <w:rPr>
          <w:rFonts w:eastAsia="仿宋_GB2312"/>
          <w:b/>
          <w:bCs/>
          <w:sz w:val="32"/>
          <w:szCs w:val="32"/>
          <w:lang w:val="zh-CN"/>
        </w:rPr>
        <w:t>一是</w:t>
      </w:r>
      <w:r>
        <w:rPr>
          <w:rFonts w:eastAsia="仿宋_GB2312"/>
          <w:sz w:val="32"/>
          <w:szCs w:val="32"/>
          <w:lang w:val="zh-CN"/>
        </w:rPr>
        <w:t>加强政府债务监管。推进专项债券全生命周期管理，强化到期债务常态化监控预警机制，坚决遏制政府隐性债务增量，做到潜在风险早发现、早处置</w:t>
      </w:r>
      <w:r>
        <w:rPr>
          <w:rFonts w:hint="eastAsia" w:eastAsia="仿宋_GB2312"/>
          <w:sz w:val="32"/>
          <w:szCs w:val="32"/>
          <w:lang w:val="zh-CN"/>
        </w:rPr>
        <w:t>，</w:t>
      </w:r>
      <w:r>
        <w:rPr>
          <w:rFonts w:eastAsia="仿宋_GB2312"/>
          <w:sz w:val="32"/>
          <w:szCs w:val="32"/>
          <w:lang w:val="zh-CN"/>
        </w:rPr>
        <w:t>牢牢守住不发生区域性系统性风险的底线。</w:t>
      </w:r>
      <w:r>
        <w:rPr>
          <w:rFonts w:eastAsia="仿宋_GB2312"/>
          <w:b/>
          <w:bCs/>
          <w:sz w:val="32"/>
          <w:szCs w:val="32"/>
          <w:lang w:val="zh-CN"/>
        </w:rPr>
        <w:t>二是</w:t>
      </w:r>
      <w:r>
        <w:rPr>
          <w:rFonts w:eastAsia="仿宋_GB2312"/>
          <w:sz w:val="32"/>
          <w:szCs w:val="32"/>
          <w:lang w:val="zh-CN"/>
        </w:rPr>
        <w:t>严格“三保”预算审核程序，坚持“三保”支出在预算安排中的优先顺序，做到足额编列，不留缺口。</w:t>
      </w:r>
      <w:r>
        <w:rPr>
          <w:rFonts w:eastAsia="仿宋_GB2312"/>
          <w:b/>
          <w:bCs/>
          <w:sz w:val="32"/>
          <w:szCs w:val="32"/>
          <w:lang w:val="zh-CN"/>
        </w:rPr>
        <w:t>三是</w:t>
      </w:r>
      <w:r>
        <w:rPr>
          <w:rFonts w:eastAsia="仿宋_GB2312"/>
          <w:sz w:val="32"/>
          <w:szCs w:val="32"/>
          <w:lang w:val="zh-CN"/>
        </w:rPr>
        <w:t>加强财政运行监管，对财政收支形势和“三保”预算执行、债券还本付息、库款管理等情况定期分析研判，动态监测，精准施策，确保财政平稳运行。</w:t>
      </w:r>
      <w:r>
        <w:rPr>
          <w:rFonts w:eastAsia="仿宋_GB2312"/>
          <w:b/>
          <w:bCs/>
          <w:sz w:val="32"/>
          <w:szCs w:val="32"/>
          <w:lang w:val="zh-CN"/>
        </w:rPr>
        <w:t>四是</w:t>
      </w:r>
      <w:r>
        <w:rPr>
          <w:rFonts w:eastAsia="仿宋_GB2312"/>
          <w:sz w:val="32"/>
          <w:szCs w:val="32"/>
          <w:lang w:val="zh-CN"/>
        </w:rPr>
        <w:t>加强财</w:t>
      </w:r>
      <w:r>
        <w:rPr>
          <w:rFonts w:hint="eastAsia" w:eastAsia="仿宋_GB2312"/>
          <w:sz w:val="32"/>
          <w:szCs w:val="32"/>
          <w:lang w:val="zh-CN"/>
        </w:rPr>
        <w:t>会</w:t>
      </w:r>
      <w:r>
        <w:rPr>
          <w:rFonts w:eastAsia="仿宋_GB2312"/>
          <w:sz w:val="32"/>
          <w:szCs w:val="32"/>
          <w:lang w:val="zh-CN"/>
        </w:rPr>
        <w:t>监督职能。深入开展</w:t>
      </w:r>
      <w:r>
        <w:rPr>
          <w:rFonts w:hint="eastAsia" w:eastAsia="仿宋_GB2312"/>
          <w:color w:val="auto"/>
          <w:sz w:val="32"/>
          <w:szCs w:val="32"/>
          <w:highlight w:val="none"/>
          <w:lang w:val="zh-CN"/>
        </w:rPr>
        <w:t>财会监督</w:t>
      </w:r>
      <w:r>
        <w:rPr>
          <w:rFonts w:eastAsia="仿宋_GB2312"/>
          <w:color w:val="auto"/>
          <w:sz w:val="32"/>
          <w:szCs w:val="32"/>
          <w:highlight w:val="none"/>
          <w:lang w:val="zh-CN"/>
        </w:rPr>
        <w:t>工作</w:t>
      </w:r>
      <w:r>
        <w:rPr>
          <w:rFonts w:eastAsia="仿宋_GB2312"/>
          <w:sz w:val="32"/>
          <w:szCs w:val="32"/>
          <w:lang w:val="zh-CN"/>
        </w:rPr>
        <w:t>，</w:t>
      </w:r>
      <w:r>
        <w:rPr>
          <w:rFonts w:eastAsia="仿宋_GB2312"/>
          <w:sz w:val="32"/>
          <w:szCs w:val="32"/>
        </w:rPr>
        <w:t>持续推进盘龙区财政资金监管“清源行动”整治工作，进一步完善专项资金的管理，</w:t>
      </w:r>
      <w:r>
        <w:rPr>
          <w:rFonts w:eastAsia="仿宋_GB2312"/>
          <w:sz w:val="32"/>
          <w:szCs w:val="32"/>
          <w:lang w:val="zh-CN"/>
        </w:rPr>
        <w:t>全力推动财经政策落实到位、财经纪律执行到位。</w:t>
      </w:r>
    </w:p>
    <w:p w14:paraId="6A4DB669">
      <w:pPr>
        <w:pBdr>
          <w:bottom w:val="single" w:color="FFFFFF" w:sz="4" w:space="31"/>
        </w:pBdr>
        <w:tabs>
          <w:tab w:val="left" w:pos="4830"/>
          <w:tab w:val="left" w:pos="8640"/>
        </w:tabs>
        <w:spacing w:line="600" w:lineRule="exact"/>
        <w:ind w:firstLine="640" w:firstLineChars="200"/>
        <w:rPr>
          <w:rFonts w:eastAsia="楷体_GB2312"/>
          <w:kern w:val="32"/>
          <w:sz w:val="32"/>
          <w:szCs w:val="32"/>
        </w:rPr>
      </w:pPr>
      <w:r>
        <w:rPr>
          <w:rFonts w:eastAsia="楷体_GB2312"/>
          <w:kern w:val="32"/>
          <w:sz w:val="32"/>
          <w:szCs w:val="32"/>
        </w:rPr>
        <w:t>（五）围绕财政提质增效，持续深化改革创新</w:t>
      </w:r>
    </w:p>
    <w:p w14:paraId="51BCC729">
      <w:pPr>
        <w:pBdr>
          <w:bottom w:val="single" w:color="FFFFFF" w:sz="4" w:space="31"/>
        </w:pBdr>
        <w:tabs>
          <w:tab w:val="left" w:pos="4830"/>
          <w:tab w:val="left" w:pos="8640"/>
        </w:tabs>
        <w:spacing w:line="600" w:lineRule="exact"/>
        <w:ind w:firstLine="643" w:firstLineChars="200"/>
        <w:rPr>
          <w:rFonts w:eastAsia="仿宋_GB2312"/>
          <w:bCs/>
          <w:sz w:val="32"/>
          <w:szCs w:val="32"/>
        </w:rPr>
      </w:pPr>
      <w:r>
        <w:rPr>
          <w:rFonts w:eastAsia="仿宋_GB2312"/>
          <w:b/>
          <w:bCs/>
          <w:sz w:val="32"/>
          <w:szCs w:val="32"/>
          <w:lang w:val="zh-CN"/>
        </w:rPr>
        <w:t>一是</w:t>
      </w:r>
      <w:r>
        <w:rPr>
          <w:rFonts w:eastAsia="仿宋_GB2312"/>
          <w:sz w:val="32"/>
          <w:szCs w:val="32"/>
          <w:lang w:val="zh-CN"/>
        </w:rPr>
        <w:t>深化预算管理改革。</w:t>
      </w:r>
      <w:r>
        <w:rPr>
          <w:rFonts w:hint="eastAsia" w:eastAsia="仿宋_GB2312"/>
          <w:sz w:val="32"/>
          <w:szCs w:val="32"/>
          <w:lang w:val="zh-CN"/>
        </w:rPr>
        <w:t>认真落实《昆明市完善市以下财政体制落实深化预算管理制度改革实施方案》</w:t>
      </w:r>
      <w:r>
        <w:rPr>
          <w:rFonts w:eastAsia="仿宋_GB2312"/>
          <w:sz w:val="32"/>
          <w:szCs w:val="32"/>
          <w:lang w:val="zh-CN"/>
        </w:rPr>
        <w:t>，加快建立与政府治理体系和治理能力现代化相适应的现代财政管理制度。</w:t>
      </w:r>
      <w:r>
        <w:rPr>
          <w:rFonts w:eastAsia="仿宋_GB2312"/>
          <w:b/>
          <w:bCs/>
          <w:sz w:val="32"/>
          <w:szCs w:val="32"/>
          <w:lang w:val="zh-CN"/>
        </w:rPr>
        <w:t>二是</w:t>
      </w:r>
      <w:r>
        <w:rPr>
          <w:rFonts w:eastAsia="仿宋_GB2312"/>
          <w:sz w:val="32"/>
          <w:szCs w:val="32"/>
          <w:lang w:val="zh-CN"/>
        </w:rPr>
        <w:t>依托预算管理一体化信息系统推进预算管理现代化，强化预算全流程管理，推动财政管理提质增效。</w:t>
      </w:r>
      <w:r>
        <w:rPr>
          <w:rFonts w:hint="eastAsia" w:eastAsia="仿宋_GB2312"/>
          <w:b/>
          <w:sz w:val="32"/>
          <w:szCs w:val="32"/>
        </w:rPr>
        <w:t>三</w:t>
      </w:r>
      <w:r>
        <w:rPr>
          <w:rFonts w:eastAsia="仿宋_GB2312"/>
          <w:b/>
          <w:sz w:val="32"/>
          <w:szCs w:val="32"/>
        </w:rPr>
        <w:t>是</w:t>
      </w:r>
      <w:r>
        <w:rPr>
          <w:rFonts w:eastAsia="仿宋_GB2312"/>
          <w:bCs/>
          <w:sz w:val="32"/>
          <w:szCs w:val="32"/>
        </w:rPr>
        <w:t>推进政府采购制度改革，强化政府采购监督管理工作。实施“互联网+采购”行动，全面实行政府采购备案审批事项网上办理。</w:t>
      </w:r>
    </w:p>
    <w:p w14:paraId="43998245">
      <w:pPr>
        <w:pBdr>
          <w:bottom w:val="single" w:color="FFFFFF" w:sz="4" w:space="31"/>
        </w:pBdr>
        <w:tabs>
          <w:tab w:val="left" w:pos="4830"/>
          <w:tab w:val="left" w:pos="8640"/>
        </w:tabs>
        <w:spacing w:line="600" w:lineRule="exact"/>
        <w:ind w:firstLine="640" w:firstLineChars="200"/>
        <w:rPr>
          <w:rFonts w:eastAsia="仿宋_GB2312"/>
          <w:color w:val="FF0000"/>
          <w:sz w:val="32"/>
          <w:szCs w:val="32"/>
          <w:lang w:val="zh-CN"/>
        </w:rPr>
      </w:pPr>
      <w:r>
        <w:rPr>
          <w:rFonts w:eastAsia="仿宋_GB2312"/>
          <w:sz w:val="32"/>
          <w:szCs w:val="32"/>
          <w:lang w:val="zh-CN"/>
        </w:rPr>
        <w:t>主任，各位副主任、各位委员，做好下半年的财政工作使命艰巨、责任重大，我们将在区委的坚强领导下，在区人大及其常委会的监督和指导下，坚定信心、真抓实干，充分发挥财政职能作用，扎实做好财政改革发展各项工作，着力推动全区经济高质量发展，持续推进产业转型升级、进一步巩固经济快速恢复的良好势头，为盘龙区</w:t>
      </w:r>
      <w:r>
        <w:rPr>
          <w:rFonts w:eastAsia="仿宋_GB2312"/>
          <w:color w:val="auto"/>
          <w:sz w:val="32"/>
          <w:szCs w:val="32"/>
          <w:lang w:val="zh-CN"/>
        </w:rPr>
        <w:t>建设</w:t>
      </w:r>
      <w:r>
        <w:rPr>
          <w:rFonts w:hint="default" w:ascii="Times New Roman" w:hAnsi="Times New Roman" w:eastAsia="仿宋_GB2312" w:cs="Times New Roman"/>
          <w:color w:val="auto"/>
          <w:sz w:val="32"/>
          <w:szCs w:val="32"/>
          <w:u w:val="none" w:color="auto"/>
          <w:lang w:val="en-US" w:eastAsia="zh-CN"/>
        </w:rPr>
        <w:t>面向南亚东南亚现代服务业示范区</w:t>
      </w:r>
      <w:r>
        <w:rPr>
          <w:rFonts w:eastAsia="仿宋_GB2312"/>
          <w:color w:val="auto"/>
          <w:sz w:val="32"/>
          <w:szCs w:val="32"/>
          <w:lang w:val="zh-CN"/>
        </w:rPr>
        <w:t>、</w:t>
      </w:r>
      <w:r>
        <w:rPr>
          <w:rFonts w:hint="eastAsia" w:eastAsia="仿宋_GB2312"/>
          <w:color w:val="auto"/>
          <w:sz w:val="32"/>
          <w:szCs w:val="32"/>
          <w:lang w:val="zh-CN"/>
        </w:rPr>
        <w:t>高质量打造人民更加美好的</w:t>
      </w:r>
      <w:r>
        <w:rPr>
          <w:rFonts w:eastAsia="仿宋_GB2312"/>
          <w:color w:val="auto"/>
          <w:sz w:val="32"/>
          <w:szCs w:val="32"/>
          <w:lang w:val="zh-CN"/>
        </w:rPr>
        <w:t>“幸福盘龙”贡献财政力量。</w:t>
      </w:r>
    </w:p>
    <w:sectPr>
      <w:headerReference r:id="rId3" w:type="default"/>
      <w:footerReference r:id="rId5" w:type="default"/>
      <w:headerReference r:id="rId4" w:type="even"/>
      <w:footerReference r:id="rId6" w:type="even"/>
      <w:pgSz w:w="11906" w:h="16838"/>
      <w:pgMar w:top="2098" w:right="1418" w:bottom="1985" w:left="141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C8B0E">
    <w:pPr>
      <w:pStyle w:val="8"/>
      <w:jc w:val="right"/>
      <w:rPr>
        <w:rFonts w:ascii="宋体" w:hAnsi="宋体"/>
        <w:sz w:val="28"/>
        <w:szCs w:val="28"/>
        <w:lang w:val="zh-CN"/>
      </w:rPr>
    </w:pPr>
    <w:r>
      <w:rPr>
        <w:rFonts w:ascii="宋体" w:hAnsi="宋体"/>
        <w:sz w:val="28"/>
        <w:szCs w:val="28"/>
        <w:lang w:val="zh-CN"/>
      </w:rPr>
      <w:fldChar w:fldCharType="begin"/>
    </w:r>
    <w:r>
      <w:rPr>
        <w:rFonts w:ascii="宋体" w:hAnsi="宋体"/>
        <w:sz w:val="28"/>
        <w:szCs w:val="28"/>
        <w:lang w:val="zh-CN"/>
      </w:rPr>
      <w:instrText xml:space="preserve">PAGE   \* MERGEFORMAT</w:instrText>
    </w:r>
    <w:r>
      <w:rPr>
        <w:rFonts w:ascii="宋体" w:hAnsi="宋体"/>
        <w:sz w:val="28"/>
        <w:szCs w:val="28"/>
        <w:lang w:val="zh-CN"/>
      </w:rPr>
      <w:fldChar w:fldCharType="separate"/>
    </w:r>
    <w:r>
      <w:rPr>
        <w:rFonts w:ascii="宋体" w:hAnsi="宋体"/>
        <w:sz w:val="28"/>
        <w:szCs w:val="28"/>
        <w:lang w:val="zh-CN"/>
      </w:rPr>
      <w:t>- 10 -</w:t>
    </w:r>
    <w:r>
      <w:rPr>
        <w:rFonts w:ascii="宋体" w:hAnsi="宋体"/>
        <w:sz w:val="28"/>
        <w:szCs w:val="28"/>
        <w:lang w:val="zh-CN"/>
      </w:rPr>
      <w:fldChar w:fldCharType="end"/>
    </w:r>
  </w:p>
  <w:p w14:paraId="64358BD4">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0A60C">
    <w:pPr>
      <w:pStyle w:val="8"/>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6 -</w:t>
    </w:r>
    <w:r>
      <w:rPr>
        <w:rFonts w:ascii="宋体" w:hAnsi="宋体"/>
        <w:sz w:val="28"/>
        <w:szCs w:val="28"/>
      </w:rPr>
      <w:fldChar w:fldCharType="end"/>
    </w:r>
  </w:p>
  <w:p w14:paraId="0C602265">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A2D8A">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88C39">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42277B"/>
    <w:multiLevelType w:val="singleLevel"/>
    <w:tmpl w:val="BC42277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05CB"/>
    <w:rsid w:val="000320B2"/>
    <w:rsid w:val="00093F1A"/>
    <w:rsid w:val="00105964"/>
    <w:rsid w:val="00147EC0"/>
    <w:rsid w:val="001508E9"/>
    <w:rsid w:val="00172A27"/>
    <w:rsid w:val="001B60CE"/>
    <w:rsid w:val="0020026D"/>
    <w:rsid w:val="00205B29"/>
    <w:rsid w:val="00284499"/>
    <w:rsid w:val="002D10DA"/>
    <w:rsid w:val="002D6B25"/>
    <w:rsid w:val="003A7EEA"/>
    <w:rsid w:val="003C7FD7"/>
    <w:rsid w:val="003F6AA8"/>
    <w:rsid w:val="00452B1F"/>
    <w:rsid w:val="00492026"/>
    <w:rsid w:val="004D43E5"/>
    <w:rsid w:val="004D7CB8"/>
    <w:rsid w:val="005774C2"/>
    <w:rsid w:val="005850AC"/>
    <w:rsid w:val="005952AE"/>
    <w:rsid w:val="005C6918"/>
    <w:rsid w:val="0066321D"/>
    <w:rsid w:val="0067157E"/>
    <w:rsid w:val="00677121"/>
    <w:rsid w:val="00680E07"/>
    <w:rsid w:val="00705205"/>
    <w:rsid w:val="007A2863"/>
    <w:rsid w:val="007E7682"/>
    <w:rsid w:val="007F0E0A"/>
    <w:rsid w:val="008D198E"/>
    <w:rsid w:val="0099117C"/>
    <w:rsid w:val="009B2957"/>
    <w:rsid w:val="009D156A"/>
    <w:rsid w:val="00B54F8C"/>
    <w:rsid w:val="00B67D3F"/>
    <w:rsid w:val="00BB4F3F"/>
    <w:rsid w:val="00BC26EE"/>
    <w:rsid w:val="00BE48B7"/>
    <w:rsid w:val="00C71C03"/>
    <w:rsid w:val="00E47E0D"/>
    <w:rsid w:val="00F00720"/>
    <w:rsid w:val="00F357C3"/>
    <w:rsid w:val="00F57B0E"/>
    <w:rsid w:val="00F64AB7"/>
    <w:rsid w:val="018138E3"/>
    <w:rsid w:val="01C149DC"/>
    <w:rsid w:val="0215350F"/>
    <w:rsid w:val="029B3657"/>
    <w:rsid w:val="02A746B9"/>
    <w:rsid w:val="02C809A9"/>
    <w:rsid w:val="03702B44"/>
    <w:rsid w:val="044E296D"/>
    <w:rsid w:val="04666E94"/>
    <w:rsid w:val="04EF608F"/>
    <w:rsid w:val="070B2A93"/>
    <w:rsid w:val="07457992"/>
    <w:rsid w:val="076777B5"/>
    <w:rsid w:val="08354250"/>
    <w:rsid w:val="08DC1B96"/>
    <w:rsid w:val="0A1950ED"/>
    <w:rsid w:val="0A23305B"/>
    <w:rsid w:val="0AA67368"/>
    <w:rsid w:val="0B707148"/>
    <w:rsid w:val="0C963F7E"/>
    <w:rsid w:val="0CC25EAD"/>
    <w:rsid w:val="0D2708F8"/>
    <w:rsid w:val="0D29300C"/>
    <w:rsid w:val="0DDB0371"/>
    <w:rsid w:val="0DF36A94"/>
    <w:rsid w:val="0E2A25F4"/>
    <w:rsid w:val="0E722DA6"/>
    <w:rsid w:val="0F374C9A"/>
    <w:rsid w:val="0F880E20"/>
    <w:rsid w:val="110A0580"/>
    <w:rsid w:val="111A5B1D"/>
    <w:rsid w:val="113510B9"/>
    <w:rsid w:val="115B5144"/>
    <w:rsid w:val="11765350"/>
    <w:rsid w:val="117C7860"/>
    <w:rsid w:val="11EB10EE"/>
    <w:rsid w:val="11FC0247"/>
    <w:rsid w:val="128D3273"/>
    <w:rsid w:val="13E25151"/>
    <w:rsid w:val="166F18A8"/>
    <w:rsid w:val="174910C2"/>
    <w:rsid w:val="17E92C6E"/>
    <w:rsid w:val="180C79B1"/>
    <w:rsid w:val="18A83BFE"/>
    <w:rsid w:val="18B9131C"/>
    <w:rsid w:val="18D32762"/>
    <w:rsid w:val="18E3666C"/>
    <w:rsid w:val="18F124E8"/>
    <w:rsid w:val="191B2C14"/>
    <w:rsid w:val="1B84377A"/>
    <w:rsid w:val="1BBB7B16"/>
    <w:rsid w:val="1BC07498"/>
    <w:rsid w:val="1CF206A4"/>
    <w:rsid w:val="1D3D5763"/>
    <w:rsid w:val="1D603BC6"/>
    <w:rsid w:val="1EEB34F7"/>
    <w:rsid w:val="1EFA301C"/>
    <w:rsid w:val="1F480FB9"/>
    <w:rsid w:val="1FD818DB"/>
    <w:rsid w:val="20550283"/>
    <w:rsid w:val="21C23676"/>
    <w:rsid w:val="220300EA"/>
    <w:rsid w:val="22CD3B17"/>
    <w:rsid w:val="234F0BA6"/>
    <w:rsid w:val="23903D6D"/>
    <w:rsid w:val="23AE1378"/>
    <w:rsid w:val="23EB4A9F"/>
    <w:rsid w:val="243F76A5"/>
    <w:rsid w:val="2485259D"/>
    <w:rsid w:val="2531442E"/>
    <w:rsid w:val="262F266A"/>
    <w:rsid w:val="265B6950"/>
    <w:rsid w:val="26802B7A"/>
    <w:rsid w:val="27585531"/>
    <w:rsid w:val="27641883"/>
    <w:rsid w:val="28687F5E"/>
    <w:rsid w:val="29D02443"/>
    <w:rsid w:val="2A97644D"/>
    <w:rsid w:val="2ADF219E"/>
    <w:rsid w:val="2B3A1C3D"/>
    <w:rsid w:val="2B4133A3"/>
    <w:rsid w:val="2BA827E4"/>
    <w:rsid w:val="2BAE2B17"/>
    <w:rsid w:val="2CCE5053"/>
    <w:rsid w:val="2D3B6308"/>
    <w:rsid w:val="2D5F62E8"/>
    <w:rsid w:val="2FA57036"/>
    <w:rsid w:val="303A03CE"/>
    <w:rsid w:val="31A66339"/>
    <w:rsid w:val="33EE78D6"/>
    <w:rsid w:val="34624095"/>
    <w:rsid w:val="369D13F8"/>
    <w:rsid w:val="36AB61ED"/>
    <w:rsid w:val="36C12AE3"/>
    <w:rsid w:val="370B41E5"/>
    <w:rsid w:val="37752811"/>
    <w:rsid w:val="37EC28C7"/>
    <w:rsid w:val="3854126F"/>
    <w:rsid w:val="394B354A"/>
    <w:rsid w:val="39BF5529"/>
    <w:rsid w:val="3A3B60C0"/>
    <w:rsid w:val="3ADB4124"/>
    <w:rsid w:val="3ADB7643"/>
    <w:rsid w:val="3ADE1959"/>
    <w:rsid w:val="3AE56932"/>
    <w:rsid w:val="3B4C5B75"/>
    <w:rsid w:val="3B6A7C3B"/>
    <w:rsid w:val="3C4A4897"/>
    <w:rsid w:val="3C8D3970"/>
    <w:rsid w:val="3CC24788"/>
    <w:rsid w:val="3D1F39C8"/>
    <w:rsid w:val="3D53416C"/>
    <w:rsid w:val="3D5573F5"/>
    <w:rsid w:val="3E204F54"/>
    <w:rsid w:val="3ECD35FB"/>
    <w:rsid w:val="3F477902"/>
    <w:rsid w:val="3F845F29"/>
    <w:rsid w:val="40760BBE"/>
    <w:rsid w:val="40B917EC"/>
    <w:rsid w:val="41900C35"/>
    <w:rsid w:val="42405221"/>
    <w:rsid w:val="429926CB"/>
    <w:rsid w:val="42AC19AA"/>
    <w:rsid w:val="42C04C0D"/>
    <w:rsid w:val="42E7325B"/>
    <w:rsid w:val="430101FE"/>
    <w:rsid w:val="4457247D"/>
    <w:rsid w:val="44FA1144"/>
    <w:rsid w:val="45390600"/>
    <w:rsid w:val="457A7C76"/>
    <w:rsid w:val="464678D0"/>
    <w:rsid w:val="46511B00"/>
    <w:rsid w:val="465E50AA"/>
    <w:rsid w:val="46692589"/>
    <w:rsid w:val="47CD274E"/>
    <w:rsid w:val="480477B9"/>
    <w:rsid w:val="48445D01"/>
    <w:rsid w:val="489C7F25"/>
    <w:rsid w:val="48EC5760"/>
    <w:rsid w:val="490F138C"/>
    <w:rsid w:val="493366EA"/>
    <w:rsid w:val="4B1703D2"/>
    <w:rsid w:val="4C0C5217"/>
    <w:rsid w:val="4C362DF5"/>
    <w:rsid w:val="4DBF400B"/>
    <w:rsid w:val="4E972DEF"/>
    <w:rsid w:val="4EAC7744"/>
    <w:rsid w:val="4F5B07E8"/>
    <w:rsid w:val="503D43EA"/>
    <w:rsid w:val="50AE78F5"/>
    <w:rsid w:val="51067E26"/>
    <w:rsid w:val="51A6200C"/>
    <w:rsid w:val="524B5D4C"/>
    <w:rsid w:val="5350577F"/>
    <w:rsid w:val="53DF2A17"/>
    <w:rsid w:val="541E749C"/>
    <w:rsid w:val="54A6741C"/>
    <w:rsid w:val="54E46113"/>
    <w:rsid w:val="551A39AC"/>
    <w:rsid w:val="5628054F"/>
    <w:rsid w:val="5724558C"/>
    <w:rsid w:val="58115A15"/>
    <w:rsid w:val="58352788"/>
    <w:rsid w:val="583D724A"/>
    <w:rsid w:val="58835F1E"/>
    <w:rsid w:val="58B82C5A"/>
    <w:rsid w:val="58FE7D86"/>
    <w:rsid w:val="59135874"/>
    <w:rsid w:val="59AF37AB"/>
    <w:rsid w:val="59C279B6"/>
    <w:rsid w:val="59E82A97"/>
    <w:rsid w:val="5A0C59D9"/>
    <w:rsid w:val="5C162D9F"/>
    <w:rsid w:val="5C764D82"/>
    <w:rsid w:val="5CDC6F76"/>
    <w:rsid w:val="5D8D7140"/>
    <w:rsid w:val="5E85499C"/>
    <w:rsid w:val="609F0000"/>
    <w:rsid w:val="6136087C"/>
    <w:rsid w:val="630C13E9"/>
    <w:rsid w:val="631A6766"/>
    <w:rsid w:val="632D3E9F"/>
    <w:rsid w:val="6437288D"/>
    <w:rsid w:val="64C33932"/>
    <w:rsid w:val="65734D97"/>
    <w:rsid w:val="663E20CD"/>
    <w:rsid w:val="677D16F9"/>
    <w:rsid w:val="68A57D98"/>
    <w:rsid w:val="68BF2A8A"/>
    <w:rsid w:val="68F030D8"/>
    <w:rsid w:val="69AC5B44"/>
    <w:rsid w:val="69D51C88"/>
    <w:rsid w:val="6A166888"/>
    <w:rsid w:val="6A1A0914"/>
    <w:rsid w:val="6A224684"/>
    <w:rsid w:val="6A582A94"/>
    <w:rsid w:val="6A9010E0"/>
    <w:rsid w:val="6AC979F5"/>
    <w:rsid w:val="6B616F9C"/>
    <w:rsid w:val="6B7F4967"/>
    <w:rsid w:val="6BF45276"/>
    <w:rsid w:val="6D144D81"/>
    <w:rsid w:val="6D97337C"/>
    <w:rsid w:val="6E672471"/>
    <w:rsid w:val="6E7532B9"/>
    <w:rsid w:val="6EE149AD"/>
    <w:rsid w:val="6EE15A2E"/>
    <w:rsid w:val="6F40221E"/>
    <w:rsid w:val="6F5D1FA7"/>
    <w:rsid w:val="70890975"/>
    <w:rsid w:val="717B033D"/>
    <w:rsid w:val="717E6791"/>
    <w:rsid w:val="718C1384"/>
    <w:rsid w:val="71F70FEF"/>
    <w:rsid w:val="71FA2C5A"/>
    <w:rsid w:val="7256302F"/>
    <w:rsid w:val="729E228E"/>
    <w:rsid w:val="731C7F6E"/>
    <w:rsid w:val="735F0314"/>
    <w:rsid w:val="74091673"/>
    <w:rsid w:val="74DD0C47"/>
    <w:rsid w:val="77FB2861"/>
    <w:rsid w:val="7846005E"/>
    <w:rsid w:val="78E93F8E"/>
    <w:rsid w:val="796C4CA5"/>
    <w:rsid w:val="79835C74"/>
    <w:rsid w:val="7A5478BD"/>
    <w:rsid w:val="7B4207B2"/>
    <w:rsid w:val="7BD43389"/>
    <w:rsid w:val="7C3B44D6"/>
    <w:rsid w:val="7D453684"/>
    <w:rsid w:val="7D5B58C2"/>
    <w:rsid w:val="7D962AC6"/>
    <w:rsid w:val="7DC62ED9"/>
    <w:rsid w:val="7DE239A6"/>
    <w:rsid w:val="7DEF7E4A"/>
    <w:rsid w:val="7EAE51E7"/>
    <w:rsid w:val="7F025B69"/>
    <w:rsid w:val="7FCF327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qFormat/>
    <w:uiPriority w:val="0"/>
  </w:style>
  <w:style w:type="paragraph" w:styleId="4">
    <w:name w:val="toc 5"/>
    <w:basedOn w:val="1"/>
    <w:next w:val="1"/>
    <w:qFormat/>
    <w:uiPriority w:val="99"/>
    <w:pPr>
      <w:spacing w:before="100" w:beforeAutospacing="1" w:after="100" w:afterAutospacing="1"/>
      <w:ind w:left="1680"/>
    </w:pPr>
  </w:style>
  <w:style w:type="paragraph" w:styleId="5">
    <w:name w:val="Body Text Indent"/>
    <w:basedOn w:val="1"/>
    <w:qFormat/>
    <w:uiPriority w:val="0"/>
    <w:pPr>
      <w:ind w:firstLine="6400" w:firstLineChars="2000"/>
    </w:pPr>
    <w:rPr>
      <w:rFonts w:ascii="Calibri" w:hAnsi="Calibri"/>
      <w:sz w:val="32"/>
    </w:rPr>
  </w:style>
  <w:style w:type="paragraph" w:styleId="6">
    <w:name w:val="Plain Text"/>
    <w:basedOn w:val="1"/>
    <w:link w:val="16"/>
    <w:qFormat/>
    <w:uiPriority w:val="99"/>
    <w:rPr>
      <w:rFonts w:ascii="仿宋_GB2312" w:hAnsi="Courier New" w:eastAsia="仿宋_GB2312"/>
      <w:kern w:val="0"/>
      <w:szCs w:val="21"/>
    </w:rPr>
  </w:style>
  <w:style w:type="paragraph" w:styleId="7">
    <w:name w:val="Balloon Text"/>
    <w:basedOn w:val="1"/>
    <w:link w:val="17"/>
    <w:qFormat/>
    <w:uiPriority w:val="99"/>
    <w:rPr>
      <w:kern w:val="0"/>
      <w:sz w:val="18"/>
      <w:szCs w:val="18"/>
    </w:rPr>
  </w:style>
  <w:style w:type="paragraph" w:styleId="8">
    <w:name w:val="footer"/>
    <w:basedOn w:val="1"/>
    <w:link w:val="15"/>
    <w:qFormat/>
    <w:uiPriority w:val="99"/>
    <w:pPr>
      <w:tabs>
        <w:tab w:val="center" w:pos="4153"/>
        <w:tab w:val="right" w:pos="8306"/>
      </w:tabs>
      <w:snapToGrid w:val="0"/>
      <w:jc w:val="left"/>
    </w:pPr>
    <w:rPr>
      <w:kern w:val="0"/>
      <w:sz w:val="18"/>
      <w:szCs w:val="18"/>
    </w:rPr>
  </w:style>
  <w:style w:type="paragraph" w:styleId="9">
    <w:name w:val="header"/>
    <w:basedOn w:val="1"/>
    <w:link w:val="14"/>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qFormat/>
    <w:uiPriority w:val="0"/>
    <w:pPr>
      <w:ind w:firstLine="420" w:firstLineChars="200"/>
    </w:pPr>
    <w:rPr>
      <w:sz w:val="30"/>
    </w:rPr>
  </w:style>
  <w:style w:type="character" w:customStyle="1" w:styleId="14">
    <w:name w:val="页眉 Char"/>
    <w:link w:val="9"/>
    <w:qFormat/>
    <w:uiPriority w:val="99"/>
    <w:rPr>
      <w:rFonts w:ascii="Times New Roman" w:hAnsi="Times New Roman" w:eastAsia="宋体" w:cs="Times New Roman"/>
      <w:sz w:val="18"/>
      <w:szCs w:val="18"/>
    </w:rPr>
  </w:style>
  <w:style w:type="character" w:customStyle="1" w:styleId="15">
    <w:name w:val="页脚 Char"/>
    <w:link w:val="8"/>
    <w:qFormat/>
    <w:uiPriority w:val="99"/>
    <w:rPr>
      <w:rFonts w:ascii="Times New Roman" w:hAnsi="Times New Roman" w:eastAsia="宋体" w:cs="Times New Roman"/>
      <w:sz w:val="18"/>
      <w:szCs w:val="18"/>
    </w:rPr>
  </w:style>
  <w:style w:type="character" w:customStyle="1" w:styleId="16">
    <w:name w:val="纯文本 Char"/>
    <w:link w:val="6"/>
    <w:qFormat/>
    <w:uiPriority w:val="99"/>
    <w:rPr>
      <w:rFonts w:ascii="仿宋_GB2312" w:hAnsi="Courier New" w:eastAsia="仿宋_GB2312" w:cs="Times New Roman"/>
      <w:sz w:val="21"/>
      <w:szCs w:val="21"/>
    </w:rPr>
  </w:style>
  <w:style w:type="character" w:customStyle="1" w:styleId="17">
    <w:name w:val="批注框文本 Char"/>
    <w:link w:val="7"/>
    <w:qFormat/>
    <w:uiPriority w:val="99"/>
    <w:rPr>
      <w:rFonts w:ascii="Times New Roman" w:hAnsi="Times New Roman" w:eastAsia="宋体" w:cs="Times New Roman"/>
      <w:sz w:val="18"/>
      <w:szCs w:val="18"/>
    </w:rPr>
  </w:style>
  <w:style w:type="paragraph" w:customStyle="1" w:styleId="18">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szCs w:val="20"/>
    </w:rPr>
  </w:style>
  <w:style w:type="paragraph" w:customStyle="1" w:styleId="19">
    <w:name w:val="List Paragraph_cad427c5-3adb-4717-be65-da755b6d6aa1"/>
    <w:basedOn w:val="1"/>
    <w:qFormat/>
    <w:uiPriority w:val="34"/>
    <w:pPr>
      <w:ind w:firstLine="420" w:firstLineChars="200"/>
    </w:pPr>
  </w:style>
  <w:style w:type="paragraph" w:customStyle="1" w:styleId="20">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公文正文"/>
    <w:qFormat/>
    <w:uiPriority w:val="0"/>
    <w:rPr>
      <w:rFonts w:hint="eastAsia" w:ascii="仿宋_GB2312" w:eastAsia="仿宋_GB2312"/>
      <w:sz w:val="32"/>
    </w:rPr>
  </w:style>
  <w:style w:type="character" w:customStyle="1" w:styleId="22">
    <w:name w:val="span"/>
    <w:basedOn w:val="13"/>
    <w:qFormat/>
    <w:uiPriority w:val="0"/>
  </w:style>
  <w:style w:type="paragraph" w:customStyle="1" w:styleId="23">
    <w:name w:val="实施方案正文"/>
    <w:basedOn w:val="24"/>
    <w:qFormat/>
    <w:uiPriority w:val="0"/>
    <w:pPr>
      <w:ind w:firstLine="566" w:firstLineChars="202"/>
    </w:pPr>
    <w:rPr>
      <w:rFonts w:ascii="等线" w:hAnsi="等线" w:eastAsia="等线"/>
      <w:szCs w:val="28"/>
    </w:rPr>
  </w:style>
  <w:style w:type="paragraph" w:customStyle="1" w:styleId="24">
    <w:name w:val="正文 New"/>
    <w:next w:val="23"/>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60C04-997D-4C2B-85B4-80A6A5D7C2A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4990</Words>
  <Characters>5277</Characters>
  <Lines>38</Lines>
  <Paragraphs>10</Paragraphs>
  <TotalTime>14</TotalTime>
  <ScaleCrop>false</ScaleCrop>
  <LinksUpToDate>false</LinksUpToDate>
  <CharactersWithSpaces>5279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2021-06-21T02:27:00Z</dcterms:created>
  <dc:creator>Administrator</dc:creator>
  <cp:lastModifiedBy>方</cp:lastModifiedBy>
  <cp:lastPrinted>2023-07-18T08:31:00Z</cp:lastPrinted>
  <dcterms:modified xsi:type="dcterms:W3CDTF">2025-07-29T09:08:28Z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D450A01C708A417F9DFCCCD7369A82F1_13</vt:lpwstr>
  </property>
  <property fmtid="{D5CDD505-2E9C-101B-9397-08002B2CF9AE}" pid="4" name="KSOTemplateDocerSaveRecord">
    <vt:lpwstr>eyJoZGlkIjoiYWM4OTdjYmM5OTc1ZTExMjliOThhNWZiOGFiODE3Y2QiLCJ1c2VySWQiOiIxMTIxMzIwNzkyIn0=</vt:lpwstr>
  </property>
</Properties>
</file>