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31F4D">
      <w:pPr>
        <w:spacing w:before="120" w:after="120" w:line="480" w:lineRule="auto"/>
        <w:rPr>
          <w:rFonts w:ascii="Times New Roman" w:hAnsi="Times New Roman" w:eastAsia="黑体"/>
          <w:b/>
          <w:bCs/>
          <w:sz w:val="52"/>
          <w:szCs w:val="52"/>
        </w:rPr>
      </w:pPr>
    </w:p>
    <w:p w14:paraId="58F8F7C7">
      <w:pPr>
        <w:spacing w:line="579" w:lineRule="exact"/>
        <w:jc w:val="center"/>
        <w:rPr>
          <w:rFonts w:ascii="方正小标宋_GBK" w:hAnsi="方正小标宋简体" w:eastAsia="方正小标宋_GBK" w:cs="方正小标宋简体"/>
          <w:spacing w:val="6"/>
          <w:kern w:val="0"/>
          <w:sz w:val="40"/>
          <w:szCs w:val="40"/>
        </w:rPr>
      </w:pPr>
      <w:r>
        <w:rPr>
          <w:rFonts w:hint="eastAsia" w:ascii="方正小标宋_GBK" w:hAnsi="方正小标宋简体" w:eastAsia="方正小标宋_GBK" w:cs="方正小标宋简体"/>
          <w:spacing w:val="6"/>
          <w:kern w:val="0"/>
          <w:sz w:val="40"/>
          <w:szCs w:val="40"/>
        </w:rPr>
        <w:t>盘龙区农业农村局松华街道大摆社区山药、中药种植示范项目绩效评价报告</w:t>
      </w:r>
    </w:p>
    <w:p w14:paraId="4C99266E">
      <w:pPr>
        <w:spacing w:before="120" w:after="120" w:line="480" w:lineRule="auto"/>
        <w:jc w:val="center"/>
        <w:rPr>
          <w:rFonts w:ascii="方正小标宋_GBK" w:hAnsi="方正小标宋简体" w:eastAsia="方正小标宋_GBK" w:cs="方正小标宋简体"/>
          <w:spacing w:val="6"/>
          <w:kern w:val="0"/>
          <w:sz w:val="40"/>
          <w:szCs w:val="40"/>
        </w:rPr>
      </w:pPr>
      <w:r>
        <w:rPr>
          <w:rFonts w:hint="eastAsia" w:ascii="方正小标宋_GBK" w:hAnsi="方正小标宋简体" w:eastAsia="方正小标宋_GBK" w:cs="方正小标宋简体"/>
          <w:spacing w:val="6"/>
          <w:kern w:val="0"/>
          <w:sz w:val="40"/>
          <w:szCs w:val="40"/>
        </w:rPr>
        <w:t>（2019年度）</w:t>
      </w:r>
    </w:p>
    <w:p w14:paraId="157F3A51">
      <w:pPr>
        <w:spacing w:before="120" w:after="120" w:line="480" w:lineRule="auto"/>
        <w:jc w:val="center"/>
        <w:rPr>
          <w:rFonts w:ascii="Times New Roman" w:hAnsi="Times New Roman"/>
          <w:b/>
          <w:bCs/>
          <w:sz w:val="44"/>
          <w:szCs w:val="44"/>
        </w:rPr>
      </w:pPr>
    </w:p>
    <w:p w14:paraId="63E6F205">
      <w:pPr>
        <w:spacing w:before="120" w:after="120" w:line="480" w:lineRule="auto"/>
        <w:jc w:val="center"/>
        <w:rPr>
          <w:rFonts w:ascii="Times New Roman" w:hAnsi="Times New Roman" w:eastAsia="黑体"/>
          <w:b/>
          <w:bCs/>
          <w:sz w:val="44"/>
          <w:szCs w:val="44"/>
        </w:rPr>
      </w:pPr>
    </w:p>
    <w:p w14:paraId="4AF38834">
      <w:pPr>
        <w:spacing w:before="120" w:after="120" w:line="480" w:lineRule="auto"/>
        <w:jc w:val="center"/>
        <w:rPr>
          <w:rFonts w:ascii="Times New Roman" w:hAnsi="Times New Roman" w:eastAsia="黑体"/>
          <w:b/>
          <w:bCs/>
          <w:sz w:val="44"/>
          <w:szCs w:val="44"/>
        </w:rPr>
      </w:pPr>
    </w:p>
    <w:p w14:paraId="1C6D51E3">
      <w:pPr>
        <w:spacing w:before="120" w:after="120" w:line="480" w:lineRule="auto"/>
        <w:jc w:val="center"/>
        <w:rPr>
          <w:rFonts w:ascii="Times New Roman" w:hAnsi="Times New Roman" w:eastAsia="黑体"/>
          <w:b/>
          <w:bCs/>
          <w:sz w:val="44"/>
          <w:szCs w:val="44"/>
        </w:rPr>
      </w:pPr>
    </w:p>
    <w:p w14:paraId="754CC152">
      <w:pPr>
        <w:spacing w:before="120" w:after="120" w:line="480" w:lineRule="auto"/>
        <w:jc w:val="center"/>
        <w:rPr>
          <w:rFonts w:ascii="Times New Roman" w:hAnsi="Times New Roman" w:eastAsia="黑体"/>
          <w:b/>
          <w:bCs/>
          <w:sz w:val="44"/>
          <w:szCs w:val="44"/>
        </w:rPr>
      </w:pPr>
    </w:p>
    <w:p w14:paraId="5494FA01">
      <w:pPr>
        <w:adjustRightInd w:val="0"/>
        <w:snapToGrid w:val="0"/>
        <w:spacing w:line="360" w:lineRule="auto"/>
        <w:ind w:left="1260" w:leftChars="600"/>
        <w:rPr>
          <w:rFonts w:ascii="Times New Roman" w:hAnsi="Times New Roman" w:eastAsia="黑体" w:cs="黑体"/>
          <w:b/>
          <w:bCs/>
          <w:sz w:val="28"/>
          <w:szCs w:val="28"/>
        </w:rPr>
      </w:pPr>
      <w:r>
        <w:rPr>
          <w:rFonts w:ascii="Times New Roman" w:hAnsi="Times New Roman" w:eastAsia="黑体" w:cs="黑体"/>
          <w:b/>
          <w:bCs/>
          <w:sz w:val="28"/>
          <w:szCs w:val="28"/>
        </w:rPr>
        <mc:AlternateContent>
          <mc:Choice Requires="wps">
            <w:drawing>
              <wp:anchor distT="0" distB="0" distL="114300" distR="114300" simplePos="0" relativeHeight="251660288" behindDoc="0" locked="0" layoutInCell="1" allowOverlap="1">
                <wp:simplePos x="0" y="0"/>
                <wp:positionH relativeFrom="column">
                  <wp:posOffset>1685925</wp:posOffset>
                </wp:positionH>
                <wp:positionV relativeFrom="paragraph">
                  <wp:posOffset>208280</wp:posOffset>
                </wp:positionV>
                <wp:extent cx="2796540" cy="0"/>
                <wp:effectExtent l="0" t="0" r="0" b="0"/>
                <wp:wrapNone/>
                <wp:docPr id="1" name="自选图形 2"/>
                <wp:cNvGraphicFramePr/>
                <a:graphic xmlns:a="http://schemas.openxmlformats.org/drawingml/2006/main">
                  <a:graphicData uri="http://schemas.microsoft.com/office/word/2010/wordprocessingShape">
                    <wps:wsp>
                      <wps:cNvCnPr/>
                      <wps:spPr>
                        <a:xfrm>
                          <a:off x="0" y="0"/>
                          <a:ext cx="2796540" cy="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自选图形 2" o:spid="_x0000_s1026" o:spt="32" type="#_x0000_t32" style="position:absolute;left:0pt;margin-left:132.75pt;margin-top:16.4pt;height:0pt;width:220.2pt;z-index:251660288;mso-width-relative:page;mso-height-relative:page;" filled="f" stroked="t" coordsize="21600,21600" o:gfxdata="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258ur1wAAAAkBAAAPAAAA&#10;AAAAAAEAIAAAACIAAABkcnMvZG93bnJldi54bWxQSwECFAAUAAAACACHTuJA+m6wwxYCAAAyBAAA&#10;DgAAAAAAAAABACAAAAAmAQAAZHJzL2Uyb0RvYy54bWxQSwUGAAAAAAYABgBZAQAArgUAAAAA&#10;">
                <v:fill on="f" focussize="0,0"/>
                <v:stroke color="#000000 [3200]" joinstyle="round"/>
                <v:imagedata o:title=""/>
                <o:lock v:ext="edit" aspectratio="f"/>
              </v:shape>
            </w:pict>
          </mc:Fallback>
        </mc:AlternateContent>
      </w:r>
      <w:r>
        <w:rPr>
          <w:rFonts w:hint="eastAsia" w:ascii="Times New Roman" w:hAnsi="Times New Roman" w:eastAsia="黑体" w:cs="黑体"/>
          <w:b/>
          <w:bCs/>
          <w:sz w:val="28"/>
          <w:szCs w:val="28"/>
        </w:rPr>
        <w:t>项目名称：大摆社区山药、中药种植示范项目</w:t>
      </w:r>
    </w:p>
    <w:p w14:paraId="4DFF1471">
      <w:pPr>
        <w:adjustRightInd w:val="0"/>
        <w:snapToGrid w:val="0"/>
        <w:spacing w:line="360" w:lineRule="auto"/>
        <w:ind w:left="1260" w:leftChars="600"/>
        <w:rPr>
          <w:rFonts w:ascii="Times New Roman" w:hAnsi="Times New Roman" w:eastAsia="黑体" w:cs="黑体"/>
          <w:b/>
          <w:bCs/>
          <w:sz w:val="28"/>
          <w:szCs w:val="28"/>
        </w:rPr>
      </w:pPr>
      <w:r>
        <w:rPr>
          <w:rFonts w:ascii="Times New Roman" w:hAnsi="Times New Roman" w:eastAsia="黑体" w:cs="黑体"/>
          <w:b/>
          <w:bCs/>
          <w:sz w:val="28"/>
          <w:szCs w:val="28"/>
        </w:rPr>
        <mc:AlternateContent>
          <mc:Choice Requires="wps">
            <w:drawing>
              <wp:anchor distT="0" distB="0" distL="114300" distR="114300" simplePos="0" relativeHeight="251661312" behindDoc="0" locked="0" layoutInCell="1" allowOverlap="1">
                <wp:simplePos x="0" y="0"/>
                <wp:positionH relativeFrom="column">
                  <wp:posOffset>1714500</wp:posOffset>
                </wp:positionH>
                <wp:positionV relativeFrom="paragraph">
                  <wp:posOffset>221615</wp:posOffset>
                </wp:positionV>
                <wp:extent cx="2495550" cy="0"/>
                <wp:effectExtent l="0" t="0" r="0" b="0"/>
                <wp:wrapNone/>
                <wp:docPr id="2" name="自选图形 3"/>
                <wp:cNvGraphicFramePr/>
                <a:graphic xmlns:a="http://schemas.openxmlformats.org/drawingml/2006/main">
                  <a:graphicData uri="http://schemas.microsoft.com/office/word/2010/wordprocessingShape">
                    <wps:wsp>
                      <wps:cNvCnPr/>
                      <wps:spPr>
                        <a:xfrm>
                          <a:off x="0" y="0"/>
                          <a:ext cx="24955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35pt;margin-top:17.45pt;height:0pt;width:196.5pt;z-index:251661312;mso-width-relative:page;mso-height-relative:page;" filled="f" stroked="t" coordsize="21600,21600" o:gfxdata="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xhF2DXAAAACQEAAA8AAAAAAAAAAQAgAAAAIgAAAGRycy9kb3ducmV2LnhtbFBLAQIU&#10;ABQAAAAIAIdO4kA06Wom9AEAAOMDAAAOAAAAAAAAAAEAIAAAACYBAABkcnMvZTJvRG9jLnhtbFBL&#10;BQYAAAAABgAGAFkBAACMBQAAAAA=&#10;">
                <v:fill on="f" focussize="0,0"/>
                <v:stroke color="#000000" joinstyle="round"/>
                <v:imagedata o:title=""/>
                <o:lock v:ext="edit" aspectratio="f"/>
              </v:shape>
            </w:pict>
          </mc:Fallback>
        </mc:AlternateContent>
      </w:r>
      <w:r>
        <w:rPr>
          <w:rFonts w:hint="eastAsia" w:ascii="Times New Roman" w:hAnsi="Times New Roman" w:eastAsia="黑体" w:cs="黑体"/>
          <w:b/>
          <w:bCs/>
          <w:sz w:val="28"/>
          <w:szCs w:val="28"/>
        </w:rPr>
        <w:t>项目单位：</w:t>
      </w:r>
      <w:r>
        <w:rPr>
          <w:rFonts w:ascii="Times New Roman" w:hAnsi="Times New Roman" w:eastAsia="黑体" w:cs="黑体"/>
          <w:b/>
          <w:bCs/>
          <w:sz w:val="28"/>
          <w:szCs w:val="28"/>
        </w:rPr>
        <w:t>昆明市</w:t>
      </w:r>
      <w:r>
        <w:rPr>
          <w:rFonts w:hint="eastAsia" w:ascii="Times New Roman" w:hAnsi="Times New Roman" w:eastAsia="黑体" w:cs="黑体"/>
          <w:b/>
          <w:bCs/>
          <w:sz w:val="28"/>
          <w:szCs w:val="28"/>
        </w:rPr>
        <w:t>盘龙区农业农村局</w:t>
      </w:r>
    </w:p>
    <w:p w14:paraId="482014D8">
      <w:pPr>
        <w:adjustRightInd w:val="0"/>
        <w:snapToGrid w:val="0"/>
        <w:spacing w:line="360" w:lineRule="auto"/>
        <w:ind w:left="1260" w:leftChars="600"/>
        <w:rPr>
          <w:rFonts w:ascii="Times New Roman" w:hAnsi="Times New Roman" w:eastAsia="黑体"/>
          <w:b/>
          <w:bCs/>
          <w:sz w:val="28"/>
          <w:szCs w:val="28"/>
        </w:rPr>
      </w:pPr>
      <w:r>
        <w:rPr>
          <w:rFonts w:ascii="Times New Roman" w:hAnsi="Times New Roman" w:eastAsia="黑体" w:cs="黑体"/>
          <w:b/>
          <w:bCs/>
          <w:sz w:val="28"/>
          <w:szCs w:val="28"/>
        </w:rPr>
        <mc:AlternateContent>
          <mc:Choice Requires="wps">
            <w:drawing>
              <wp:anchor distT="0" distB="0" distL="114300" distR="114300" simplePos="0" relativeHeight="251662336" behindDoc="0" locked="0" layoutInCell="1" allowOverlap="1">
                <wp:simplePos x="0" y="0"/>
                <wp:positionH relativeFrom="column">
                  <wp:posOffset>1714500</wp:posOffset>
                </wp:positionH>
                <wp:positionV relativeFrom="paragraph">
                  <wp:posOffset>180975</wp:posOffset>
                </wp:positionV>
                <wp:extent cx="2495550" cy="0"/>
                <wp:effectExtent l="0" t="0" r="0" b="0"/>
                <wp:wrapNone/>
                <wp:docPr id="3" name="自选图形 4"/>
                <wp:cNvGraphicFramePr/>
                <a:graphic xmlns:a="http://schemas.openxmlformats.org/drawingml/2006/main">
                  <a:graphicData uri="http://schemas.microsoft.com/office/word/2010/wordprocessingShape">
                    <wps:wsp>
                      <wps:cNvCnPr/>
                      <wps:spPr>
                        <a:xfrm>
                          <a:off x="0" y="0"/>
                          <a:ext cx="24955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135pt;margin-top:14.25pt;height:0pt;width:196.5pt;z-index:251662336;mso-width-relative:page;mso-height-relative:page;" filled="f" stroked="t" coordsize="21600,21600" o:gfxdata="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0IL+71wAAAAkBAAAPAAAAAAAAAAEAIAAAACIAAABkcnMvZG93bnJldi54bWxQSwEC&#10;FAAUAAAACACHTuJAZqxjtvUBAADjAwAADgAAAAAAAAABACAAAAAmAQAAZHJzL2Uyb0RvYy54bWxQ&#10;SwUGAAAAAAYABgBZAQAAjQUAAAAA&#10;">
                <v:fill on="f" focussize="0,0"/>
                <v:stroke color="#000000" joinstyle="round"/>
                <v:imagedata o:title=""/>
                <o:lock v:ext="edit" aspectratio="f"/>
              </v:shape>
            </w:pict>
          </mc:Fallback>
        </mc:AlternateContent>
      </w:r>
      <w:r>
        <w:rPr>
          <w:rFonts w:hint="eastAsia" w:ascii="Times New Roman" w:hAnsi="Times New Roman" w:eastAsia="黑体" w:cs="黑体"/>
          <w:b/>
          <w:bCs/>
          <w:sz w:val="28"/>
          <w:szCs w:val="28"/>
        </w:rPr>
        <w:t>主管部门：昆明市盘龙区农业农村局</w:t>
      </w:r>
    </w:p>
    <w:p w14:paraId="7D44825C">
      <w:pPr>
        <w:adjustRightInd w:val="0"/>
        <w:snapToGrid w:val="0"/>
        <w:spacing w:line="360" w:lineRule="auto"/>
        <w:ind w:left="1260" w:leftChars="600"/>
        <w:rPr>
          <w:rFonts w:ascii="Times New Roman" w:hAnsi="Times New Roman" w:eastAsia="黑体"/>
          <w:b/>
          <w:bCs/>
          <w:sz w:val="28"/>
          <w:szCs w:val="28"/>
        </w:rPr>
      </w:pPr>
      <w:r>
        <w:rPr>
          <w:rFonts w:ascii="Times New Roman" w:hAnsi="Times New Roman" w:eastAsia="黑体" w:cs="黑体"/>
          <w:b/>
          <w:bCs/>
          <w:sz w:val="28"/>
          <w:szCs w:val="28"/>
        </w:rPr>
        <mc:AlternateContent>
          <mc:Choice Requires="wps">
            <w:drawing>
              <wp:anchor distT="0" distB="0" distL="114300" distR="114300" simplePos="0" relativeHeight="251663360" behindDoc="0" locked="0" layoutInCell="1" allowOverlap="1">
                <wp:simplePos x="0" y="0"/>
                <wp:positionH relativeFrom="column">
                  <wp:posOffset>1714500</wp:posOffset>
                </wp:positionH>
                <wp:positionV relativeFrom="paragraph">
                  <wp:posOffset>180975</wp:posOffset>
                </wp:positionV>
                <wp:extent cx="2495550" cy="0"/>
                <wp:effectExtent l="0" t="0" r="0" b="0"/>
                <wp:wrapNone/>
                <wp:docPr id="4" name="自选图形 5"/>
                <wp:cNvGraphicFramePr/>
                <a:graphic xmlns:a="http://schemas.openxmlformats.org/drawingml/2006/main">
                  <a:graphicData uri="http://schemas.microsoft.com/office/word/2010/wordprocessingShape">
                    <wps:wsp>
                      <wps:cNvCnPr/>
                      <wps:spPr>
                        <a:xfrm>
                          <a:off x="0" y="0"/>
                          <a:ext cx="24955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35pt;margin-top:14.25pt;height:0pt;width:196.5pt;z-index:251663360;mso-width-relative:page;mso-height-relative:page;" filled="f" stroked="t" coordsize="21600,21600" o:gfxdata="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0IL+71wAAAAkBAAAPAAAAAAAAAAEAIAAAACIAAABkcnMvZG93bnJldi54bWxQSwEC&#10;FAAUAAAACACHTuJAOjQcgfUBAADjAwAADgAAAAAAAAABACAAAAAmAQAAZHJzL2Uyb0RvYy54bWxQ&#10;SwUGAAAAAAYABgBZAQAAjQUAAAAA&#10;">
                <v:fill on="f" focussize="0,0"/>
                <v:stroke color="#000000" joinstyle="round"/>
                <v:imagedata o:title=""/>
                <o:lock v:ext="edit" aspectratio="f"/>
              </v:shape>
            </w:pict>
          </mc:Fallback>
        </mc:AlternateContent>
      </w:r>
      <w:r>
        <w:rPr>
          <w:rFonts w:hint="eastAsia" w:ascii="Times New Roman" w:hAnsi="Times New Roman" w:eastAsia="黑体" w:cs="黑体"/>
          <w:b/>
          <w:bCs/>
          <w:sz w:val="28"/>
          <w:szCs w:val="28"/>
        </w:rPr>
        <w:t>委托单位：昆明市盘龙区财政局</w:t>
      </w:r>
    </w:p>
    <w:p w14:paraId="5B7BC8A8">
      <w:pPr>
        <w:adjustRightInd w:val="0"/>
        <w:snapToGrid w:val="0"/>
        <w:spacing w:line="360" w:lineRule="auto"/>
        <w:ind w:left="1260" w:leftChars="600"/>
        <w:rPr>
          <w:rFonts w:ascii="Times New Roman" w:hAnsi="Times New Roman" w:eastAsia="黑体"/>
          <w:b/>
          <w:bCs/>
          <w:sz w:val="28"/>
          <w:szCs w:val="28"/>
        </w:rPr>
      </w:pPr>
      <w:r>
        <w:rPr>
          <w:rFonts w:ascii="Times New Roman" w:hAnsi="Times New Roman" w:eastAsia="黑体" w:cs="黑体"/>
          <w:b/>
          <w:bCs/>
          <w:sz w:val="28"/>
          <w:szCs w:val="28"/>
        </w:rPr>
        <mc:AlternateContent>
          <mc:Choice Requires="wps">
            <w:drawing>
              <wp:anchor distT="0" distB="0" distL="114300" distR="114300" simplePos="0" relativeHeight="251664384" behindDoc="0" locked="0" layoutInCell="1" allowOverlap="1">
                <wp:simplePos x="0" y="0"/>
                <wp:positionH relativeFrom="column">
                  <wp:posOffset>1714500</wp:posOffset>
                </wp:positionH>
                <wp:positionV relativeFrom="paragraph">
                  <wp:posOffset>215900</wp:posOffset>
                </wp:positionV>
                <wp:extent cx="2829560" cy="0"/>
                <wp:effectExtent l="0" t="0" r="0" b="0"/>
                <wp:wrapNone/>
                <wp:docPr id="5" name="自选图形 6"/>
                <wp:cNvGraphicFramePr/>
                <a:graphic xmlns:a="http://schemas.openxmlformats.org/drawingml/2006/main">
                  <a:graphicData uri="http://schemas.microsoft.com/office/word/2010/wordprocessingShape">
                    <wps:wsp>
                      <wps:cNvCnPr/>
                      <wps:spPr>
                        <a:xfrm>
                          <a:off x="0" y="0"/>
                          <a:ext cx="28295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35pt;margin-top:17pt;height:0pt;width:222.8pt;z-index:251664384;mso-width-relative:page;mso-height-relative:page;" filled="f" stroked="t" coordsize="21600,21600" o:gfxdata="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mIGcs2AAAAAkBAAAPAAAAAAAAAAEAIAAAACIAAABkcnMvZG93bnJldi54bWxQSwEC&#10;FAAUAAAACACHTuJAexH//PQBAADjAwAADgAAAAAAAAABACAAAAAnAQAAZHJzL2Uyb0RvYy54bWxQ&#10;SwUGAAAAAAYABgBZAQAAjQUAAAAA&#10;">
                <v:fill on="f" focussize="0,0"/>
                <v:stroke color="#000000" joinstyle="round"/>
                <v:imagedata o:title=""/>
                <o:lock v:ext="edit" aspectratio="f"/>
              </v:shape>
            </w:pict>
          </mc:Fallback>
        </mc:AlternateContent>
      </w:r>
      <w:r>
        <w:rPr>
          <w:rFonts w:hint="eastAsia" w:ascii="Times New Roman" w:hAnsi="Times New Roman" w:eastAsia="黑体" w:cs="黑体"/>
          <w:b/>
          <w:bCs/>
          <w:sz w:val="28"/>
          <w:szCs w:val="28"/>
        </w:rPr>
        <w:t>评价机构：昆明旭坤会计师事务所有限责任公司</w:t>
      </w:r>
    </w:p>
    <w:p w14:paraId="1ACCF9E3">
      <w:pPr>
        <w:spacing w:line="360" w:lineRule="auto"/>
        <w:ind w:left="1218" w:leftChars="580"/>
        <w:rPr>
          <w:rFonts w:ascii="Times New Roman" w:hAnsi="Times New Roman" w:eastAsia="黑体"/>
          <w:b/>
          <w:bCs/>
          <w:sz w:val="28"/>
          <w:szCs w:val="28"/>
        </w:rPr>
      </w:pPr>
    </w:p>
    <w:p w14:paraId="060A874E">
      <w:pPr>
        <w:ind w:left="420" w:leftChars="200" w:firstLine="2937" w:firstLineChars="1045"/>
        <w:rPr>
          <w:rFonts w:ascii="仿宋_GB2312" w:eastAsia="仿宋_GB2312"/>
          <w:sz w:val="44"/>
          <w:szCs w:val="44"/>
        </w:rPr>
        <w:sectPr>
          <w:headerReference r:id="rId4" w:type="first"/>
          <w:footerReference r:id="rId5" w:type="default"/>
          <w:headerReference r:id="rId3" w:type="even"/>
          <w:footerReference r:id="rId6" w:type="even"/>
          <w:pgSz w:w="11906" w:h="16838"/>
          <w:pgMar w:top="2098" w:right="1474" w:bottom="1985" w:left="1588" w:header="851" w:footer="992" w:gutter="0"/>
          <w:cols w:space="425" w:num="1"/>
          <w:titlePg/>
          <w:docGrid w:type="lines" w:linePitch="312" w:charSpace="0"/>
        </w:sectPr>
      </w:pPr>
      <w:r>
        <w:rPr>
          <w:rFonts w:hint="eastAsia" w:ascii="Times New Roman" w:hAnsi="Times New Roman" w:eastAsia="黑体" w:cs="黑体"/>
          <w:b/>
          <w:bCs/>
          <w:sz w:val="28"/>
          <w:szCs w:val="28"/>
        </w:rPr>
        <w:t>2020年11月</w:t>
      </w:r>
    </w:p>
    <w:sdt>
      <w:sdtPr>
        <w:rPr>
          <w:rFonts w:ascii="宋体" w:hAnsi="宋体" w:eastAsiaTheme="minorEastAsia" w:cstheme="minorBidi"/>
          <w:kern w:val="0"/>
          <w:sz w:val="20"/>
          <w:szCs w:val="20"/>
        </w:rPr>
        <w:id w:val="147483252"/>
        <w:docPartObj>
          <w:docPartGallery w:val="Table of Contents"/>
          <w:docPartUnique/>
        </w:docPartObj>
      </w:sdtPr>
      <w:sdtEndPr>
        <w:rPr>
          <w:rFonts w:ascii="宋体" w:hAnsi="宋体" w:eastAsiaTheme="minorEastAsia" w:cstheme="minorBidi"/>
          <w:b/>
          <w:kern w:val="0"/>
          <w:sz w:val="20"/>
          <w:szCs w:val="20"/>
        </w:rPr>
      </w:sdtEndPr>
      <w:sdtContent>
        <w:p w14:paraId="6CABDE2E">
          <w:pPr>
            <w:spacing w:line="360" w:lineRule="auto"/>
            <w:jc w:val="center"/>
            <w:rPr>
              <w:rStyle w:val="33"/>
            </w:rPr>
          </w:pPr>
          <w:r>
            <w:rPr>
              <w:rStyle w:val="33"/>
            </w:rPr>
            <w:t>目录</w:t>
          </w:r>
        </w:p>
        <w:p w14:paraId="253B52B0">
          <w:pPr>
            <w:pStyle w:val="8"/>
            <w:tabs>
              <w:tab w:val="right" w:leader="dot" w:pos="8306"/>
            </w:tabs>
            <w:spacing w:line="360" w:lineRule="auto"/>
          </w:pPr>
          <w:r>
            <w:fldChar w:fldCharType="begin"/>
          </w:r>
          <w:r>
            <w:instrText xml:space="preserve">TOC \o "1-2" \h \u </w:instrText>
          </w:r>
          <w:r>
            <w:fldChar w:fldCharType="separate"/>
          </w:r>
          <w:r>
            <w:fldChar w:fldCharType="begin"/>
          </w:r>
          <w:r>
            <w:instrText xml:space="preserve"> HYPERLINK \l "_Toc16668" </w:instrText>
          </w:r>
          <w:r>
            <w:fldChar w:fldCharType="separate"/>
          </w:r>
          <w:r>
            <w:rPr>
              <w:rFonts w:hint="eastAsia" w:ascii="黑体" w:hAnsi="黑体" w:eastAsia="黑体"/>
              <w:szCs w:val="32"/>
            </w:rPr>
            <w:t>摘要</w:t>
          </w:r>
          <w:r>
            <w:tab/>
          </w:r>
          <w:r>
            <w:fldChar w:fldCharType="end"/>
          </w:r>
        </w:p>
        <w:p w14:paraId="53FA7328">
          <w:pPr>
            <w:pStyle w:val="8"/>
            <w:tabs>
              <w:tab w:val="right" w:leader="dot" w:pos="8306"/>
            </w:tabs>
            <w:spacing w:line="360" w:lineRule="auto"/>
          </w:pPr>
          <w:r>
            <w:fldChar w:fldCharType="begin"/>
          </w:r>
          <w:r>
            <w:instrText xml:space="preserve"> HYPERLINK \l "_Toc7688" </w:instrText>
          </w:r>
          <w:r>
            <w:fldChar w:fldCharType="separate"/>
          </w:r>
          <w:r>
            <w:rPr>
              <w:rFonts w:hint="eastAsia" w:ascii="黑体" w:hAnsi="黑体" w:eastAsia="黑体"/>
              <w:szCs w:val="32"/>
            </w:rPr>
            <w:t>一、项目基本情况</w:t>
          </w:r>
          <w:r>
            <w:tab/>
          </w:r>
          <w:r>
            <w:fldChar w:fldCharType="end"/>
          </w:r>
        </w:p>
        <w:p w14:paraId="3FF10F20">
          <w:pPr>
            <w:pStyle w:val="9"/>
            <w:tabs>
              <w:tab w:val="right" w:leader="dot" w:pos="8306"/>
            </w:tabs>
            <w:spacing w:line="360" w:lineRule="auto"/>
          </w:pPr>
          <w:r>
            <w:fldChar w:fldCharType="begin"/>
          </w:r>
          <w:r>
            <w:instrText xml:space="preserve"> HYPERLINK \l "_Toc30971" </w:instrText>
          </w:r>
          <w:r>
            <w:fldChar w:fldCharType="separate"/>
          </w:r>
          <w:r>
            <w:rPr>
              <w:rFonts w:hint="eastAsia" w:ascii="楷体_GB2312" w:eastAsia="楷体_GB2312"/>
            </w:rPr>
            <w:t>（一）项目立项背景</w:t>
          </w:r>
          <w:r>
            <w:tab/>
          </w:r>
          <w:r>
            <w:fldChar w:fldCharType="end"/>
          </w:r>
        </w:p>
        <w:p w14:paraId="29E30C2D">
          <w:pPr>
            <w:pStyle w:val="9"/>
            <w:tabs>
              <w:tab w:val="right" w:leader="dot" w:pos="8306"/>
            </w:tabs>
            <w:spacing w:line="360" w:lineRule="auto"/>
          </w:pPr>
          <w:r>
            <w:fldChar w:fldCharType="begin"/>
          </w:r>
          <w:r>
            <w:instrText xml:space="preserve"> HYPERLINK \l "_Toc7341" </w:instrText>
          </w:r>
          <w:r>
            <w:fldChar w:fldCharType="separate"/>
          </w:r>
          <w:r>
            <w:rPr>
              <w:rFonts w:hint="eastAsia" w:ascii="楷体_GB2312" w:eastAsia="楷体_GB2312"/>
            </w:rPr>
            <w:t>（二） 项目立项依据</w:t>
          </w:r>
          <w:r>
            <w:tab/>
          </w:r>
          <w:r>
            <w:fldChar w:fldCharType="end"/>
          </w:r>
        </w:p>
        <w:p w14:paraId="127084C9">
          <w:pPr>
            <w:pStyle w:val="9"/>
            <w:tabs>
              <w:tab w:val="right" w:leader="dot" w:pos="8306"/>
            </w:tabs>
            <w:spacing w:line="360" w:lineRule="auto"/>
          </w:pPr>
          <w:r>
            <w:fldChar w:fldCharType="begin"/>
          </w:r>
          <w:r>
            <w:instrText xml:space="preserve"> HYPERLINK \l "_Toc14051" </w:instrText>
          </w:r>
          <w:r>
            <w:fldChar w:fldCharType="separate"/>
          </w:r>
          <w:r>
            <w:rPr>
              <w:rFonts w:hint="eastAsia" w:ascii="楷体_GB2312" w:hAnsi="楷体_GB2312" w:eastAsia="楷体_GB2312" w:cs="楷体_GB2312"/>
              <w:szCs w:val="36"/>
            </w:rPr>
            <w:t>（三） 项目实施内容</w:t>
          </w:r>
          <w:r>
            <w:tab/>
          </w:r>
          <w:r>
            <w:fldChar w:fldCharType="end"/>
          </w:r>
        </w:p>
        <w:p w14:paraId="084D0191">
          <w:pPr>
            <w:pStyle w:val="9"/>
            <w:tabs>
              <w:tab w:val="right" w:leader="dot" w:pos="8306"/>
            </w:tabs>
            <w:spacing w:line="360" w:lineRule="auto"/>
          </w:pPr>
          <w:r>
            <w:fldChar w:fldCharType="begin"/>
          </w:r>
          <w:r>
            <w:instrText xml:space="preserve"> HYPERLINK \l "_Toc12172" </w:instrText>
          </w:r>
          <w:r>
            <w:fldChar w:fldCharType="separate"/>
          </w:r>
          <w:r>
            <w:rPr>
              <w:rFonts w:hint="eastAsia" w:ascii="楷体_GB2312" w:hAnsi="楷体_GB2312" w:eastAsia="楷体_GB2312" w:cs="楷体_GB2312"/>
              <w:szCs w:val="36"/>
            </w:rPr>
            <w:t>（四） 项目实施计划及完成情况</w:t>
          </w:r>
          <w:r>
            <w:tab/>
          </w:r>
          <w:r>
            <w:fldChar w:fldCharType="end"/>
          </w:r>
        </w:p>
        <w:p w14:paraId="769F52BC">
          <w:pPr>
            <w:pStyle w:val="9"/>
            <w:tabs>
              <w:tab w:val="right" w:leader="dot" w:pos="8306"/>
            </w:tabs>
            <w:spacing w:line="360" w:lineRule="auto"/>
          </w:pPr>
          <w:r>
            <w:fldChar w:fldCharType="begin"/>
          </w:r>
          <w:r>
            <w:instrText xml:space="preserve"> HYPERLINK \l "_Toc10782" </w:instrText>
          </w:r>
          <w:r>
            <w:fldChar w:fldCharType="separate"/>
          </w:r>
          <w:r>
            <w:rPr>
              <w:rFonts w:hint="eastAsia" w:ascii="楷体_GB2312" w:hAnsi="楷体_GB2312" w:eastAsia="楷体_GB2312" w:cs="楷体_GB2312"/>
              <w:szCs w:val="36"/>
            </w:rPr>
            <w:t>（五）项目的组织及管理</w:t>
          </w:r>
          <w:r>
            <w:tab/>
          </w:r>
          <w:r>
            <w:fldChar w:fldCharType="end"/>
          </w:r>
        </w:p>
        <w:p w14:paraId="04513F25">
          <w:pPr>
            <w:pStyle w:val="9"/>
            <w:tabs>
              <w:tab w:val="right" w:leader="dot" w:pos="8306"/>
            </w:tabs>
            <w:spacing w:line="360" w:lineRule="auto"/>
          </w:pPr>
          <w:r>
            <w:fldChar w:fldCharType="begin"/>
          </w:r>
          <w:r>
            <w:instrText xml:space="preserve"> HYPERLINK \l "_Toc7540" </w:instrText>
          </w:r>
          <w:r>
            <w:fldChar w:fldCharType="separate"/>
          </w:r>
          <w:r>
            <w:rPr>
              <w:rFonts w:ascii="Times New Roman" w:hAnsi="Times New Roman" w:eastAsia="楷体_GB2312"/>
            </w:rPr>
            <w:t>（六）项目绩效目标</w:t>
          </w:r>
          <w:r>
            <w:tab/>
          </w:r>
          <w:r>
            <w:fldChar w:fldCharType="end"/>
          </w:r>
        </w:p>
        <w:p w14:paraId="51092552">
          <w:pPr>
            <w:pStyle w:val="8"/>
            <w:tabs>
              <w:tab w:val="right" w:leader="dot" w:pos="8306"/>
            </w:tabs>
            <w:spacing w:line="360" w:lineRule="auto"/>
          </w:pPr>
          <w:r>
            <w:fldChar w:fldCharType="begin"/>
          </w:r>
          <w:r>
            <w:instrText xml:space="preserve"> HYPERLINK \l "_Toc10305" </w:instrText>
          </w:r>
          <w:r>
            <w:fldChar w:fldCharType="separate"/>
          </w:r>
          <w:r>
            <w:rPr>
              <w:rFonts w:hint="eastAsia" w:ascii="黑体" w:hAnsi="黑体" w:eastAsia="黑体"/>
              <w:szCs w:val="32"/>
            </w:rPr>
            <w:t>二、绩效评价工作情况</w:t>
          </w:r>
          <w:r>
            <w:tab/>
          </w:r>
          <w:r>
            <w:fldChar w:fldCharType="end"/>
          </w:r>
        </w:p>
        <w:p w14:paraId="2E146EDA">
          <w:pPr>
            <w:pStyle w:val="9"/>
            <w:tabs>
              <w:tab w:val="right" w:leader="dot" w:pos="8306"/>
            </w:tabs>
            <w:spacing w:line="360" w:lineRule="auto"/>
          </w:pPr>
          <w:r>
            <w:fldChar w:fldCharType="begin"/>
          </w:r>
          <w:r>
            <w:instrText xml:space="preserve"> HYPERLINK \l "_Toc28572" </w:instrText>
          </w:r>
          <w:r>
            <w:fldChar w:fldCharType="separate"/>
          </w:r>
          <w:r>
            <w:rPr>
              <w:rFonts w:hint="eastAsia" w:ascii="楷体_GB2312" w:eastAsia="楷体_GB2312"/>
            </w:rPr>
            <w:t>（一）绩效评价目的和依据</w:t>
          </w:r>
          <w:r>
            <w:tab/>
          </w:r>
          <w:r>
            <w:fldChar w:fldCharType="end"/>
          </w:r>
        </w:p>
        <w:p w14:paraId="59BEA320">
          <w:pPr>
            <w:pStyle w:val="9"/>
            <w:tabs>
              <w:tab w:val="right" w:leader="dot" w:pos="8306"/>
            </w:tabs>
            <w:spacing w:line="360" w:lineRule="auto"/>
          </w:pPr>
          <w:r>
            <w:fldChar w:fldCharType="begin"/>
          </w:r>
          <w:r>
            <w:instrText xml:space="preserve"> HYPERLINK \l "_Toc24504" </w:instrText>
          </w:r>
          <w:r>
            <w:fldChar w:fldCharType="separate"/>
          </w:r>
          <w:r>
            <w:rPr>
              <w:rFonts w:hint="eastAsia" w:ascii="楷体_GB2312" w:eastAsia="楷体_GB2312"/>
            </w:rPr>
            <w:t>（二）绩效评价工作方案制定过程</w:t>
          </w:r>
          <w:r>
            <w:tab/>
          </w:r>
          <w:r>
            <w:fldChar w:fldCharType="end"/>
          </w:r>
        </w:p>
        <w:p w14:paraId="0EA26569">
          <w:pPr>
            <w:pStyle w:val="9"/>
            <w:tabs>
              <w:tab w:val="right" w:leader="dot" w:pos="8306"/>
            </w:tabs>
            <w:spacing w:line="360" w:lineRule="auto"/>
          </w:pPr>
          <w:r>
            <w:fldChar w:fldCharType="begin"/>
          </w:r>
          <w:r>
            <w:instrText xml:space="preserve"> HYPERLINK \l "_Toc1162" </w:instrText>
          </w:r>
          <w:r>
            <w:fldChar w:fldCharType="separate"/>
          </w:r>
          <w:r>
            <w:rPr>
              <w:rFonts w:hint="eastAsia" w:ascii="楷体_GB2312" w:eastAsia="楷体_GB2312"/>
            </w:rPr>
            <w:t>（三）绩效评价原则、评价方法</w:t>
          </w:r>
          <w:r>
            <w:tab/>
          </w:r>
          <w:r>
            <w:fldChar w:fldCharType="end"/>
          </w:r>
        </w:p>
        <w:p w14:paraId="3FA8F396">
          <w:pPr>
            <w:pStyle w:val="9"/>
            <w:tabs>
              <w:tab w:val="right" w:leader="dot" w:pos="8306"/>
            </w:tabs>
            <w:spacing w:line="360" w:lineRule="auto"/>
          </w:pPr>
          <w:r>
            <w:fldChar w:fldCharType="begin"/>
          </w:r>
          <w:r>
            <w:instrText xml:space="preserve"> HYPERLINK \l "_Toc8083" </w:instrText>
          </w:r>
          <w:r>
            <w:fldChar w:fldCharType="separate"/>
          </w:r>
          <w:r>
            <w:rPr>
              <w:rFonts w:hint="eastAsia" w:ascii="楷体_GB2312" w:eastAsia="楷体_GB2312"/>
            </w:rPr>
            <w:t>（四）绩效评价实施过程</w:t>
          </w:r>
          <w:r>
            <w:tab/>
          </w:r>
          <w:r>
            <w:fldChar w:fldCharType="end"/>
          </w:r>
        </w:p>
        <w:p w14:paraId="6622FFD0">
          <w:pPr>
            <w:pStyle w:val="9"/>
            <w:tabs>
              <w:tab w:val="right" w:leader="dot" w:pos="8306"/>
            </w:tabs>
            <w:spacing w:line="360" w:lineRule="auto"/>
          </w:pPr>
          <w:r>
            <w:fldChar w:fldCharType="begin"/>
          </w:r>
          <w:r>
            <w:instrText xml:space="preserve"> HYPERLINK \l "_Toc14123" </w:instrText>
          </w:r>
          <w:r>
            <w:fldChar w:fldCharType="separate"/>
          </w:r>
          <w:r>
            <w:rPr>
              <w:rFonts w:hint="eastAsia" w:ascii="楷体_GB2312" w:eastAsia="楷体_GB2312"/>
            </w:rPr>
            <w:t>（五）本次绩效评价的局限性</w:t>
          </w:r>
          <w:r>
            <w:tab/>
          </w:r>
          <w:r>
            <w:fldChar w:fldCharType="end"/>
          </w:r>
        </w:p>
        <w:p w14:paraId="1390BA5D">
          <w:pPr>
            <w:pStyle w:val="8"/>
            <w:tabs>
              <w:tab w:val="right" w:leader="dot" w:pos="8306"/>
            </w:tabs>
            <w:spacing w:line="360" w:lineRule="auto"/>
          </w:pPr>
          <w:r>
            <w:fldChar w:fldCharType="begin"/>
          </w:r>
          <w:r>
            <w:instrText xml:space="preserve"> HYPERLINK \l "_Toc26302" </w:instrText>
          </w:r>
          <w:r>
            <w:fldChar w:fldCharType="separate"/>
          </w:r>
          <w:r>
            <w:rPr>
              <w:rFonts w:hint="eastAsia" w:ascii="黑体" w:hAnsi="黑体" w:eastAsia="黑体"/>
              <w:szCs w:val="32"/>
            </w:rPr>
            <w:t>三、评价结论和绩效分析</w:t>
          </w:r>
          <w:r>
            <w:tab/>
          </w:r>
          <w:r>
            <w:fldChar w:fldCharType="end"/>
          </w:r>
        </w:p>
        <w:p w14:paraId="1B04CAAB">
          <w:pPr>
            <w:pStyle w:val="9"/>
            <w:tabs>
              <w:tab w:val="right" w:leader="dot" w:pos="8306"/>
            </w:tabs>
            <w:spacing w:line="360" w:lineRule="auto"/>
          </w:pPr>
          <w:r>
            <w:fldChar w:fldCharType="begin"/>
          </w:r>
          <w:r>
            <w:instrText xml:space="preserve"> HYPERLINK \l "_Toc9120" </w:instrText>
          </w:r>
          <w:r>
            <w:fldChar w:fldCharType="separate"/>
          </w:r>
          <w:r>
            <w:rPr>
              <w:rFonts w:hint="eastAsia" w:ascii="楷体_GB2312" w:eastAsia="楷体_GB2312"/>
            </w:rPr>
            <w:t>（一）评价结论</w:t>
          </w:r>
          <w:r>
            <w:tab/>
          </w:r>
          <w:r>
            <w:fldChar w:fldCharType="end"/>
          </w:r>
        </w:p>
        <w:p w14:paraId="50FFABCE">
          <w:pPr>
            <w:pStyle w:val="9"/>
            <w:tabs>
              <w:tab w:val="right" w:leader="dot" w:pos="8306"/>
            </w:tabs>
            <w:spacing w:line="360" w:lineRule="auto"/>
          </w:pPr>
          <w:r>
            <w:fldChar w:fldCharType="begin"/>
          </w:r>
          <w:r>
            <w:instrText xml:space="preserve"> HYPERLINK \l "_Toc15893" </w:instrText>
          </w:r>
          <w:r>
            <w:fldChar w:fldCharType="separate"/>
          </w:r>
          <w:r>
            <w:rPr>
              <w:rFonts w:hint="eastAsia" w:ascii="楷体_GB2312" w:eastAsia="楷体_GB2312"/>
            </w:rPr>
            <w:t>（二）具体绩效分析</w:t>
          </w:r>
          <w:r>
            <w:tab/>
          </w:r>
          <w:r>
            <w:fldChar w:fldCharType="end"/>
          </w:r>
        </w:p>
        <w:p w14:paraId="19A5DB07">
          <w:pPr>
            <w:pStyle w:val="8"/>
            <w:tabs>
              <w:tab w:val="right" w:leader="dot" w:pos="8306"/>
            </w:tabs>
            <w:spacing w:line="360" w:lineRule="auto"/>
          </w:pPr>
          <w:r>
            <w:fldChar w:fldCharType="begin"/>
          </w:r>
          <w:r>
            <w:instrText xml:space="preserve"> HYPERLINK \l "_Toc8084" </w:instrText>
          </w:r>
          <w:r>
            <w:fldChar w:fldCharType="separate"/>
          </w:r>
          <w:r>
            <w:rPr>
              <w:rFonts w:hint="eastAsia" w:ascii="黑体" w:hAnsi="黑体" w:eastAsia="黑体"/>
              <w:szCs w:val="32"/>
            </w:rPr>
            <w:t>四、主要经验及做法、存在的问题和建议</w:t>
          </w:r>
          <w:r>
            <w:tab/>
          </w:r>
          <w:r>
            <w:fldChar w:fldCharType="end"/>
          </w:r>
        </w:p>
        <w:p w14:paraId="74686EAC">
          <w:pPr>
            <w:pStyle w:val="9"/>
            <w:tabs>
              <w:tab w:val="right" w:leader="dot" w:pos="8306"/>
            </w:tabs>
            <w:spacing w:line="360" w:lineRule="auto"/>
          </w:pPr>
          <w:r>
            <w:fldChar w:fldCharType="begin"/>
          </w:r>
          <w:r>
            <w:instrText xml:space="preserve"> HYPERLINK \l "_Toc15341" </w:instrText>
          </w:r>
          <w:r>
            <w:fldChar w:fldCharType="separate"/>
          </w:r>
          <w:r>
            <w:rPr>
              <w:rFonts w:hint="eastAsia" w:ascii="楷体_GB2312" w:hAnsi="楷体_GB2312" w:eastAsia="楷体_GB2312" w:cs="楷体_GB2312"/>
            </w:rPr>
            <w:t>（一）主要经验及做法</w:t>
          </w:r>
          <w:r>
            <w:tab/>
          </w:r>
          <w:r>
            <w:fldChar w:fldCharType="end"/>
          </w:r>
        </w:p>
        <w:p w14:paraId="63BE6581">
          <w:pPr>
            <w:pStyle w:val="9"/>
            <w:tabs>
              <w:tab w:val="right" w:leader="dot" w:pos="8306"/>
            </w:tabs>
            <w:spacing w:line="360" w:lineRule="auto"/>
          </w:pPr>
          <w:r>
            <w:fldChar w:fldCharType="begin"/>
          </w:r>
          <w:r>
            <w:instrText xml:space="preserve"> HYPERLINK \l "_Toc27154" </w:instrText>
          </w:r>
          <w:r>
            <w:fldChar w:fldCharType="separate"/>
          </w:r>
          <w:r>
            <w:rPr>
              <w:rFonts w:hint="eastAsia" w:ascii="楷体_GB2312" w:hAnsi="楷体_GB2312" w:eastAsia="楷体_GB2312" w:cs="楷体_GB2312"/>
            </w:rPr>
            <w:t>（二）存在问题</w:t>
          </w:r>
          <w:r>
            <w:tab/>
          </w:r>
          <w:r>
            <w:fldChar w:fldCharType="end"/>
          </w:r>
        </w:p>
        <w:p w14:paraId="57BA3409">
          <w:pPr>
            <w:pStyle w:val="9"/>
            <w:tabs>
              <w:tab w:val="right" w:leader="dot" w:pos="8306"/>
            </w:tabs>
            <w:spacing w:line="360" w:lineRule="auto"/>
          </w:pPr>
          <w:r>
            <w:fldChar w:fldCharType="begin"/>
          </w:r>
          <w:r>
            <w:instrText xml:space="preserve"> HYPERLINK \l "_Toc17670" </w:instrText>
          </w:r>
          <w:r>
            <w:fldChar w:fldCharType="separate"/>
          </w:r>
          <w:r>
            <w:rPr>
              <w:rFonts w:hint="eastAsia" w:ascii="楷体_GB2312" w:hAnsi="楷体_GB2312" w:eastAsia="楷体_GB2312" w:cs="楷体_GB2312"/>
            </w:rPr>
            <w:t>（三）改进措施及建议</w:t>
          </w:r>
          <w:r>
            <w:tab/>
          </w:r>
          <w:r>
            <w:fldChar w:fldCharType="end"/>
          </w:r>
        </w:p>
        <w:p w14:paraId="5D69D423">
          <w:pPr>
            <w:pStyle w:val="8"/>
            <w:tabs>
              <w:tab w:val="right" w:leader="dot" w:pos="8306"/>
            </w:tabs>
            <w:spacing w:line="360" w:lineRule="auto"/>
          </w:pPr>
          <w:r>
            <w:fldChar w:fldCharType="begin"/>
          </w:r>
          <w:r>
            <w:instrText xml:space="preserve"> HYPERLINK \l "_Toc30513" </w:instrText>
          </w:r>
          <w:r>
            <w:fldChar w:fldCharType="separate"/>
          </w:r>
          <w:r>
            <w:rPr>
              <w:rFonts w:hint="eastAsia" w:ascii="黑体" w:hAnsi="黑体" w:eastAsia="黑体"/>
              <w:szCs w:val="32"/>
            </w:rPr>
            <w:t>五附件</w:t>
          </w:r>
          <w:r>
            <w:tab/>
          </w:r>
          <w:r>
            <w:fldChar w:fldCharType="end"/>
          </w:r>
        </w:p>
        <w:p w14:paraId="0D655635">
          <w:pPr>
            <w:pStyle w:val="8"/>
            <w:tabs>
              <w:tab w:val="right" w:leader="dot" w:pos="8306"/>
            </w:tabs>
            <w:spacing w:line="360" w:lineRule="auto"/>
          </w:pPr>
          <w:r>
            <w:fldChar w:fldCharType="begin"/>
          </w:r>
          <w:r>
            <w:instrText xml:space="preserve"> HYPERLINK \l "_Toc32268" </w:instrText>
          </w:r>
          <w:r>
            <w:fldChar w:fldCharType="separate"/>
          </w:r>
          <w:r>
            <w:rPr>
              <w:rFonts w:hint="eastAsia" w:ascii="黑体" w:hAnsi="黑体" w:eastAsia="黑体"/>
              <w:szCs w:val="32"/>
            </w:rPr>
            <w:t>附件一：绩效评价指标体系</w:t>
          </w:r>
          <w:r>
            <w:tab/>
          </w:r>
          <w:r>
            <w:fldChar w:fldCharType="end"/>
          </w:r>
        </w:p>
        <w:p w14:paraId="260ACF4D">
          <w:pPr>
            <w:pStyle w:val="8"/>
            <w:tabs>
              <w:tab w:val="right" w:leader="dot" w:pos="8306"/>
            </w:tabs>
            <w:spacing w:line="360" w:lineRule="auto"/>
          </w:pPr>
          <w:r>
            <w:fldChar w:fldCharType="begin"/>
          </w:r>
          <w:r>
            <w:instrText xml:space="preserve"> HYPERLINK \l "_Toc7705" </w:instrText>
          </w:r>
          <w:r>
            <w:fldChar w:fldCharType="separate"/>
          </w:r>
          <w:r>
            <w:rPr>
              <w:rFonts w:hint="eastAsia" w:ascii="黑体" w:hAnsi="黑体" w:eastAsia="黑体"/>
              <w:szCs w:val="32"/>
            </w:rPr>
            <w:t>附件二：基础数据表</w:t>
          </w:r>
          <w:r>
            <w:tab/>
          </w:r>
          <w:r>
            <w:fldChar w:fldCharType="end"/>
          </w:r>
        </w:p>
        <w:p w14:paraId="1CBB6288">
          <w:pPr>
            <w:pStyle w:val="8"/>
            <w:tabs>
              <w:tab w:val="right" w:leader="dot" w:pos="8306"/>
            </w:tabs>
            <w:spacing w:line="360" w:lineRule="auto"/>
          </w:pPr>
          <w:r>
            <w:fldChar w:fldCharType="begin"/>
          </w:r>
          <w:r>
            <w:instrText xml:space="preserve"> HYPERLINK \l "_Toc14855" </w:instrText>
          </w:r>
          <w:r>
            <w:fldChar w:fldCharType="separate"/>
          </w:r>
          <w:r>
            <w:rPr>
              <w:rFonts w:hint="eastAsia" w:ascii="黑体" w:hAnsi="黑体" w:eastAsia="黑体"/>
              <w:szCs w:val="32"/>
            </w:rPr>
            <w:t>附件三：访谈分析报告</w:t>
          </w:r>
          <w:r>
            <w:tab/>
          </w:r>
          <w:r>
            <w:fldChar w:fldCharType="end"/>
          </w:r>
        </w:p>
        <w:p w14:paraId="67C51443">
          <w:pPr>
            <w:pStyle w:val="8"/>
            <w:tabs>
              <w:tab w:val="right" w:leader="dot" w:pos="8306"/>
            </w:tabs>
            <w:spacing w:line="360" w:lineRule="auto"/>
          </w:pPr>
          <w:r>
            <w:fldChar w:fldCharType="begin"/>
          </w:r>
          <w:r>
            <w:instrText xml:space="preserve"> HYPERLINK \l "_Toc25641" </w:instrText>
          </w:r>
          <w:r>
            <w:fldChar w:fldCharType="separate"/>
          </w:r>
          <w:r>
            <w:rPr>
              <w:rFonts w:hint="eastAsia" w:ascii="黑体" w:hAnsi="黑体" w:eastAsia="黑体"/>
              <w:szCs w:val="32"/>
            </w:rPr>
            <w:t>附件四：问卷调查分析报告</w:t>
          </w:r>
          <w:r>
            <w:tab/>
          </w:r>
          <w:r>
            <w:fldChar w:fldCharType="end"/>
          </w:r>
        </w:p>
        <w:p w14:paraId="5C78129A">
          <w:pPr>
            <w:pStyle w:val="31"/>
            <w:tabs>
              <w:tab w:val="right" w:leader="dot" w:pos="8306"/>
            </w:tabs>
            <w:spacing w:line="360" w:lineRule="auto"/>
            <w:rPr>
              <w:rFonts w:ascii="黑体" w:hAnsi="黑体" w:eastAsia="黑体"/>
              <w:szCs w:val="32"/>
            </w:rPr>
          </w:pPr>
          <w:r>
            <w:fldChar w:fldCharType="end"/>
          </w:r>
        </w:p>
      </w:sdtContent>
    </w:sdt>
    <w:p w14:paraId="08401F7E">
      <w:pPr>
        <w:pStyle w:val="2"/>
        <w:spacing w:line="600" w:lineRule="exact"/>
        <w:ind w:firstLine="480" w:firstLineChars="150"/>
        <w:jc w:val="center"/>
        <w:rPr>
          <w:rFonts w:ascii="黑体" w:hAnsi="黑体" w:eastAsia="黑体"/>
          <w:b w:val="0"/>
          <w:sz w:val="32"/>
          <w:szCs w:val="32"/>
        </w:rPr>
        <w:sectPr>
          <w:footerReference r:id="rId7" w:type="default"/>
          <w:pgSz w:w="11906" w:h="16838"/>
          <w:pgMar w:top="1440" w:right="1800" w:bottom="1440" w:left="1800" w:header="851" w:footer="992" w:gutter="0"/>
          <w:pgNumType w:start="1"/>
          <w:cols w:space="425" w:num="1"/>
          <w:docGrid w:type="lines" w:linePitch="312" w:charSpace="0"/>
        </w:sectPr>
      </w:pPr>
      <w:bookmarkStart w:id="0" w:name="_Toc21335"/>
      <w:bookmarkStart w:id="1" w:name="_Toc48082191"/>
    </w:p>
    <w:p w14:paraId="0604F226">
      <w:pPr>
        <w:pStyle w:val="2"/>
        <w:spacing w:line="600" w:lineRule="exact"/>
        <w:ind w:firstLine="480" w:firstLineChars="150"/>
        <w:jc w:val="center"/>
        <w:rPr>
          <w:rFonts w:ascii="黑体" w:hAnsi="黑体" w:eastAsia="黑体"/>
          <w:b w:val="0"/>
          <w:sz w:val="32"/>
          <w:szCs w:val="32"/>
        </w:rPr>
      </w:pPr>
      <w:bookmarkStart w:id="2" w:name="_Toc16668"/>
      <w:r>
        <w:rPr>
          <w:rFonts w:hint="eastAsia" w:ascii="黑体" w:hAnsi="黑体" w:eastAsia="黑体"/>
          <w:b w:val="0"/>
          <w:sz w:val="32"/>
          <w:szCs w:val="32"/>
        </w:rPr>
        <w:t>摘要</w:t>
      </w:r>
      <w:bookmarkEnd w:id="0"/>
      <w:bookmarkEnd w:id="1"/>
      <w:bookmarkEnd w:id="2"/>
    </w:p>
    <w:p w14:paraId="4F908631">
      <w:pPr>
        <w:numPr>
          <w:ilvl w:val="0"/>
          <w:numId w:val="1"/>
        </w:numPr>
        <w:rPr>
          <w:rFonts w:ascii="黑体" w:hAnsi="黑体" w:eastAsia="黑体" w:cs="黑体"/>
          <w:sz w:val="32"/>
          <w:szCs w:val="32"/>
        </w:rPr>
      </w:pPr>
      <w:bookmarkStart w:id="3" w:name="_Toc5329"/>
      <w:bookmarkStart w:id="4" w:name="_Toc48082192"/>
      <w:bookmarkStart w:id="5" w:name="_Toc15586"/>
      <w:bookmarkStart w:id="6" w:name="_Toc48991963"/>
      <w:bookmarkStart w:id="7" w:name="_Toc53382686"/>
      <w:r>
        <w:rPr>
          <w:rFonts w:hint="eastAsia" w:ascii="黑体" w:hAnsi="黑体" w:eastAsia="黑体" w:cs="黑体"/>
          <w:sz w:val="32"/>
          <w:szCs w:val="32"/>
        </w:rPr>
        <w:t>项目概况</w:t>
      </w:r>
      <w:bookmarkEnd w:id="3"/>
      <w:bookmarkEnd w:id="4"/>
      <w:bookmarkEnd w:id="5"/>
      <w:bookmarkEnd w:id="6"/>
      <w:bookmarkEnd w:id="7"/>
    </w:p>
    <w:p w14:paraId="1019E3D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项目背景</w:t>
      </w:r>
    </w:p>
    <w:p w14:paraId="4B76B3D1">
      <w:pPr>
        <w:ind w:firstLine="640" w:firstLineChars="200"/>
        <w:rPr>
          <w:rFonts w:ascii="Times New Roman" w:eastAsia="仿宋_GB2312"/>
          <w:sz w:val="32"/>
        </w:rPr>
      </w:pPr>
      <w:r>
        <w:rPr>
          <w:rFonts w:hint="eastAsia" w:ascii="Times New Roman" w:eastAsia="仿宋_GB2312"/>
          <w:sz w:val="32"/>
        </w:rPr>
        <w:t>全面贯彻落实中央扶贫开发决策部署和</w:t>
      </w:r>
      <w:bookmarkStart w:id="93" w:name="_GoBack"/>
      <w:bookmarkEnd w:id="93"/>
      <w:r>
        <w:rPr>
          <w:rFonts w:hint="eastAsia" w:ascii="Times New Roman" w:eastAsia="仿宋_GB2312"/>
          <w:sz w:val="32"/>
          <w:lang w:eastAsia="zh-CN"/>
        </w:rPr>
        <w:t>习近平总书记重要指示精神</w:t>
      </w:r>
      <w:r>
        <w:rPr>
          <w:rFonts w:hint="eastAsia" w:ascii="Times New Roman" w:eastAsia="仿宋_GB2312"/>
          <w:sz w:val="32"/>
        </w:rPr>
        <w:t>，根据省、市扶贫开发工作会议精神，以全面小康为引领，以巩固提升贫困人口脱贫成果为目标，以贫困户增加收入为核心，以贫困村和贫困人口为重点，通过“政府引导、群众主体、合作组织带动、市场运作”的方式，提高农村生产经营的组织化、规模化程度，努力实现产业发展和贫困人口增收致富双赢，确保全区贫困群众在全面建成小康社会进程中不掉队。</w:t>
      </w:r>
    </w:p>
    <w:p w14:paraId="113B51D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rPr>
        <w:t>盘龙区农业农村局根据本级区域发展与扶贫攻坚规划，结合本地资源、扶贫对象需求，提出《盘龙区</w:t>
      </w:r>
      <w:r>
        <w:rPr>
          <w:rFonts w:ascii="Times New Roman" w:hAnsi="Times New Roman" w:eastAsia="仿宋_GB2312"/>
          <w:sz w:val="32"/>
        </w:rPr>
        <w:t>2019</w:t>
      </w:r>
      <w:r>
        <w:rPr>
          <w:rFonts w:hint="eastAsia" w:ascii="仿宋_GB2312" w:hAnsi="仿宋_GB2312" w:eastAsia="仿宋_GB2312" w:cs="仿宋_GB2312"/>
          <w:sz w:val="32"/>
        </w:rPr>
        <w:t>年财政专项扶贫资金项目实施方案》，方案规定充分利用产业扶贫政策和专项资金，打好产业扶贫攻坚战，扶持发展中草药产期增收产业，鼓励引导贫困村和贫困户抱团发展，因地制宜发展农业产业，组建农民专业合作组织，建立产业基地，实现脱贫致富。</w:t>
      </w:r>
    </w:p>
    <w:p w14:paraId="6E35BBE2">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项目内容</w:t>
      </w:r>
    </w:p>
    <w:p w14:paraId="3BC55710">
      <w:pPr>
        <w:spacing w:line="60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本次评价大摆社区山药、中药种植示范项目主要实施内容为：①种植基地配套灌溉设施建设（新建</w:t>
      </w:r>
      <w:r>
        <w:rPr>
          <w:rFonts w:ascii="Times New Roman" w:hAnsi="Times New Roman" w:eastAsia="仿宋_GB2312"/>
          <w:sz w:val="32"/>
        </w:rPr>
        <w:t>200</w:t>
      </w:r>
      <w:r>
        <w:rPr>
          <w:rFonts w:hint="eastAsia" w:ascii="仿宋_GB2312" w:hAnsi="仿宋_GB2312" w:eastAsia="仿宋_GB2312" w:cs="仿宋_GB2312"/>
          <w:sz w:val="32"/>
        </w:rPr>
        <w:t>m³蓄水池</w:t>
      </w:r>
      <w:r>
        <w:rPr>
          <w:rFonts w:ascii="Times New Roman" w:hAnsi="Times New Roman" w:eastAsia="仿宋_GB2312"/>
          <w:sz w:val="32"/>
        </w:rPr>
        <w:t>2</w:t>
      </w:r>
      <w:r>
        <w:rPr>
          <w:rFonts w:hint="eastAsia" w:ascii="仿宋_GB2312" w:hAnsi="仿宋_GB2312" w:eastAsia="仿宋_GB2312" w:cs="仿宋_GB2312"/>
          <w:sz w:val="32"/>
        </w:rPr>
        <w:t>个，架设灌溉水管网</w:t>
      </w:r>
      <w:r>
        <w:rPr>
          <w:rFonts w:ascii="Times New Roman" w:hAnsi="Times New Roman" w:eastAsia="仿宋_GB2312"/>
          <w:sz w:val="32"/>
        </w:rPr>
        <w:t>2400m</w:t>
      </w:r>
      <w:r>
        <w:rPr>
          <w:rFonts w:hint="eastAsia" w:ascii="仿宋_GB2312" w:hAnsi="仿宋_GB2312" w:eastAsia="仿宋_GB2312" w:cs="仿宋_GB2312"/>
          <w:sz w:val="32"/>
        </w:rPr>
        <w:t>）；②种苗费补助发放（山药种植</w:t>
      </w:r>
      <w:r>
        <w:rPr>
          <w:rFonts w:ascii="Times New Roman" w:hAnsi="Times New Roman" w:eastAsia="仿宋_GB2312"/>
          <w:sz w:val="32"/>
        </w:rPr>
        <w:t>30</w:t>
      </w:r>
      <w:r>
        <w:rPr>
          <w:rFonts w:hint="eastAsia" w:ascii="仿宋_GB2312" w:hAnsi="仿宋_GB2312" w:eastAsia="仿宋_GB2312" w:cs="仿宋_GB2312"/>
          <w:sz w:val="32"/>
        </w:rPr>
        <w:t>亩、中药种植</w:t>
      </w:r>
      <w:r>
        <w:rPr>
          <w:rFonts w:ascii="Times New Roman" w:hAnsi="Times New Roman" w:eastAsia="仿宋_GB2312"/>
          <w:sz w:val="32"/>
        </w:rPr>
        <w:t>150</w:t>
      </w:r>
      <w:r>
        <w:rPr>
          <w:rFonts w:hint="eastAsia" w:ascii="仿宋_GB2312" w:hAnsi="仿宋_GB2312" w:eastAsia="仿宋_GB2312" w:cs="仿宋_GB2312"/>
          <w:sz w:val="32"/>
        </w:rPr>
        <w:t>亩，支出种苗费</w:t>
      </w:r>
      <w:r>
        <w:rPr>
          <w:rFonts w:ascii="Times New Roman" w:hAnsi="Times New Roman" w:eastAsia="仿宋_GB2312"/>
          <w:sz w:val="32"/>
        </w:rPr>
        <w:t>45.90</w:t>
      </w:r>
      <w:r>
        <w:rPr>
          <w:rFonts w:hint="eastAsia" w:ascii="仿宋_GB2312" w:hAnsi="仿宋_GB2312" w:eastAsia="仿宋_GB2312" w:cs="仿宋_GB2312"/>
          <w:sz w:val="32"/>
        </w:rPr>
        <w:t>万元，本次补助种苗费支出的</w:t>
      </w:r>
      <w:r>
        <w:rPr>
          <w:rFonts w:ascii="Times New Roman" w:hAnsi="Times New Roman" w:eastAsia="仿宋_GB2312"/>
          <w:sz w:val="32"/>
        </w:rPr>
        <w:t>25%</w:t>
      </w:r>
      <w:r>
        <w:rPr>
          <w:rFonts w:hint="eastAsia" w:ascii="仿宋_GB2312" w:hAnsi="仿宋_GB2312" w:eastAsia="仿宋_GB2312" w:cs="仿宋_GB2312"/>
          <w:sz w:val="32"/>
        </w:rPr>
        <w:t>，其余部分由合作社自筹）。</w:t>
      </w:r>
    </w:p>
    <w:p w14:paraId="62FF8C07">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大摆社区山药、中药种植示范项目</w:t>
      </w:r>
    </w:p>
    <w:p w14:paraId="3E09B3CF">
      <w:pPr>
        <w:spacing w:line="600" w:lineRule="exact"/>
        <w:ind w:firstLine="640" w:firstLineChars="200"/>
        <w:rPr>
          <w:rFonts w:ascii="仿宋_GB2312" w:eastAsia="仿宋_GB2312"/>
          <w:sz w:val="32"/>
        </w:rPr>
      </w:pPr>
      <w:r>
        <w:rPr>
          <w:rFonts w:hint="eastAsia" w:ascii="仿宋_GB2312" w:eastAsia="仿宋_GB2312"/>
          <w:sz w:val="32"/>
        </w:rPr>
        <w:t>（1）</w:t>
      </w:r>
      <w:r>
        <w:rPr>
          <w:rFonts w:ascii="Times New Roman" w:hAnsi="Times New Roman" w:eastAsia="仿宋_GB2312"/>
          <w:sz w:val="32"/>
        </w:rPr>
        <w:t>2019</w:t>
      </w:r>
      <w:r>
        <w:rPr>
          <w:rFonts w:hint="eastAsia" w:ascii="仿宋_GB2312" w:eastAsia="仿宋_GB2312"/>
          <w:sz w:val="32"/>
        </w:rPr>
        <w:t>年度项目完成情况</w:t>
      </w:r>
    </w:p>
    <w:p w14:paraId="5B762282">
      <w:pPr>
        <w:spacing w:line="600" w:lineRule="exact"/>
        <w:ind w:firstLine="640" w:firstLineChars="200"/>
        <w:rPr>
          <w:rFonts w:ascii="仿宋_GB2312" w:eastAsia="仿宋_GB2312"/>
          <w:sz w:val="32"/>
        </w:rPr>
      </w:pPr>
      <w:r>
        <w:rPr>
          <w:rFonts w:hint="eastAsia" w:ascii="仿宋_GB2312" w:eastAsia="仿宋_GB2312"/>
          <w:sz w:val="32"/>
        </w:rPr>
        <w:t>松华街道大摆社区山药、中药种植示范项目实施已完成，灌溉配套设施建设已完成并投入使用，补助发放已完成，本次补助金额为实际种苗费支出的</w:t>
      </w:r>
      <w:r>
        <w:rPr>
          <w:rFonts w:ascii="Times New Roman" w:hAnsi="Times New Roman" w:eastAsia="仿宋_GB2312"/>
          <w:sz w:val="32"/>
        </w:rPr>
        <w:t>25%</w:t>
      </w:r>
      <w:r>
        <w:rPr>
          <w:rFonts w:hint="eastAsia" w:ascii="仿宋_GB2312" w:eastAsia="仿宋_GB2312"/>
          <w:sz w:val="32"/>
        </w:rPr>
        <w:t>。</w:t>
      </w:r>
    </w:p>
    <w:p w14:paraId="7A83484D">
      <w:pPr>
        <w:spacing w:line="600" w:lineRule="exact"/>
        <w:ind w:firstLine="640" w:firstLineChars="200"/>
        <w:rPr>
          <w:rFonts w:ascii="仿宋_GB2312" w:eastAsia="仿宋_GB2312"/>
          <w:sz w:val="32"/>
        </w:rPr>
      </w:pPr>
      <w:r>
        <w:rPr>
          <w:rFonts w:hint="eastAsia" w:ascii="仿宋_GB2312" w:eastAsia="仿宋_GB2312"/>
          <w:sz w:val="32"/>
        </w:rPr>
        <w:t>（2）资金使用情况</w:t>
      </w:r>
    </w:p>
    <w:p w14:paraId="63C65D10">
      <w:pPr>
        <w:spacing w:line="600" w:lineRule="exact"/>
        <w:ind w:firstLine="640" w:firstLineChars="200"/>
        <w:rPr>
          <w:rFonts w:ascii="Times New Roman" w:hAnsi="Times New Roman" w:eastAsia="仿宋_GB2312"/>
          <w:sz w:val="32"/>
        </w:rPr>
      </w:pPr>
      <w:r>
        <w:rPr>
          <w:rFonts w:ascii="Times New Roman" w:hAnsi="Times New Roman" w:eastAsia="仿宋_GB2312"/>
          <w:sz w:val="32"/>
        </w:rPr>
        <w:t>2019年5月29日昆明市盘龙区人民政府关于对《盘龙区2019年财政专项扶贫资金项目实施方案》的批复，同意制定此方案，并于2019年5月31日下达项目补助资金49.88万至松华街道。</w:t>
      </w:r>
    </w:p>
    <w:p w14:paraId="646D6808">
      <w:pPr>
        <w:spacing w:line="600" w:lineRule="exact"/>
        <w:ind w:firstLine="640" w:firstLineChars="200"/>
        <w:rPr>
          <w:rFonts w:ascii="Times New Roman" w:hAnsi="Times New Roman" w:eastAsia="仿宋_GB2312"/>
          <w:sz w:val="32"/>
        </w:rPr>
      </w:pPr>
      <w:r>
        <w:rPr>
          <w:rFonts w:ascii="Times New Roman" w:hAnsi="Times New Roman" w:eastAsia="仿宋_GB2312"/>
          <w:sz w:val="32"/>
        </w:rPr>
        <w:t>已支出资金49.88万元，其中：配套灌溉设施建设支出38.4万元；山药、中药材（种植）补助发放11.48万元，共计49.88万元。</w:t>
      </w:r>
    </w:p>
    <w:p w14:paraId="56A65177">
      <w:pPr>
        <w:ind w:firstLine="320" w:firstLineChars="100"/>
        <w:rPr>
          <w:rFonts w:ascii="黑体" w:hAnsi="黑体" w:eastAsia="黑体" w:cs="黑体"/>
          <w:sz w:val="32"/>
          <w:szCs w:val="32"/>
        </w:rPr>
      </w:pPr>
      <w:bookmarkStart w:id="8" w:name="_Toc18702"/>
      <w:bookmarkStart w:id="9" w:name="_Toc16110"/>
      <w:bookmarkStart w:id="10" w:name="_Toc48082193"/>
      <w:bookmarkStart w:id="11" w:name="_Toc48991964"/>
      <w:bookmarkStart w:id="12" w:name="_Toc53382687"/>
      <w:r>
        <w:rPr>
          <w:rFonts w:hint="eastAsia" w:ascii="黑体" w:hAnsi="黑体" w:eastAsia="黑体" w:cs="黑体"/>
          <w:sz w:val="32"/>
          <w:szCs w:val="32"/>
        </w:rPr>
        <w:t>二、评价结论</w:t>
      </w:r>
      <w:bookmarkEnd w:id="8"/>
      <w:bookmarkEnd w:id="9"/>
      <w:bookmarkEnd w:id="10"/>
      <w:bookmarkEnd w:id="11"/>
      <w:bookmarkEnd w:id="12"/>
    </w:p>
    <w:p w14:paraId="682CFAD7">
      <w:pPr>
        <w:spacing w:line="600" w:lineRule="exact"/>
        <w:ind w:firstLine="640" w:firstLineChars="200"/>
        <w:rPr>
          <w:rFonts w:ascii="Times New Roman" w:hAnsi="Times New Roman" w:eastAsia="仿宋_GB2312"/>
          <w:sz w:val="32"/>
        </w:rPr>
      </w:pPr>
      <w:r>
        <w:rPr>
          <w:rFonts w:ascii="Times New Roman" w:hAnsi="Times New Roman" w:eastAsia="仿宋_GB2312"/>
          <w:sz w:val="32"/>
        </w:rPr>
        <w:t>项目组严格按照实施方案确定的指标体系及评分标准，对项目进行客观评价，项目总体组织比较规范，基本实现预期目标，最终评分结果为</w:t>
      </w:r>
      <w:r>
        <w:rPr>
          <w:rFonts w:ascii="Times New Roman" w:hAnsi="Times New Roman" w:eastAsia="仿宋_GB2312"/>
          <w:color w:val="FF0000"/>
          <w:sz w:val="32"/>
        </w:rPr>
        <w:t>95.48</w:t>
      </w:r>
      <w:r>
        <w:rPr>
          <w:rFonts w:ascii="Times New Roman" w:hAnsi="Times New Roman" w:eastAsia="仿宋_GB2312"/>
          <w:sz w:val="32"/>
        </w:rPr>
        <w:t>分，绩效评级为“</w:t>
      </w:r>
      <w:r>
        <w:rPr>
          <w:rFonts w:ascii="Times New Roman" w:hAnsi="Times New Roman" w:eastAsia="仿宋_GB2312"/>
          <w:color w:val="FF0000"/>
          <w:sz w:val="32"/>
        </w:rPr>
        <w:t>优</w:t>
      </w:r>
      <w:r>
        <w:rPr>
          <w:rFonts w:ascii="Times New Roman" w:hAnsi="Times New Roman" w:eastAsia="仿宋_GB2312"/>
          <w:sz w:val="32"/>
        </w:rPr>
        <w:t>”。</w:t>
      </w:r>
    </w:p>
    <w:tbl>
      <w:tblPr>
        <w:tblStyle w:val="30"/>
        <w:tblW w:w="836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1701"/>
        <w:gridCol w:w="1701"/>
        <w:gridCol w:w="1559"/>
        <w:gridCol w:w="1843"/>
      </w:tblGrid>
      <w:tr w14:paraId="74621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560" w:type="dxa"/>
            <w:vAlign w:val="center"/>
          </w:tcPr>
          <w:p w14:paraId="3FA8DB1C">
            <w:pPr>
              <w:pStyle w:val="24"/>
              <w:spacing w:before="94"/>
              <w:ind w:left="304" w:right="298"/>
              <w:rPr>
                <w:rFonts w:ascii="Times New Roman" w:hAnsi="Times New Roman" w:eastAsia="宋体" w:cs="Times New Roman"/>
                <w:b/>
                <w:sz w:val="21"/>
                <w:lang w:eastAsia="en-US"/>
              </w:rPr>
            </w:pPr>
            <w:r>
              <w:rPr>
                <w:rFonts w:ascii="Times New Roman" w:hAnsi="Times New Roman" w:eastAsia="宋体" w:cs="Times New Roman"/>
                <w:b/>
                <w:sz w:val="21"/>
                <w:lang w:eastAsia="en-US"/>
              </w:rPr>
              <w:t>指标</w:t>
            </w:r>
          </w:p>
        </w:tc>
        <w:tc>
          <w:tcPr>
            <w:tcW w:w="1701" w:type="dxa"/>
            <w:vAlign w:val="center"/>
          </w:tcPr>
          <w:p w14:paraId="64E8FD11">
            <w:pPr>
              <w:pStyle w:val="24"/>
              <w:spacing w:before="94"/>
              <w:ind w:left="304" w:right="298"/>
              <w:rPr>
                <w:rFonts w:ascii="Times New Roman" w:hAnsi="Times New Roman" w:eastAsia="宋体" w:cs="Times New Roman"/>
                <w:b/>
                <w:sz w:val="21"/>
                <w:lang w:eastAsia="en-US"/>
              </w:rPr>
            </w:pPr>
            <w:r>
              <w:rPr>
                <w:rFonts w:ascii="Times New Roman" w:hAnsi="Times New Roman" w:eastAsia="宋体" w:cs="Times New Roman"/>
                <w:b/>
                <w:sz w:val="21"/>
                <w:lang w:eastAsia="en-US"/>
              </w:rPr>
              <w:t>项目决策</w:t>
            </w:r>
          </w:p>
        </w:tc>
        <w:tc>
          <w:tcPr>
            <w:tcW w:w="1701" w:type="dxa"/>
            <w:vAlign w:val="center"/>
          </w:tcPr>
          <w:p w14:paraId="236DE8CE">
            <w:pPr>
              <w:pStyle w:val="24"/>
              <w:spacing w:before="94"/>
              <w:ind w:left="303" w:right="294"/>
              <w:rPr>
                <w:rFonts w:ascii="Times New Roman" w:hAnsi="Times New Roman" w:eastAsia="宋体" w:cs="Times New Roman"/>
                <w:b/>
                <w:sz w:val="21"/>
                <w:lang w:eastAsia="en-US"/>
              </w:rPr>
            </w:pPr>
            <w:r>
              <w:rPr>
                <w:rFonts w:ascii="Times New Roman" w:hAnsi="Times New Roman" w:eastAsia="宋体" w:cs="Times New Roman"/>
                <w:b/>
                <w:sz w:val="21"/>
                <w:lang w:eastAsia="en-US"/>
              </w:rPr>
              <w:t>项目管理</w:t>
            </w:r>
          </w:p>
        </w:tc>
        <w:tc>
          <w:tcPr>
            <w:tcW w:w="1559" w:type="dxa"/>
            <w:vAlign w:val="center"/>
          </w:tcPr>
          <w:p w14:paraId="74AB063D">
            <w:pPr>
              <w:pStyle w:val="24"/>
              <w:spacing w:before="94"/>
              <w:ind w:left="304" w:right="294"/>
              <w:rPr>
                <w:rFonts w:ascii="Times New Roman" w:hAnsi="Times New Roman" w:eastAsia="宋体" w:cs="Times New Roman"/>
                <w:b/>
                <w:sz w:val="21"/>
                <w:lang w:eastAsia="en-US"/>
              </w:rPr>
            </w:pPr>
            <w:r>
              <w:rPr>
                <w:rFonts w:ascii="Times New Roman" w:hAnsi="Times New Roman" w:eastAsia="宋体" w:cs="Times New Roman"/>
                <w:b/>
                <w:sz w:val="21"/>
                <w:lang w:eastAsia="en-US"/>
              </w:rPr>
              <w:t>项目绩效</w:t>
            </w:r>
          </w:p>
        </w:tc>
        <w:tc>
          <w:tcPr>
            <w:tcW w:w="1843" w:type="dxa"/>
            <w:vAlign w:val="center"/>
          </w:tcPr>
          <w:p w14:paraId="07B6ADB6">
            <w:pPr>
              <w:pStyle w:val="24"/>
              <w:spacing w:before="94"/>
              <w:ind w:left="585" w:right="576"/>
              <w:rPr>
                <w:rFonts w:ascii="Times New Roman" w:hAnsi="Times New Roman" w:eastAsia="宋体" w:cs="Times New Roman"/>
                <w:b/>
                <w:sz w:val="21"/>
                <w:lang w:eastAsia="en-US"/>
              </w:rPr>
            </w:pPr>
            <w:r>
              <w:rPr>
                <w:rFonts w:ascii="Times New Roman" w:hAnsi="Times New Roman" w:eastAsia="宋体" w:cs="Times New Roman"/>
                <w:b/>
                <w:sz w:val="21"/>
                <w:lang w:eastAsia="en-US"/>
              </w:rPr>
              <w:t>合计</w:t>
            </w:r>
          </w:p>
        </w:tc>
      </w:tr>
      <w:tr w14:paraId="1BA7E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560" w:type="dxa"/>
            <w:vAlign w:val="center"/>
          </w:tcPr>
          <w:p w14:paraId="2948EAC1">
            <w:pPr>
              <w:pStyle w:val="24"/>
              <w:spacing w:before="94"/>
              <w:ind w:left="304" w:right="298"/>
              <w:rPr>
                <w:rFonts w:ascii="Times New Roman" w:hAnsi="Times New Roman" w:eastAsia="宋体" w:cs="Times New Roman"/>
                <w:b/>
                <w:sz w:val="21"/>
                <w:lang w:eastAsia="en-US"/>
              </w:rPr>
            </w:pPr>
            <w:r>
              <w:rPr>
                <w:rFonts w:ascii="Times New Roman" w:hAnsi="Times New Roman" w:eastAsia="宋体" w:cs="Times New Roman"/>
                <w:b/>
                <w:sz w:val="21"/>
                <w:lang w:eastAsia="en-US"/>
              </w:rPr>
              <w:t>权重</w:t>
            </w:r>
          </w:p>
        </w:tc>
        <w:tc>
          <w:tcPr>
            <w:tcW w:w="1701" w:type="dxa"/>
            <w:vAlign w:val="center"/>
          </w:tcPr>
          <w:p w14:paraId="4AA37269">
            <w:pPr>
              <w:pStyle w:val="24"/>
              <w:spacing w:before="106"/>
              <w:ind w:left="304" w:right="294"/>
              <w:rPr>
                <w:rFonts w:ascii="Times New Roman" w:hAnsi="Times New Roman" w:eastAsia="宋体" w:cs="Times New Roman"/>
                <w:sz w:val="21"/>
                <w:lang w:eastAsia="en-US"/>
              </w:rPr>
            </w:pPr>
            <w:r>
              <w:rPr>
                <w:rFonts w:ascii="Times New Roman" w:hAnsi="Times New Roman" w:eastAsia="宋体" w:cs="Times New Roman"/>
                <w:sz w:val="21"/>
                <w:lang w:eastAsia="en-US"/>
              </w:rPr>
              <w:t>20分</w:t>
            </w:r>
          </w:p>
        </w:tc>
        <w:tc>
          <w:tcPr>
            <w:tcW w:w="1701" w:type="dxa"/>
            <w:vAlign w:val="center"/>
          </w:tcPr>
          <w:p w14:paraId="2FED99E5">
            <w:pPr>
              <w:pStyle w:val="24"/>
              <w:spacing w:before="106"/>
              <w:ind w:left="304" w:right="292"/>
              <w:rPr>
                <w:rFonts w:ascii="Times New Roman" w:hAnsi="Times New Roman" w:eastAsia="宋体" w:cs="Times New Roman"/>
                <w:sz w:val="21"/>
                <w:lang w:eastAsia="en-US"/>
              </w:rPr>
            </w:pPr>
            <w:r>
              <w:rPr>
                <w:rFonts w:ascii="Times New Roman" w:hAnsi="Times New Roman" w:eastAsia="宋体" w:cs="Times New Roman"/>
                <w:sz w:val="21"/>
                <w:lang w:eastAsia="en-US"/>
              </w:rPr>
              <w:t>20分</w:t>
            </w:r>
          </w:p>
        </w:tc>
        <w:tc>
          <w:tcPr>
            <w:tcW w:w="1559" w:type="dxa"/>
            <w:vAlign w:val="center"/>
          </w:tcPr>
          <w:p w14:paraId="57899816">
            <w:pPr>
              <w:pStyle w:val="24"/>
              <w:spacing w:before="106"/>
              <w:ind w:left="304" w:right="291"/>
              <w:rPr>
                <w:rFonts w:ascii="Times New Roman" w:hAnsi="Times New Roman" w:eastAsia="宋体" w:cs="Times New Roman"/>
                <w:sz w:val="21"/>
                <w:lang w:eastAsia="en-US"/>
              </w:rPr>
            </w:pPr>
            <w:r>
              <w:rPr>
                <w:rFonts w:ascii="Times New Roman" w:hAnsi="Times New Roman" w:eastAsia="宋体" w:cs="Times New Roman"/>
                <w:sz w:val="21"/>
                <w:lang w:eastAsia="en-US"/>
              </w:rPr>
              <w:t>60分</w:t>
            </w:r>
          </w:p>
        </w:tc>
        <w:tc>
          <w:tcPr>
            <w:tcW w:w="1843" w:type="dxa"/>
            <w:vAlign w:val="center"/>
          </w:tcPr>
          <w:p w14:paraId="5DC19E39">
            <w:pPr>
              <w:pStyle w:val="24"/>
              <w:spacing w:before="106"/>
              <w:ind w:left="304" w:right="291"/>
              <w:rPr>
                <w:rFonts w:ascii="Times New Roman" w:hAnsi="Times New Roman" w:eastAsia="宋体" w:cs="Times New Roman"/>
                <w:sz w:val="21"/>
                <w:lang w:eastAsia="en-US"/>
              </w:rPr>
            </w:pPr>
            <w:r>
              <w:rPr>
                <w:rFonts w:ascii="Times New Roman" w:hAnsi="Times New Roman" w:eastAsia="宋体" w:cs="Times New Roman"/>
                <w:sz w:val="21"/>
                <w:lang w:eastAsia="en-US"/>
              </w:rPr>
              <w:t>100分</w:t>
            </w:r>
          </w:p>
        </w:tc>
      </w:tr>
      <w:tr w14:paraId="09AD1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560" w:type="dxa"/>
            <w:vAlign w:val="center"/>
          </w:tcPr>
          <w:p w14:paraId="09D60482">
            <w:pPr>
              <w:pStyle w:val="24"/>
              <w:spacing w:before="94"/>
              <w:ind w:left="304" w:right="298"/>
              <w:rPr>
                <w:rFonts w:ascii="Times New Roman" w:hAnsi="Times New Roman" w:eastAsia="宋体" w:cs="Times New Roman"/>
                <w:b/>
                <w:sz w:val="21"/>
                <w:lang w:eastAsia="en-US"/>
              </w:rPr>
            </w:pPr>
            <w:r>
              <w:rPr>
                <w:rFonts w:ascii="Times New Roman" w:hAnsi="Times New Roman" w:eastAsia="宋体" w:cs="Times New Roman"/>
                <w:b/>
                <w:sz w:val="21"/>
                <w:lang w:eastAsia="en-US"/>
              </w:rPr>
              <w:t>得分率</w:t>
            </w:r>
          </w:p>
        </w:tc>
        <w:tc>
          <w:tcPr>
            <w:tcW w:w="1701" w:type="dxa"/>
            <w:vAlign w:val="center"/>
          </w:tcPr>
          <w:p w14:paraId="4B4C8309">
            <w:pPr>
              <w:pStyle w:val="24"/>
              <w:spacing w:before="103"/>
              <w:ind w:left="7"/>
              <w:rPr>
                <w:rFonts w:ascii="Times New Roman" w:hAnsi="Times New Roman" w:eastAsia="宋体" w:cs="Times New Roman"/>
                <w:sz w:val="21"/>
                <w:lang w:eastAsia="en-US"/>
              </w:rPr>
            </w:pPr>
            <w:r>
              <w:rPr>
                <w:rFonts w:ascii="Times New Roman" w:hAnsi="Times New Roman" w:eastAsia="宋体" w:cs="Times New Roman"/>
                <w:sz w:val="21"/>
                <w:lang w:eastAsia="en-US"/>
              </w:rPr>
              <w:t>100%</w:t>
            </w:r>
          </w:p>
        </w:tc>
        <w:tc>
          <w:tcPr>
            <w:tcW w:w="1701" w:type="dxa"/>
            <w:vAlign w:val="center"/>
          </w:tcPr>
          <w:p w14:paraId="3F7592B6">
            <w:pPr>
              <w:pStyle w:val="24"/>
              <w:spacing w:before="103"/>
              <w:ind w:left="303" w:right="294"/>
              <w:rPr>
                <w:rFonts w:ascii="Times New Roman" w:hAnsi="Times New Roman" w:eastAsia="宋体" w:cs="Times New Roman"/>
                <w:sz w:val="21"/>
                <w:lang w:eastAsia="en-US"/>
              </w:rPr>
            </w:pPr>
            <w:r>
              <w:rPr>
                <w:rFonts w:ascii="Times New Roman" w:hAnsi="Times New Roman" w:cs="Times New Roman"/>
                <w:sz w:val="24"/>
                <w:szCs w:val="24"/>
                <w:lang w:eastAsia="en-US"/>
              </w:rPr>
              <w:t>87.5%</w:t>
            </w:r>
          </w:p>
        </w:tc>
        <w:tc>
          <w:tcPr>
            <w:tcW w:w="1559" w:type="dxa"/>
            <w:vAlign w:val="center"/>
          </w:tcPr>
          <w:p w14:paraId="04EA223A">
            <w:pPr>
              <w:pStyle w:val="24"/>
              <w:spacing w:before="103"/>
              <w:ind w:left="304" w:right="294"/>
              <w:rPr>
                <w:rFonts w:ascii="Times New Roman" w:hAnsi="Times New Roman" w:eastAsia="宋体" w:cs="Times New Roman"/>
                <w:sz w:val="21"/>
                <w:lang w:eastAsia="en-US"/>
              </w:rPr>
            </w:pPr>
            <w:r>
              <w:rPr>
                <w:rFonts w:ascii="Times New Roman" w:hAnsi="Times New Roman" w:cs="Times New Roman"/>
                <w:sz w:val="24"/>
                <w:szCs w:val="24"/>
                <w:lang w:eastAsia="en-US"/>
              </w:rPr>
              <w:t>96.63%</w:t>
            </w:r>
          </w:p>
        </w:tc>
        <w:tc>
          <w:tcPr>
            <w:tcW w:w="1843" w:type="dxa"/>
            <w:vAlign w:val="center"/>
          </w:tcPr>
          <w:p w14:paraId="1119153F">
            <w:pPr>
              <w:pStyle w:val="24"/>
              <w:spacing w:before="106"/>
              <w:ind w:left="304" w:right="291"/>
              <w:rPr>
                <w:rFonts w:ascii="Times New Roman" w:hAnsi="Times New Roman" w:eastAsia="宋体" w:cs="Times New Roman"/>
                <w:sz w:val="21"/>
                <w:lang w:eastAsia="en-US"/>
              </w:rPr>
            </w:pPr>
            <w:r>
              <w:rPr>
                <w:rFonts w:ascii="Times New Roman" w:hAnsi="Times New Roman" w:cs="Times New Roman"/>
                <w:sz w:val="24"/>
                <w:szCs w:val="24"/>
                <w:lang w:eastAsia="en-US"/>
              </w:rPr>
              <w:fldChar w:fldCharType="begin"/>
            </w:r>
            <w:r>
              <w:rPr>
                <w:rFonts w:ascii="Times New Roman" w:hAnsi="Times New Roman" w:cs="Times New Roman"/>
                <w:sz w:val="24"/>
                <w:szCs w:val="24"/>
                <w:lang w:eastAsia="en-US"/>
              </w:rPr>
              <w:instrText xml:space="preserve">=SUM(ABOVE)*100 \# "0.00%"</w:instrText>
            </w:r>
            <w:r>
              <w:rPr>
                <w:rFonts w:ascii="Times New Roman" w:hAnsi="Times New Roman" w:cs="Times New Roman"/>
                <w:sz w:val="24"/>
                <w:szCs w:val="24"/>
                <w:lang w:eastAsia="en-US"/>
              </w:rPr>
              <w:fldChar w:fldCharType="separate"/>
            </w:r>
            <w:r>
              <w:rPr>
                <w:rFonts w:ascii="Times New Roman" w:hAnsi="Times New Roman" w:cs="Times New Roman"/>
                <w:sz w:val="24"/>
                <w:szCs w:val="24"/>
                <w:lang w:eastAsia="en-US"/>
              </w:rPr>
              <w:t>95.48%</w:t>
            </w:r>
            <w:r>
              <w:rPr>
                <w:rFonts w:ascii="Times New Roman" w:hAnsi="Times New Roman" w:cs="Times New Roman"/>
                <w:sz w:val="24"/>
                <w:szCs w:val="24"/>
                <w:lang w:eastAsia="en-US"/>
              </w:rPr>
              <w:fldChar w:fldCharType="end"/>
            </w:r>
          </w:p>
        </w:tc>
      </w:tr>
      <w:tr w14:paraId="0B954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560" w:type="dxa"/>
            <w:vAlign w:val="center"/>
          </w:tcPr>
          <w:p w14:paraId="0E1D074D">
            <w:pPr>
              <w:pStyle w:val="24"/>
              <w:spacing w:before="94"/>
              <w:ind w:left="304" w:right="298"/>
              <w:rPr>
                <w:rFonts w:ascii="Times New Roman" w:hAnsi="Times New Roman" w:eastAsia="宋体" w:cs="Times New Roman"/>
                <w:b/>
                <w:sz w:val="21"/>
                <w:lang w:eastAsia="en-US"/>
              </w:rPr>
            </w:pPr>
            <w:r>
              <w:rPr>
                <w:rFonts w:ascii="Times New Roman" w:hAnsi="Times New Roman" w:eastAsia="宋体" w:cs="Times New Roman"/>
                <w:b/>
                <w:sz w:val="21"/>
                <w:lang w:eastAsia="en-US"/>
              </w:rPr>
              <w:t>得分</w:t>
            </w:r>
          </w:p>
        </w:tc>
        <w:tc>
          <w:tcPr>
            <w:tcW w:w="1701" w:type="dxa"/>
            <w:vAlign w:val="center"/>
          </w:tcPr>
          <w:p w14:paraId="410ABEF2">
            <w:pPr>
              <w:pStyle w:val="24"/>
              <w:spacing w:before="103"/>
              <w:ind w:left="7"/>
              <w:rPr>
                <w:rFonts w:ascii="Times New Roman" w:hAnsi="Times New Roman" w:eastAsia="宋体" w:cs="Times New Roman"/>
                <w:sz w:val="21"/>
                <w:lang w:eastAsia="en-US"/>
              </w:rPr>
            </w:pPr>
            <w:r>
              <w:rPr>
                <w:rFonts w:ascii="Times New Roman" w:hAnsi="Times New Roman" w:eastAsia="宋体" w:cs="Times New Roman"/>
                <w:sz w:val="21"/>
                <w:lang w:eastAsia="en-US"/>
              </w:rPr>
              <w:t>20</w:t>
            </w:r>
          </w:p>
        </w:tc>
        <w:tc>
          <w:tcPr>
            <w:tcW w:w="1701" w:type="dxa"/>
            <w:vAlign w:val="center"/>
          </w:tcPr>
          <w:p w14:paraId="77B070D0">
            <w:pPr>
              <w:pStyle w:val="24"/>
              <w:spacing w:before="103"/>
              <w:ind w:left="303" w:right="294"/>
              <w:rPr>
                <w:rFonts w:ascii="Times New Roman" w:hAnsi="Times New Roman" w:eastAsia="宋体" w:cs="Times New Roman"/>
                <w:sz w:val="21"/>
                <w:lang w:eastAsia="en-US"/>
              </w:rPr>
            </w:pPr>
            <w:r>
              <w:rPr>
                <w:rFonts w:ascii="Times New Roman" w:hAnsi="Times New Roman" w:eastAsia="宋体" w:cs="Times New Roman"/>
                <w:sz w:val="24"/>
                <w:szCs w:val="24"/>
                <w:lang w:eastAsia="en-US"/>
              </w:rPr>
              <w:t>17.5</w:t>
            </w:r>
          </w:p>
        </w:tc>
        <w:tc>
          <w:tcPr>
            <w:tcW w:w="1559" w:type="dxa"/>
            <w:vAlign w:val="center"/>
          </w:tcPr>
          <w:p w14:paraId="1C6A8406">
            <w:pPr>
              <w:pStyle w:val="24"/>
              <w:spacing w:before="106"/>
              <w:ind w:left="304" w:right="291"/>
              <w:rPr>
                <w:rFonts w:ascii="Times New Roman" w:hAnsi="Times New Roman" w:eastAsia="宋体" w:cs="Times New Roman"/>
                <w:sz w:val="21"/>
                <w:lang w:eastAsia="en-US"/>
              </w:rPr>
            </w:pPr>
            <w:r>
              <w:rPr>
                <w:rFonts w:ascii="Times New Roman" w:hAnsi="Times New Roman" w:eastAsia="宋体" w:cs="Times New Roman"/>
                <w:sz w:val="24"/>
                <w:szCs w:val="24"/>
                <w:lang w:eastAsia="en-US"/>
              </w:rPr>
              <w:t>57.98</w:t>
            </w:r>
          </w:p>
        </w:tc>
        <w:tc>
          <w:tcPr>
            <w:tcW w:w="1843" w:type="dxa"/>
            <w:vAlign w:val="center"/>
          </w:tcPr>
          <w:p w14:paraId="63BE5508">
            <w:pPr>
              <w:pStyle w:val="24"/>
              <w:spacing w:before="106"/>
              <w:ind w:right="291" w:firstLine="720" w:firstLineChars="300"/>
              <w:jc w:val="both"/>
              <w:rPr>
                <w:rFonts w:ascii="Times New Roman" w:hAnsi="Times New Roman" w:eastAsia="宋体" w:cs="Times New Roman"/>
                <w:sz w:val="21"/>
                <w:lang w:eastAsia="en-US"/>
              </w:rPr>
            </w:pPr>
            <w:r>
              <w:rPr>
                <w:rFonts w:ascii="Times New Roman" w:hAnsi="Times New Roman" w:eastAsia="宋体" w:cs="Times New Roman"/>
                <w:sz w:val="24"/>
                <w:szCs w:val="24"/>
                <w:lang w:eastAsia="en-US"/>
              </w:rPr>
              <w:t>95.48</w:t>
            </w:r>
          </w:p>
        </w:tc>
      </w:tr>
    </w:tbl>
    <w:p w14:paraId="06617743">
      <w:pPr>
        <w:topLinePunct/>
        <w:spacing w:line="600" w:lineRule="exact"/>
        <w:ind w:firstLine="640" w:firstLineChars="200"/>
        <w:rPr>
          <w:rFonts w:ascii="宋体" w:hAnsi="宋体" w:eastAsia="仿宋_GB2312" w:cs="宋体"/>
        </w:rPr>
      </w:pPr>
      <w:bookmarkStart w:id="13" w:name="_Toc48991965"/>
      <w:bookmarkStart w:id="14" w:name="_Toc48082194"/>
      <w:r>
        <w:rPr>
          <w:rFonts w:hint="eastAsia" w:ascii="仿宋_GB2312" w:hAnsi="仿宋_GB2312" w:eastAsia="仿宋_GB2312" w:cs="仿宋_GB2312"/>
          <w:sz w:val="32"/>
          <w:szCs w:val="32"/>
        </w:rPr>
        <w:t>本项目总体组织比较规范，专项资金投入使用后，能够及时对合作社（贫困户）进行扶持，有效改善合作社种植基地基础设施条件，完善配套灌溉设施，达到增产降低种植成本的目的。合作社受益群众满意度较高。</w:t>
      </w:r>
    </w:p>
    <w:p w14:paraId="5EBFEA14">
      <w:pPr>
        <w:ind w:firstLine="320" w:firstLineChars="100"/>
        <w:rPr>
          <w:rFonts w:ascii="黑体" w:hAnsi="黑体" w:eastAsia="黑体" w:cs="黑体"/>
          <w:sz w:val="32"/>
          <w:szCs w:val="32"/>
        </w:rPr>
      </w:pPr>
      <w:bookmarkStart w:id="15" w:name="_Toc9020"/>
      <w:bookmarkStart w:id="16" w:name="_Toc7890"/>
      <w:bookmarkStart w:id="17" w:name="_Toc53382688"/>
      <w:r>
        <w:rPr>
          <w:rFonts w:hint="eastAsia" w:ascii="黑体" w:hAnsi="黑体" w:eastAsia="黑体" w:cs="黑体"/>
          <w:sz w:val="32"/>
          <w:szCs w:val="32"/>
        </w:rPr>
        <w:t>三、经验、问题和建议</w:t>
      </w:r>
      <w:bookmarkEnd w:id="13"/>
      <w:bookmarkEnd w:id="14"/>
      <w:bookmarkEnd w:id="15"/>
      <w:bookmarkEnd w:id="16"/>
      <w:bookmarkEnd w:id="17"/>
    </w:p>
    <w:p w14:paraId="5CCF8C56">
      <w:pPr>
        <w:ind w:firstLine="640" w:firstLineChars="200"/>
        <w:rPr>
          <w:rFonts w:ascii="仿宋_GB2312" w:hAnsi="仿宋_GB2312" w:eastAsia="仿宋_GB2312" w:cs="仿宋_GB2312"/>
          <w:sz w:val="32"/>
          <w:szCs w:val="32"/>
        </w:rPr>
      </w:pPr>
      <w:bookmarkStart w:id="18" w:name="_Toc4911"/>
      <w:bookmarkStart w:id="19" w:name="_Toc48991966"/>
      <w:bookmarkStart w:id="20" w:name="_Toc48056548"/>
      <w:bookmarkStart w:id="21" w:name="_Toc16547"/>
      <w:bookmarkStart w:id="22" w:name="_Toc48082195"/>
      <w:bookmarkStart w:id="23" w:name="_Toc21521"/>
      <w:bookmarkStart w:id="24" w:name="_Toc48056237"/>
      <w:r>
        <w:rPr>
          <w:rFonts w:hint="eastAsia" w:ascii="仿宋_GB2312" w:hAnsi="仿宋_GB2312" w:eastAsia="仿宋_GB2312" w:cs="仿宋_GB2312"/>
          <w:sz w:val="32"/>
          <w:szCs w:val="32"/>
        </w:rPr>
        <w:t>1.主要经验及做法</w:t>
      </w:r>
      <w:bookmarkEnd w:id="18"/>
      <w:bookmarkEnd w:id="19"/>
      <w:bookmarkEnd w:id="20"/>
      <w:bookmarkEnd w:id="21"/>
      <w:bookmarkEnd w:id="22"/>
      <w:bookmarkEnd w:id="23"/>
      <w:bookmarkEnd w:id="24"/>
    </w:p>
    <w:p w14:paraId="6D2EDB36">
      <w:pPr>
        <w:spacing w:line="600" w:lineRule="exact"/>
        <w:ind w:firstLine="640" w:firstLineChars="200"/>
        <w:rPr>
          <w:rFonts w:ascii="Times New Roman" w:eastAsia="仿宋_GB2312"/>
          <w:bCs/>
          <w:sz w:val="32"/>
        </w:rPr>
      </w:pPr>
      <w:r>
        <w:rPr>
          <w:rFonts w:hint="eastAsia" w:ascii="Times New Roman" w:eastAsia="仿宋_GB2312"/>
          <w:bCs/>
          <w:sz w:val="32"/>
        </w:rPr>
        <w:t>松华街道大摆社区瞄准贫困户，进行针对性地帮扶。</w:t>
      </w:r>
    </w:p>
    <w:p w14:paraId="269CE93F">
      <w:pPr>
        <w:spacing w:line="600" w:lineRule="exact"/>
        <w:ind w:firstLine="640" w:firstLineChars="200"/>
        <w:rPr>
          <w:rFonts w:ascii="仿宋_GB2312" w:eastAsia="仿宋_GB2312"/>
          <w:sz w:val="32"/>
        </w:rPr>
      </w:pPr>
      <w:r>
        <w:rPr>
          <w:rFonts w:hint="eastAsia" w:ascii="仿宋_GB2312" w:eastAsia="仿宋_GB2312"/>
          <w:sz w:val="32"/>
        </w:rPr>
        <w:t>项目实施前，大摆社区党组织、居委会班子成员认真分析辖区耕地、农户情况，确定种植地块，按照地块涉及农户名单逐户入户做工作，通过社区干部不懈努力，争取到16户建档立卡贫困户和8户一般农户的支持，组建合作社，通过针对性帮扶，有效解决脱贫问题，巩固脱贫攻坚成果。</w:t>
      </w:r>
    </w:p>
    <w:p w14:paraId="38409377">
      <w:pPr>
        <w:ind w:firstLine="640" w:firstLineChars="200"/>
        <w:rPr>
          <w:rFonts w:ascii="仿宋_GB2312" w:hAnsi="仿宋_GB2312" w:eastAsia="仿宋_GB2312" w:cs="仿宋_GB2312"/>
          <w:sz w:val="32"/>
          <w:szCs w:val="32"/>
        </w:rPr>
      </w:pPr>
      <w:bookmarkStart w:id="25" w:name="_Toc48991967"/>
      <w:bookmarkStart w:id="26" w:name="_Toc30620"/>
      <w:bookmarkStart w:id="27" w:name="_Toc48082196"/>
      <w:bookmarkStart w:id="28" w:name="_Toc125"/>
      <w:bookmarkStart w:id="29" w:name="_Toc22341"/>
      <w:bookmarkStart w:id="30" w:name="_Toc48056238"/>
      <w:bookmarkStart w:id="31" w:name="_Toc48056549"/>
      <w:r>
        <w:rPr>
          <w:rFonts w:hint="eastAsia" w:ascii="仿宋_GB2312" w:hAnsi="仿宋_GB2312" w:eastAsia="仿宋_GB2312" w:cs="仿宋_GB2312"/>
          <w:sz w:val="32"/>
          <w:szCs w:val="32"/>
        </w:rPr>
        <w:t>2.存在的问题</w:t>
      </w:r>
      <w:bookmarkEnd w:id="25"/>
      <w:bookmarkEnd w:id="26"/>
      <w:bookmarkEnd w:id="27"/>
      <w:bookmarkEnd w:id="28"/>
      <w:bookmarkEnd w:id="29"/>
      <w:bookmarkEnd w:id="30"/>
      <w:bookmarkEnd w:id="31"/>
    </w:p>
    <w:p w14:paraId="78127E5F">
      <w:pPr>
        <w:spacing w:line="600" w:lineRule="exact"/>
        <w:ind w:firstLine="640" w:firstLineChars="200"/>
        <w:rPr>
          <w:rFonts w:ascii="仿宋_GB2312" w:hAnsi="Times New Roman" w:eastAsia="仿宋_GB2312"/>
          <w:sz w:val="32"/>
        </w:rPr>
      </w:pPr>
      <w:r>
        <w:rPr>
          <w:rFonts w:hint="eastAsia" w:ascii="仿宋_GB2312" w:hAnsi="Times New Roman" w:eastAsia="仿宋_GB2312"/>
          <w:sz w:val="32"/>
        </w:rPr>
        <w:t>（1）松华街道未对项目专门建立相关监督制度。</w:t>
      </w:r>
    </w:p>
    <w:p w14:paraId="5AC8CC8C">
      <w:pPr>
        <w:spacing w:line="600" w:lineRule="exact"/>
        <w:ind w:firstLine="640" w:firstLineChars="200"/>
        <w:rPr>
          <w:rFonts w:ascii="仿宋_GB2312" w:hAnsi="Times New Roman" w:eastAsia="仿宋_GB2312"/>
          <w:b/>
          <w:bCs/>
          <w:sz w:val="32"/>
        </w:rPr>
      </w:pPr>
      <w:r>
        <w:rPr>
          <w:rFonts w:hint="eastAsia" w:ascii="仿宋_GB2312" w:hAnsi="Times New Roman" w:eastAsia="仿宋_GB2312"/>
          <w:sz w:val="32"/>
        </w:rPr>
        <w:t>松华街道未针对大摆社区山药、中药种植示范项目建立相关监督制度。</w:t>
      </w:r>
    </w:p>
    <w:p w14:paraId="42076CF0">
      <w:pPr>
        <w:ind w:firstLine="640" w:firstLineChars="200"/>
        <w:rPr>
          <w:rFonts w:ascii="仿宋_GB2312" w:hAnsi="仿宋_GB2312" w:eastAsia="仿宋_GB2312" w:cs="仿宋_GB2312"/>
          <w:sz w:val="32"/>
          <w:szCs w:val="32"/>
        </w:rPr>
      </w:pPr>
      <w:bookmarkStart w:id="32" w:name="_Toc48056550"/>
      <w:bookmarkStart w:id="33" w:name="_Toc48991968"/>
      <w:bookmarkStart w:id="34" w:name="_Toc20358"/>
      <w:bookmarkStart w:id="35" w:name="_Toc48056239"/>
      <w:bookmarkStart w:id="36" w:name="_Toc48082197"/>
      <w:bookmarkStart w:id="37" w:name="_Toc25997"/>
      <w:bookmarkStart w:id="38" w:name="_Toc16319"/>
      <w:r>
        <w:rPr>
          <w:rFonts w:hint="eastAsia" w:ascii="仿宋_GB2312" w:hAnsi="仿宋_GB2312" w:eastAsia="仿宋_GB2312" w:cs="仿宋_GB2312"/>
          <w:sz w:val="32"/>
          <w:szCs w:val="32"/>
        </w:rPr>
        <w:t>3.改进措施及建议</w:t>
      </w:r>
      <w:bookmarkEnd w:id="32"/>
      <w:bookmarkEnd w:id="33"/>
      <w:bookmarkEnd w:id="34"/>
      <w:bookmarkEnd w:id="35"/>
      <w:bookmarkEnd w:id="36"/>
      <w:bookmarkEnd w:id="37"/>
      <w:bookmarkEnd w:id="38"/>
    </w:p>
    <w:p w14:paraId="022A5E61">
      <w:pPr>
        <w:spacing w:line="600" w:lineRule="exact"/>
        <w:ind w:firstLine="640" w:firstLineChars="200"/>
        <w:rPr>
          <w:rFonts w:ascii="Times New Roman" w:hAnsi="Times New Roman" w:eastAsia="仿宋_GB2312"/>
          <w:sz w:val="32"/>
        </w:rPr>
        <w:sectPr>
          <w:footerReference r:id="rId8" w:type="default"/>
          <w:pgSz w:w="11906" w:h="16838"/>
          <w:pgMar w:top="1440" w:right="1800" w:bottom="1440" w:left="1800" w:header="851" w:footer="992" w:gutter="0"/>
          <w:pgNumType w:start="1"/>
          <w:cols w:space="425" w:num="1"/>
          <w:docGrid w:type="lines" w:linePitch="312" w:charSpace="0"/>
        </w:sectPr>
      </w:pPr>
      <w:r>
        <w:rPr>
          <w:rFonts w:ascii="Times New Roman" w:hAnsi="Times New Roman" w:eastAsia="仿宋_GB2312"/>
          <w:sz w:val="32"/>
        </w:rPr>
        <w:t>针对项目制定</w:t>
      </w:r>
      <w:r>
        <w:rPr>
          <w:rFonts w:hint="eastAsia" w:ascii="Times New Roman" w:hAnsi="Times New Roman" w:eastAsia="仿宋_GB2312"/>
          <w:sz w:val="32"/>
        </w:rPr>
        <w:t>监督制度。</w:t>
      </w:r>
      <w:r>
        <w:rPr>
          <w:rFonts w:ascii="Times New Roman" w:hAnsi="Times New Roman" w:eastAsia="仿宋_GB2312"/>
          <w:sz w:val="32"/>
        </w:rPr>
        <w:t>建议松华街道</w:t>
      </w:r>
      <w:r>
        <w:rPr>
          <w:rFonts w:hint="eastAsia" w:ascii="Times New Roman" w:hAnsi="Times New Roman" w:eastAsia="仿宋_GB2312"/>
          <w:sz w:val="32"/>
        </w:rPr>
        <w:t>在项目资金到位后</w:t>
      </w:r>
      <w:r>
        <w:rPr>
          <w:rFonts w:ascii="Times New Roman" w:hAnsi="Times New Roman" w:eastAsia="仿宋_GB2312"/>
          <w:sz w:val="32"/>
        </w:rPr>
        <w:t>，结合项目实际，针对扶贫项目建立项目</w:t>
      </w:r>
      <w:r>
        <w:rPr>
          <w:rFonts w:hint="eastAsia" w:ascii="Times New Roman" w:hAnsi="Times New Roman" w:eastAsia="仿宋_GB2312"/>
          <w:sz w:val="32"/>
        </w:rPr>
        <w:t>监督制度，要求大摆社区定期向街道报项目实施进度，街道财务部门对于大摆社区提交财务资料，严格审核；街道组织相关部门不定期对大摆社区项目进行实地检查，以检查促进度，促整改落实，确保项目顺利进行。</w:t>
      </w:r>
    </w:p>
    <w:p w14:paraId="69CC90B1">
      <w:pPr>
        <w:jc w:val="center"/>
        <w:rPr>
          <w:rFonts w:ascii="方正小标宋_GBK" w:hAnsi="方正小标宋_GBK" w:eastAsia="方正小标宋_GBK" w:cs="方正小标宋_GBK"/>
          <w:sz w:val="40"/>
          <w:szCs w:val="40"/>
        </w:rPr>
      </w:pPr>
      <w:bookmarkStart w:id="39" w:name="_Toc28832"/>
      <w:bookmarkStart w:id="40" w:name="_Toc22142"/>
      <w:r>
        <w:rPr>
          <w:rFonts w:hint="eastAsia" w:ascii="方正小标宋_GBK" w:hAnsi="方正小标宋_GBK" w:eastAsia="方正小标宋_GBK" w:cs="方正小标宋_GBK"/>
          <w:sz w:val="40"/>
          <w:szCs w:val="40"/>
        </w:rPr>
        <w:t>松华街道大摆社区山药、中药种植示范项目绩效评价报告</w:t>
      </w:r>
      <w:bookmarkEnd w:id="39"/>
      <w:bookmarkEnd w:id="40"/>
    </w:p>
    <w:p w14:paraId="2BA461FF">
      <w:pPr>
        <w:spacing w:line="620" w:lineRule="exact"/>
        <w:jc w:val="center"/>
        <w:outlineLvl w:val="0"/>
        <w:rPr>
          <w:rFonts w:ascii="方正小标宋_GBK" w:hAnsi="方正小标宋简体" w:eastAsia="方正小标宋_GBK" w:cs="方正小标宋简体"/>
          <w:spacing w:val="6"/>
          <w:kern w:val="0"/>
          <w:sz w:val="40"/>
          <w:szCs w:val="40"/>
        </w:rPr>
      </w:pPr>
    </w:p>
    <w:p w14:paraId="26C5C97C">
      <w:pPr>
        <w:spacing w:line="600" w:lineRule="exact"/>
        <w:ind w:firstLine="640" w:firstLineChars="200"/>
        <w:rPr>
          <w:rFonts w:ascii="仿宋_GB2312" w:eastAsia="仿宋_GB2312" w:hAnsiTheme="minorHAnsi" w:cstheme="minorBidi"/>
          <w:sz w:val="32"/>
          <w:szCs w:val="32"/>
        </w:rPr>
      </w:pPr>
      <w:r>
        <w:rPr>
          <w:rFonts w:ascii="Times New Roman" w:hAnsi="Times New Roman" w:eastAsia="仿宋_GB2312"/>
          <w:sz w:val="32"/>
          <w:szCs w:val="32"/>
        </w:rPr>
        <w:t>为加强盘龙区财政支出管理，提高财政资金使用效益，充分发挥财政资金对扶贫工作的支持作用，根据昆明市人民政府扶贫办公室《关于拨付2019年市级财政专项扶贫资金的通知》（昆财农〔2019〕4号）、《昆明市盘龙区财政局关于开展2019年度项目支出重点绩效评价的通知》（盘财绩〔2020〕7号）的要求，盘龙区财政局对</w:t>
      </w:r>
      <w:r>
        <w:rPr>
          <w:rFonts w:ascii="Times New Roman" w:hAnsi="Times New Roman" w:eastAsia="仿宋_GB2312"/>
          <w:sz w:val="32"/>
        </w:rPr>
        <w:t>盘龙区农业农村局负责实施的</w:t>
      </w:r>
      <w:r>
        <w:rPr>
          <w:rFonts w:ascii="Times New Roman" w:hAnsi="Times New Roman" w:eastAsia="仿宋_GB2312"/>
          <w:sz w:val="32"/>
          <w:szCs w:val="32"/>
        </w:rPr>
        <w:t>大摆社区山药、中药种植示范项目展开绩效评价。</w:t>
      </w:r>
    </w:p>
    <w:p w14:paraId="74486292">
      <w:pPr>
        <w:pStyle w:val="2"/>
        <w:spacing w:line="600" w:lineRule="exact"/>
        <w:ind w:firstLine="480" w:firstLineChars="150"/>
        <w:rPr>
          <w:rFonts w:ascii="黑体" w:hAnsi="黑体" w:eastAsia="黑体"/>
          <w:b w:val="0"/>
          <w:sz w:val="32"/>
          <w:szCs w:val="32"/>
        </w:rPr>
      </w:pPr>
      <w:bookmarkStart w:id="41" w:name="_Toc48082198"/>
      <w:bookmarkStart w:id="42" w:name="_Toc7688"/>
      <w:bookmarkStart w:id="43" w:name="_Toc31770"/>
      <w:r>
        <w:rPr>
          <w:rFonts w:hint="eastAsia" w:ascii="黑体" w:hAnsi="黑体" w:eastAsia="黑体"/>
          <w:b w:val="0"/>
          <w:sz w:val="32"/>
          <w:szCs w:val="32"/>
        </w:rPr>
        <w:t>一、项目基本情况</w:t>
      </w:r>
      <w:bookmarkEnd w:id="41"/>
      <w:bookmarkEnd w:id="42"/>
      <w:bookmarkEnd w:id="43"/>
    </w:p>
    <w:p w14:paraId="66FB2C5E">
      <w:pPr>
        <w:pStyle w:val="3"/>
        <w:spacing w:line="600" w:lineRule="exact"/>
        <w:ind w:firstLine="480" w:firstLineChars="150"/>
        <w:rPr>
          <w:rFonts w:ascii="楷体_GB2312" w:eastAsia="楷体_GB2312"/>
          <w:b w:val="0"/>
        </w:rPr>
      </w:pPr>
      <w:bookmarkStart w:id="44" w:name="_Toc48082199"/>
      <w:bookmarkStart w:id="45" w:name="_Toc30971"/>
      <w:r>
        <w:rPr>
          <w:rFonts w:hint="eastAsia" w:ascii="楷体_GB2312" w:eastAsia="楷体_GB2312"/>
          <w:b w:val="0"/>
        </w:rPr>
        <w:t>（一）项目立项</w:t>
      </w:r>
      <w:bookmarkEnd w:id="44"/>
      <w:r>
        <w:rPr>
          <w:rFonts w:hint="eastAsia" w:ascii="楷体_GB2312" w:eastAsia="楷体_GB2312"/>
          <w:b w:val="0"/>
        </w:rPr>
        <w:t>背景</w:t>
      </w:r>
      <w:bookmarkEnd w:id="45"/>
    </w:p>
    <w:p w14:paraId="495B415D">
      <w:pPr>
        <w:spacing w:line="600" w:lineRule="exact"/>
        <w:ind w:firstLine="640" w:firstLineChars="200"/>
        <w:rPr>
          <w:rFonts w:ascii="Times New Roman" w:hAnsi="Times New Roman" w:eastAsia="仿宋_GB2312"/>
          <w:sz w:val="32"/>
        </w:rPr>
      </w:pPr>
      <w:r>
        <w:rPr>
          <w:rFonts w:ascii="Times New Roman" w:hAnsi="Times New Roman" w:eastAsia="仿宋_GB2312"/>
          <w:sz w:val="32"/>
        </w:rPr>
        <w:t>全面贯彻落实中央扶贫开发决策部署和</w:t>
      </w:r>
      <w:r>
        <w:rPr>
          <w:rFonts w:hint="eastAsia" w:ascii="Times New Roman" w:hAnsi="Times New Roman" w:eastAsia="仿宋_GB2312"/>
          <w:sz w:val="32"/>
          <w:lang w:eastAsia="zh-CN"/>
        </w:rPr>
        <w:t>习近平总书记重要指示精神</w:t>
      </w:r>
      <w:r>
        <w:rPr>
          <w:rFonts w:ascii="Times New Roman" w:hAnsi="Times New Roman" w:eastAsia="仿宋_GB2312"/>
          <w:sz w:val="32"/>
        </w:rPr>
        <w:t>，根据省、市扶贫开发工作会议精神，以全面小康为引领，以巩固提升贫困人口脱贫成果为目标，以贫困户增加收入为核心，以贫困村和贫困人口为重点，通过“政府引导、群众主体、合作组织带动、市场运作”的方式，提高农村生产经营的组织化、规模化程度，努力实现产业发展和贫困人口增收致富双赢，确保全区贫困群众在全面建成小康社会进程中不掉队。</w:t>
      </w:r>
    </w:p>
    <w:p w14:paraId="1D14A8E7">
      <w:pPr>
        <w:spacing w:line="600" w:lineRule="exact"/>
        <w:ind w:firstLine="640" w:firstLineChars="200"/>
      </w:pPr>
      <w:r>
        <w:rPr>
          <w:rFonts w:ascii="Times New Roman" w:hAnsi="Times New Roman" w:eastAsia="仿宋_GB2312"/>
          <w:sz w:val="32"/>
        </w:rPr>
        <w:t>盘龙区农业农村局根据本级区域发展与扶贫攻坚规划，结合本地资源、扶贫对象需求，提出《盘龙区2019年财政专项扶贫资金项目实施方案》，方案要求充分利用产业扶贫政策和专项资金，打好产业扶贫攻坚战，扶持发展中草药产期增收产业，鼓励引导贫困村和贫困户抱团发展，因地制宜发展农业产业，组建农民专业合作组织，建立产业基地，实现脱贫致富。</w:t>
      </w:r>
    </w:p>
    <w:p w14:paraId="743D3F2D">
      <w:pPr>
        <w:pStyle w:val="3"/>
        <w:numPr>
          <w:ilvl w:val="0"/>
          <w:numId w:val="2"/>
        </w:numPr>
        <w:spacing w:line="600" w:lineRule="exact"/>
        <w:ind w:firstLine="480" w:firstLineChars="150"/>
        <w:rPr>
          <w:rFonts w:ascii="楷体_GB2312" w:eastAsia="楷体_GB2312"/>
          <w:b w:val="0"/>
        </w:rPr>
      </w:pPr>
      <w:bookmarkStart w:id="46" w:name="_Toc7341"/>
      <w:r>
        <w:rPr>
          <w:rFonts w:hint="eastAsia" w:ascii="楷体_GB2312" w:eastAsia="楷体_GB2312"/>
          <w:b w:val="0"/>
        </w:rPr>
        <w:t>项目立项依据</w:t>
      </w:r>
      <w:bookmarkEnd w:id="46"/>
    </w:p>
    <w:p w14:paraId="186454CC">
      <w:pPr>
        <w:spacing w:line="600" w:lineRule="exact"/>
        <w:ind w:firstLine="640" w:firstLineChars="200"/>
        <w:rPr>
          <w:rFonts w:ascii="Times New Roman" w:hAnsi="Times New Roman" w:eastAsia="仿宋_GB2312"/>
          <w:sz w:val="32"/>
        </w:rPr>
      </w:pPr>
      <w:r>
        <w:rPr>
          <w:rFonts w:ascii="Times New Roman" w:hAnsi="Times New Roman" w:eastAsia="仿宋_GB2312"/>
          <w:sz w:val="32"/>
        </w:rPr>
        <w:t>根据昆明市财政局、昆明市人民政府扶贫开发办公室《昆明市财政局昆明市扶贫开发办公室关于拨付2019年市级财政专项资金的通知》（昆财农〔2019〕4号），文件要求资金进一步向深度贫困村倾斜，全面贯彻落实深度贫困地区脱贫攻坚工作电视电话会议和中共中央办公厅、国务院办公厅《关于支持深度贫困地区脱贫攻坚的实施意见》（厅字〔2017〕41号）资金优先安排深度贫困村，注重解决存在的突出困难和问题，提高资金使用针对性和有效性。</w:t>
      </w:r>
    </w:p>
    <w:p w14:paraId="4A921F1C">
      <w:pPr>
        <w:numPr>
          <w:ilvl w:val="0"/>
          <w:numId w:val="2"/>
        </w:numPr>
        <w:spacing w:before="260" w:after="260"/>
        <w:ind w:firstLine="480" w:firstLineChars="150"/>
        <w:outlineLvl w:val="1"/>
        <w:rPr>
          <w:rFonts w:ascii="楷体_GB2312" w:hAnsi="楷体_GB2312" w:eastAsia="楷体_GB2312" w:cs="楷体_GB2312"/>
          <w:sz w:val="32"/>
          <w:szCs w:val="36"/>
        </w:rPr>
      </w:pPr>
      <w:bookmarkStart w:id="47" w:name="_Toc14051"/>
      <w:r>
        <w:rPr>
          <w:rFonts w:hint="eastAsia" w:ascii="楷体_GB2312" w:hAnsi="楷体_GB2312" w:eastAsia="楷体_GB2312" w:cs="楷体_GB2312"/>
          <w:sz w:val="32"/>
          <w:szCs w:val="36"/>
        </w:rPr>
        <w:t>项目实施内容</w:t>
      </w:r>
      <w:bookmarkEnd w:id="47"/>
    </w:p>
    <w:p w14:paraId="53DFC62C">
      <w:pPr>
        <w:ind w:firstLine="640" w:firstLineChars="200"/>
        <w:rPr>
          <w:rFonts w:ascii="Times New Roman" w:hAnsi="Times New Roman"/>
        </w:rPr>
      </w:pPr>
      <w:r>
        <w:rPr>
          <w:rFonts w:ascii="Times New Roman" w:hAnsi="Times New Roman" w:eastAsia="仿宋_GB2312"/>
          <w:sz w:val="32"/>
        </w:rPr>
        <w:t>本次评价大摆社区山药、中药种植示范项目，项目实施内容主要为：山药、中药补助发放：①山药种植30亩、中药（蒲公英）种植150亩，支出种苗费45.90万元，本次补助种苗费支出的25</w:t>
      </w:r>
      <w:r>
        <w:rPr>
          <w:rFonts w:hint="eastAsia" w:ascii="Times New Roman" w:hAnsi="Times New Roman" w:eastAsia="仿宋_GB2312"/>
          <w:sz w:val="32"/>
        </w:rPr>
        <w:t>.00</w:t>
      </w:r>
      <w:r>
        <w:rPr>
          <w:rFonts w:ascii="Times New Roman" w:hAnsi="Times New Roman" w:eastAsia="仿宋_GB2312"/>
          <w:sz w:val="32"/>
        </w:rPr>
        <w:t>%即11.48万元，其余部分由合作社自筹）；②种植基地配套灌溉设施建设：新建200立方米水池2个，架设灌溉水管网2.4</w:t>
      </w:r>
      <w:r>
        <w:rPr>
          <w:rFonts w:hint="eastAsia" w:ascii="Times New Roman" w:hAnsi="Times New Roman" w:eastAsia="仿宋_GB2312"/>
          <w:sz w:val="32"/>
        </w:rPr>
        <w:t>0</w:t>
      </w:r>
      <w:r>
        <w:rPr>
          <w:rFonts w:ascii="Times New Roman" w:hAnsi="Times New Roman" w:eastAsia="仿宋_GB2312"/>
          <w:sz w:val="32"/>
        </w:rPr>
        <w:t>千米。</w:t>
      </w:r>
    </w:p>
    <w:p w14:paraId="703C5A9F">
      <w:pPr>
        <w:numPr>
          <w:ilvl w:val="0"/>
          <w:numId w:val="2"/>
        </w:numPr>
        <w:spacing w:before="260" w:after="260" w:line="600" w:lineRule="exact"/>
        <w:ind w:firstLine="480" w:firstLineChars="150"/>
        <w:outlineLvl w:val="1"/>
        <w:rPr>
          <w:rFonts w:ascii="楷体_GB2312" w:hAnsi="楷体_GB2312" w:eastAsia="楷体_GB2312" w:cs="楷体_GB2312"/>
          <w:sz w:val="32"/>
          <w:szCs w:val="36"/>
        </w:rPr>
      </w:pPr>
      <w:bookmarkStart w:id="48" w:name="_Toc12172"/>
      <w:r>
        <w:rPr>
          <w:rFonts w:hint="eastAsia" w:ascii="楷体_GB2312" w:hAnsi="楷体_GB2312" w:eastAsia="楷体_GB2312" w:cs="楷体_GB2312"/>
          <w:sz w:val="32"/>
          <w:szCs w:val="36"/>
        </w:rPr>
        <w:t>项目实施计划及完成情况</w:t>
      </w:r>
      <w:bookmarkEnd w:id="48"/>
    </w:p>
    <w:p w14:paraId="5389DCDB">
      <w:pPr>
        <w:spacing w:line="600" w:lineRule="exact"/>
        <w:rPr>
          <w:rFonts w:ascii="楷体_GB2312" w:hAnsi="楷体_GB2312" w:eastAsia="楷体_GB2312" w:cs="楷体_GB2312"/>
          <w:sz w:val="32"/>
          <w:szCs w:val="36"/>
        </w:rPr>
      </w:pPr>
      <w:r>
        <w:rPr>
          <w:rFonts w:hint="eastAsia" w:ascii="楷体_GB2312" w:hAnsi="楷体_GB2312" w:eastAsia="楷体_GB2312" w:cs="楷体_GB2312"/>
          <w:sz w:val="32"/>
          <w:szCs w:val="36"/>
        </w:rPr>
        <w:t xml:space="preserve">    </w:t>
      </w:r>
      <w:r>
        <w:rPr>
          <w:rFonts w:ascii="Times New Roman" w:hAnsi="Times New Roman" w:eastAsia="楷体_GB2312"/>
          <w:sz w:val="32"/>
          <w:szCs w:val="36"/>
        </w:rPr>
        <w:t xml:space="preserve"> 1.</w:t>
      </w:r>
      <w:r>
        <w:rPr>
          <w:rFonts w:hint="eastAsia" w:ascii="楷体_GB2312" w:hAnsi="楷体_GB2312" w:eastAsia="楷体_GB2312" w:cs="楷体_GB2312"/>
          <w:sz w:val="32"/>
          <w:szCs w:val="36"/>
        </w:rPr>
        <w:t>实施计划</w:t>
      </w:r>
    </w:p>
    <w:p w14:paraId="1C691B9A">
      <w:pPr>
        <w:spacing w:line="600" w:lineRule="exact"/>
        <w:ind w:firstLine="640" w:firstLineChars="200"/>
        <w:rPr>
          <w:rFonts w:ascii="Times New Roman" w:hAnsi="Times New Roman" w:eastAsia="仿宋_GB2312"/>
          <w:sz w:val="32"/>
        </w:rPr>
      </w:pPr>
      <w:r>
        <w:rPr>
          <w:rFonts w:ascii="Times New Roman" w:hAnsi="Times New Roman" w:eastAsia="仿宋_GB2312"/>
          <w:sz w:val="32"/>
        </w:rPr>
        <w:t>松华街道采取“党组织+合作社+农户”的方式，在大摆社区成立大摆菜农菜篮子农业合作社，大摆社区建档立卡户以入股方式加入合作社，参与山药、中药（蒲公英）种植项目的筹备和实施，计划在合作社种植基地新建200m³水池2个，架设灌溉水管2400米，用以完善种植基地灌溉设施，补助大摆菜农菜篮子农业合作社本次山药、中药种苗费支出的25</w:t>
      </w:r>
      <w:r>
        <w:rPr>
          <w:rFonts w:hint="eastAsia" w:ascii="Times New Roman" w:hAnsi="Times New Roman" w:eastAsia="仿宋_GB2312"/>
          <w:sz w:val="32"/>
        </w:rPr>
        <w:t>.00</w:t>
      </w:r>
      <w:r>
        <w:rPr>
          <w:rFonts w:ascii="Times New Roman" w:hAnsi="Times New Roman" w:eastAsia="仿宋_GB2312"/>
          <w:sz w:val="32"/>
        </w:rPr>
        <w:t>%（大摆社区山药、中药种植本次支出种苗费45.90万元），推动合作社发展。</w:t>
      </w:r>
    </w:p>
    <w:p w14:paraId="0AC0D2A3">
      <w:pPr>
        <w:spacing w:line="600" w:lineRule="exact"/>
        <w:ind w:firstLine="640" w:firstLineChars="200"/>
        <w:rPr>
          <w:rFonts w:ascii="仿宋_GB2312" w:eastAsia="仿宋_GB2312"/>
          <w:sz w:val="32"/>
        </w:rPr>
      </w:pPr>
      <w:r>
        <w:rPr>
          <w:rFonts w:ascii="Times New Roman" w:hAnsi="Times New Roman" w:eastAsia="仿宋_GB2312"/>
          <w:sz w:val="32"/>
        </w:rPr>
        <w:t>2.</w:t>
      </w:r>
      <w:r>
        <w:rPr>
          <w:rFonts w:hint="eastAsia" w:ascii="仿宋_GB2312" w:eastAsia="仿宋_GB2312"/>
          <w:sz w:val="32"/>
        </w:rPr>
        <w:t>项目实施情况</w:t>
      </w:r>
    </w:p>
    <w:p w14:paraId="7414546C">
      <w:pPr>
        <w:spacing w:line="600" w:lineRule="exact"/>
        <w:ind w:firstLine="640" w:firstLineChars="200"/>
        <w:rPr>
          <w:rFonts w:ascii="Times New Roman" w:hAnsi="Times New Roman" w:eastAsia="仿宋_GB2312"/>
          <w:sz w:val="32"/>
        </w:rPr>
      </w:pPr>
      <w:r>
        <w:rPr>
          <w:rFonts w:ascii="Times New Roman" w:hAnsi="Times New Roman" w:eastAsia="仿宋_GB2312"/>
          <w:sz w:val="32"/>
        </w:rPr>
        <w:t>松华街道大摆社区山药、中药种植项目实施已完成。具体内容为：</w:t>
      </w:r>
    </w:p>
    <w:p w14:paraId="3E7254AC">
      <w:pPr>
        <w:spacing w:line="600" w:lineRule="exact"/>
        <w:ind w:firstLine="640" w:firstLineChars="200"/>
        <w:rPr>
          <w:rFonts w:ascii="Times New Roman" w:hAnsi="Times New Roman" w:eastAsia="仿宋_GB2312"/>
          <w:sz w:val="32"/>
        </w:rPr>
      </w:pPr>
      <w:r>
        <w:rPr>
          <w:rFonts w:ascii="Times New Roman" w:hAnsi="Times New Roman" w:eastAsia="仿宋_GB2312"/>
          <w:sz w:val="32"/>
        </w:rPr>
        <w:t xml:space="preserve">①种植基地配套灌溉设施建设，新建200m³水池2个，架设灌溉水管2400米，项目已完成并验收通过投入使用； </w:t>
      </w:r>
    </w:p>
    <w:p w14:paraId="58F5710B">
      <w:pPr>
        <w:spacing w:line="600" w:lineRule="exact"/>
        <w:ind w:firstLine="640" w:firstLineChars="200"/>
        <w:rPr>
          <w:rFonts w:ascii="Times New Roman" w:hAnsi="Times New Roman" w:eastAsia="仿宋_GB2312"/>
          <w:sz w:val="32"/>
        </w:rPr>
      </w:pPr>
      <w:r>
        <w:rPr>
          <w:rFonts w:ascii="Times New Roman" w:hAnsi="Times New Roman" w:eastAsia="仿宋_GB2312"/>
          <w:sz w:val="32"/>
        </w:rPr>
        <w:t>②种苗费补助按时足额发放，补助种苗费支出的25%，分两批下拨至昆明大摆菜农菜篮子专业合作社，第一批拨付资金9.184万元，第二批拨付资金2.296万元，共计11.48万元。</w:t>
      </w:r>
    </w:p>
    <w:p w14:paraId="26F94394">
      <w:pPr>
        <w:spacing w:line="600" w:lineRule="exact"/>
        <w:ind w:firstLine="640" w:firstLineChars="200"/>
        <w:rPr>
          <w:rFonts w:ascii="Times New Roman" w:hAnsi="Times New Roman" w:eastAsia="仿宋_GB2312"/>
          <w:b/>
          <w:sz w:val="32"/>
        </w:rPr>
      </w:pPr>
      <w:r>
        <w:rPr>
          <w:rFonts w:ascii="Times New Roman" w:hAnsi="Times New Roman" w:eastAsia="仿宋_GB2312"/>
          <w:bCs/>
          <w:sz w:val="32"/>
        </w:rPr>
        <w:t>1.资金来源及使用情况</w:t>
      </w:r>
    </w:p>
    <w:p w14:paraId="4F4E9C3F">
      <w:pPr>
        <w:spacing w:line="600" w:lineRule="exact"/>
        <w:ind w:firstLine="640" w:firstLineChars="200"/>
        <w:rPr>
          <w:rFonts w:ascii="Times New Roman" w:hAnsi="Times New Roman" w:eastAsia="仿宋_GB2312"/>
          <w:sz w:val="32"/>
        </w:rPr>
      </w:pPr>
      <w:r>
        <w:rPr>
          <w:rFonts w:ascii="Times New Roman" w:hAnsi="Times New Roman" w:eastAsia="仿宋_GB2312"/>
          <w:sz w:val="32"/>
        </w:rPr>
        <w:t>（1）项目资金来源</w:t>
      </w:r>
    </w:p>
    <w:p w14:paraId="2CA430EB">
      <w:pPr>
        <w:spacing w:line="600" w:lineRule="exact"/>
        <w:ind w:firstLine="640" w:firstLineChars="200"/>
        <w:rPr>
          <w:rFonts w:ascii="Times New Roman" w:hAnsi="Times New Roman" w:eastAsia="仿宋_GB2312"/>
          <w:sz w:val="32"/>
        </w:rPr>
      </w:pPr>
      <w:r>
        <w:rPr>
          <w:rFonts w:ascii="Times New Roman" w:hAnsi="Times New Roman" w:eastAsia="仿宋_GB2312"/>
          <w:sz w:val="32"/>
        </w:rPr>
        <w:t>2019年5月29日昆明市盘龙区人民政府关于对《盘龙区2019年财政专项扶贫资金项目实施方案》（盘政复〔2019〕110号）的批复，同意实施此方案，拨付专项扶贫资金576万。针对本项目昆明市盘龙区财政局安排专项扶贫资金49.88万元至昆明市盘龙区农业农村局，后于2019年5月31日下拨至松华街道。</w:t>
      </w:r>
    </w:p>
    <w:p w14:paraId="78B36D4A">
      <w:pPr>
        <w:spacing w:line="600" w:lineRule="exact"/>
        <w:ind w:firstLine="640" w:firstLineChars="200"/>
        <w:rPr>
          <w:rFonts w:ascii="Times New Roman" w:hAnsi="Times New Roman" w:eastAsia="仿宋_GB2312"/>
          <w:sz w:val="32"/>
        </w:rPr>
      </w:pPr>
      <w:r>
        <w:rPr>
          <w:rFonts w:ascii="Times New Roman" w:hAnsi="Times New Roman" w:eastAsia="仿宋_GB2312"/>
          <w:sz w:val="32"/>
        </w:rPr>
        <w:t>（2）资金使用情况</w:t>
      </w:r>
    </w:p>
    <w:p w14:paraId="61D4FDA4">
      <w:pPr>
        <w:spacing w:line="600" w:lineRule="exact"/>
        <w:ind w:firstLine="640" w:firstLineChars="200"/>
        <w:rPr>
          <w:rFonts w:ascii="Times New Roman" w:hAnsi="Times New Roman" w:eastAsia="仿宋_GB2312"/>
          <w:sz w:val="32"/>
        </w:rPr>
      </w:pPr>
      <w:r>
        <w:rPr>
          <w:rFonts w:ascii="Times New Roman" w:hAnsi="Times New Roman" w:eastAsia="仿宋_GB2312"/>
          <w:sz w:val="32"/>
        </w:rPr>
        <w:t>2019年项目共下达资金49.88万元，已支出49.88万元，详见下表：</w:t>
      </w:r>
    </w:p>
    <w:p w14:paraId="49634A50">
      <w:pPr>
        <w:ind w:firstLine="420" w:firstLineChars="200"/>
        <w:jc w:val="right"/>
        <w:rPr>
          <w:rFonts w:ascii="Times New Roman" w:eastAsia="仿宋_GB2312"/>
        </w:rPr>
      </w:pPr>
      <w:r>
        <w:rPr>
          <w:rFonts w:hint="eastAsia" w:ascii="Times New Roman" w:eastAsia="仿宋_GB2312"/>
        </w:rPr>
        <w:t>单位：万元</w:t>
      </w:r>
    </w:p>
    <w:tbl>
      <w:tblPr>
        <w:tblStyle w:val="12"/>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288"/>
        <w:gridCol w:w="2391"/>
        <w:gridCol w:w="2843"/>
      </w:tblGrid>
      <w:tr w14:paraId="0D81B0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340" w:hRule="exact"/>
          <w:jc w:val="center"/>
        </w:trPr>
        <w:tc>
          <w:tcPr>
            <w:tcW w:w="3288" w:type="dxa"/>
            <w:vAlign w:val="center"/>
          </w:tcPr>
          <w:p w14:paraId="694998F9">
            <w:pPr>
              <w:jc w:val="center"/>
              <w:rPr>
                <w:rFonts w:ascii="仿宋_GB2312" w:eastAsia="仿宋_GB2312"/>
                <w:sz w:val="18"/>
                <w:szCs w:val="18"/>
              </w:rPr>
            </w:pPr>
            <w:r>
              <w:rPr>
                <w:rFonts w:hint="eastAsia" w:ascii="仿宋_GB2312" w:eastAsia="仿宋_GB2312"/>
                <w:sz w:val="18"/>
                <w:szCs w:val="18"/>
              </w:rPr>
              <w:t>项目</w:t>
            </w:r>
          </w:p>
        </w:tc>
        <w:tc>
          <w:tcPr>
            <w:tcW w:w="2391" w:type="dxa"/>
            <w:vAlign w:val="center"/>
          </w:tcPr>
          <w:p w14:paraId="58467383">
            <w:pPr>
              <w:jc w:val="center"/>
              <w:rPr>
                <w:rFonts w:ascii="仿宋_GB2312" w:eastAsia="仿宋_GB2312"/>
                <w:sz w:val="18"/>
                <w:szCs w:val="18"/>
              </w:rPr>
            </w:pPr>
            <w:r>
              <w:rPr>
                <w:rFonts w:hint="eastAsia" w:ascii="仿宋_GB2312" w:eastAsia="仿宋_GB2312"/>
                <w:sz w:val="18"/>
                <w:szCs w:val="18"/>
              </w:rPr>
              <w:t>下达资金数</w:t>
            </w:r>
          </w:p>
        </w:tc>
        <w:tc>
          <w:tcPr>
            <w:tcW w:w="2843" w:type="dxa"/>
            <w:vAlign w:val="center"/>
          </w:tcPr>
          <w:p w14:paraId="018B4AEC">
            <w:pPr>
              <w:spacing w:line="200" w:lineRule="exact"/>
              <w:jc w:val="center"/>
              <w:rPr>
                <w:rFonts w:ascii="Times New Roman" w:hAnsi="Times New Roman" w:eastAsia="仿宋_GB2312"/>
                <w:sz w:val="18"/>
                <w:szCs w:val="18"/>
              </w:rPr>
            </w:pPr>
            <w:r>
              <w:rPr>
                <w:rFonts w:hint="eastAsia" w:ascii="Times New Roman" w:hAnsi="Times New Roman" w:eastAsia="仿宋_GB2312"/>
                <w:sz w:val="18"/>
                <w:szCs w:val="18"/>
              </w:rPr>
              <w:t>2019年支出</w:t>
            </w:r>
          </w:p>
        </w:tc>
      </w:tr>
      <w:tr w14:paraId="05C1D0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504" w:hRule="exact"/>
          <w:jc w:val="center"/>
        </w:trPr>
        <w:tc>
          <w:tcPr>
            <w:tcW w:w="3288" w:type="dxa"/>
            <w:vAlign w:val="center"/>
          </w:tcPr>
          <w:p w14:paraId="29B33489">
            <w:pPr>
              <w:spacing w:line="200" w:lineRule="exact"/>
              <w:jc w:val="center"/>
              <w:rPr>
                <w:rFonts w:ascii="仿宋_GB2312" w:eastAsia="仿宋_GB2312"/>
                <w:sz w:val="18"/>
                <w:szCs w:val="18"/>
              </w:rPr>
            </w:pPr>
            <w:r>
              <w:rPr>
                <w:rFonts w:hint="eastAsia" w:ascii="Times New Roman" w:hAnsi="Times New Roman" w:eastAsia="仿宋_GB2312"/>
                <w:sz w:val="18"/>
                <w:szCs w:val="18"/>
              </w:rPr>
              <w:t>大摆社区山药、中药种植示范项目</w:t>
            </w:r>
          </w:p>
        </w:tc>
        <w:tc>
          <w:tcPr>
            <w:tcW w:w="2391" w:type="dxa"/>
            <w:vAlign w:val="center"/>
          </w:tcPr>
          <w:p w14:paraId="552D9584">
            <w:pPr>
              <w:spacing w:line="200" w:lineRule="exact"/>
              <w:jc w:val="center"/>
              <w:rPr>
                <w:rFonts w:ascii="Times New Roman" w:hAnsi="Times New Roman" w:eastAsia="仿宋_GB2312"/>
                <w:sz w:val="18"/>
                <w:szCs w:val="18"/>
              </w:rPr>
            </w:pPr>
            <w:r>
              <w:rPr>
                <w:rFonts w:ascii="Times New Roman" w:hAnsi="Times New Roman" w:eastAsia="仿宋_GB2312"/>
                <w:sz w:val="18"/>
                <w:szCs w:val="18"/>
              </w:rPr>
              <w:t>49.88</w:t>
            </w:r>
          </w:p>
        </w:tc>
        <w:tc>
          <w:tcPr>
            <w:tcW w:w="2843" w:type="dxa"/>
            <w:vAlign w:val="center"/>
          </w:tcPr>
          <w:p w14:paraId="287B558C">
            <w:pPr>
              <w:spacing w:line="200" w:lineRule="exact"/>
              <w:jc w:val="center"/>
              <w:rPr>
                <w:rFonts w:ascii="Times New Roman" w:hAnsi="Times New Roman" w:eastAsia="仿宋_GB2312"/>
                <w:sz w:val="18"/>
                <w:szCs w:val="18"/>
              </w:rPr>
            </w:pPr>
          </w:p>
        </w:tc>
      </w:tr>
      <w:tr w14:paraId="50810D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40" w:hRule="exact"/>
          <w:jc w:val="center"/>
        </w:trPr>
        <w:tc>
          <w:tcPr>
            <w:tcW w:w="3288" w:type="dxa"/>
            <w:vAlign w:val="center"/>
          </w:tcPr>
          <w:p w14:paraId="0C498474">
            <w:pPr>
              <w:spacing w:line="200" w:lineRule="exact"/>
              <w:rPr>
                <w:rFonts w:ascii="仿宋_GB2312" w:eastAsia="仿宋_GB2312"/>
                <w:sz w:val="18"/>
                <w:szCs w:val="18"/>
              </w:rPr>
            </w:pPr>
            <w:r>
              <w:rPr>
                <w:rFonts w:hint="eastAsia" w:ascii="仿宋_GB2312" w:hAnsi="仿宋_GB2312" w:eastAsia="仿宋_GB2312" w:cs="仿宋_GB2312"/>
                <w:sz w:val="18"/>
                <w:szCs w:val="18"/>
              </w:rPr>
              <w:t>①配套灌溉设施建设（水池）</w:t>
            </w:r>
          </w:p>
        </w:tc>
        <w:tc>
          <w:tcPr>
            <w:tcW w:w="2391" w:type="dxa"/>
            <w:vAlign w:val="center"/>
          </w:tcPr>
          <w:p w14:paraId="57F053EF">
            <w:pPr>
              <w:spacing w:line="200" w:lineRule="exact"/>
              <w:jc w:val="center"/>
              <w:rPr>
                <w:rFonts w:ascii="Times New Roman" w:hAnsi="Times New Roman" w:eastAsia="仿宋_GB2312"/>
                <w:sz w:val="18"/>
                <w:szCs w:val="18"/>
              </w:rPr>
            </w:pPr>
          </w:p>
        </w:tc>
        <w:tc>
          <w:tcPr>
            <w:tcW w:w="2843" w:type="dxa"/>
            <w:vAlign w:val="center"/>
          </w:tcPr>
          <w:p w14:paraId="68BECB23">
            <w:pPr>
              <w:spacing w:line="200" w:lineRule="exact"/>
              <w:jc w:val="center"/>
              <w:rPr>
                <w:rFonts w:ascii="Times New Roman" w:hAnsi="Times New Roman" w:eastAsia="仿宋_GB2312"/>
                <w:sz w:val="18"/>
                <w:szCs w:val="18"/>
              </w:rPr>
            </w:pPr>
            <w:r>
              <w:rPr>
                <w:rFonts w:ascii="Times New Roman" w:hAnsi="Times New Roman" w:eastAsia="仿宋_GB2312"/>
                <w:sz w:val="18"/>
                <w:szCs w:val="18"/>
              </w:rPr>
              <w:t>24.00</w:t>
            </w:r>
          </w:p>
        </w:tc>
      </w:tr>
      <w:tr w14:paraId="7FEB48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48" w:hRule="exact"/>
          <w:jc w:val="center"/>
        </w:trPr>
        <w:tc>
          <w:tcPr>
            <w:tcW w:w="3288" w:type="dxa"/>
            <w:vAlign w:val="center"/>
          </w:tcPr>
          <w:p w14:paraId="71A11645">
            <w:pPr>
              <w:spacing w:line="200" w:lineRule="exact"/>
              <w:rPr>
                <w:rFonts w:ascii="仿宋_GB2312" w:eastAsia="仿宋_GB2312"/>
                <w:sz w:val="18"/>
                <w:szCs w:val="18"/>
              </w:rPr>
            </w:pPr>
            <w:r>
              <w:rPr>
                <w:rFonts w:hint="eastAsia" w:ascii="仿宋_GB2312" w:hAnsi="仿宋_GB2312" w:eastAsia="仿宋_GB2312" w:cs="仿宋_GB2312"/>
                <w:sz w:val="18"/>
                <w:szCs w:val="18"/>
              </w:rPr>
              <w:t>②配套灌溉设施建设（管道）</w:t>
            </w:r>
          </w:p>
        </w:tc>
        <w:tc>
          <w:tcPr>
            <w:tcW w:w="2391" w:type="dxa"/>
            <w:vAlign w:val="center"/>
          </w:tcPr>
          <w:p w14:paraId="6CACBD75">
            <w:pPr>
              <w:spacing w:line="200" w:lineRule="exact"/>
              <w:jc w:val="center"/>
              <w:rPr>
                <w:rFonts w:ascii="Times New Roman" w:hAnsi="Times New Roman" w:eastAsia="仿宋_GB2312"/>
                <w:sz w:val="18"/>
                <w:szCs w:val="18"/>
              </w:rPr>
            </w:pPr>
          </w:p>
        </w:tc>
        <w:tc>
          <w:tcPr>
            <w:tcW w:w="2843" w:type="dxa"/>
            <w:vAlign w:val="center"/>
          </w:tcPr>
          <w:p w14:paraId="4F02CADB">
            <w:pPr>
              <w:spacing w:line="200" w:lineRule="exact"/>
              <w:jc w:val="center"/>
              <w:rPr>
                <w:rFonts w:ascii="Times New Roman" w:hAnsi="Times New Roman" w:eastAsia="仿宋_GB2312"/>
                <w:sz w:val="18"/>
                <w:szCs w:val="18"/>
              </w:rPr>
            </w:pPr>
            <w:r>
              <w:rPr>
                <w:rFonts w:ascii="Times New Roman" w:hAnsi="Times New Roman" w:eastAsia="仿宋_GB2312"/>
                <w:sz w:val="18"/>
                <w:szCs w:val="18"/>
              </w:rPr>
              <w:t>14.40</w:t>
            </w:r>
          </w:p>
        </w:tc>
      </w:tr>
      <w:tr w14:paraId="1E6104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340" w:hRule="exact"/>
          <w:jc w:val="center"/>
        </w:trPr>
        <w:tc>
          <w:tcPr>
            <w:tcW w:w="3288" w:type="dxa"/>
            <w:vAlign w:val="center"/>
          </w:tcPr>
          <w:p w14:paraId="777D2007">
            <w:pPr>
              <w:spacing w:line="200" w:lineRule="exact"/>
              <w:rPr>
                <w:rFonts w:ascii="仿宋_GB2312" w:eastAsia="仿宋_GB2312"/>
                <w:sz w:val="18"/>
                <w:szCs w:val="18"/>
              </w:rPr>
            </w:pPr>
            <w:r>
              <w:rPr>
                <w:rFonts w:hint="eastAsia" w:ascii="仿宋_GB2312" w:hAnsi="仿宋_GB2312" w:eastAsia="仿宋_GB2312" w:cs="仿宋_GB2312"/>
                <w:sz w:val="18"/>
                <w:szCs w:val="18"/>
              </w:rPr>
              <w:t>③种苗费补助发放</w:t>
            </w:r>
          </w:p>
        </w:tc>
        <w:tc>
          <w:tcPr>
            <w:tcW w:w="2391" w:type="dxa"/>
            <w:vAlign w:val="center"/>
          </w:tcPr>
          <w:p w14:paraId="61D583FF">
            <w:pPr>
              <w:spacing w:line="200" w:lineRule="exact"/>
              <w:jc w:val="center"/>
              <w:rPr>
                <w:rFonts w:ascii="Times New Roman" w:hAnsi="Times New Roman" w:eastAsia="仿宋_GB2312"/>
                <w:sz w:val="18"/>
                <w:szCs w:val="18"/>
              </w:rPr>
            </w:pPr>
          </w:p>
        </w:tc>
        <w:tc>
          <w:tcPr>
            <w:tcW w:w="2843" w:type="dxa"/>
            <w:vAlign w:val="center"/>
          </w:tcPr>
          <w:p w14:paraId="62DAE4EF">
            <w:pPr>
              <w:spacing w:line="200" w:lineRule="exact"/>
              <w:jc w:val="center"/>
              <w:rPr>
                <w:rFonts w:ascii="Times New Roman" w:hAnsi="Times New Roman" w:eastAsia="仿宋_GB2312"/>
                <w:sz w:val="18"/>
                <w:szCs w:val="18"/>
              </w:rPr>
            </w:pPr>
            <w:r>
              <w:rPr>
                <w:rFonts w:ascii="Times New Roman" w:hAnsi="Times New Roman" w:eastAsia="仿宋_GB2312"/>
                <w:sz w:val="18"/>
                <w:szCs w:val="18"/>
              </w:rPr>
              <w:t>11.48</w:t>
            </w:r>
          </w:p>
        </w:tc>
      </w:tr>
      <w:tr w14:paraId="5206AF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340" w:hRule="exact"/>
          <w:jc w:val="center"/>
        </w:trPr>
        <w:tc>
          <w:tcPr>
            <w:tcW w:w="3288" w:type="dxa"/>
            <w:vAlign w:val="center"/>
          </w:tcPr>
          <w:p w14:paraId="7758DC55">
            <w:pPr>
              <w:spacing w:line="200" w:lineRule="exact"/>
              <w:jc w:val="center"/>
              <w:rPr>
                <w:rFonts w:ascii="仿宋_GB2312" w:eastAsia="仿宋_GB2312"/>
                <w:sz w:val="18"/>
                <w:szCs w:val="18"/>
              </w:rPr>
            </w:pPr>
            <w:r>
              <w:rPr>
                <w:rFonts w:hint="eastAsia" w:ascii="仿宋_GB2312" w:eastAsia="仿宋_GB2312"/>
                <w:sz w:val="18"/>
                <w:szCs w:val="18"/>
              </w:rPr>
              <w:t>合计</w:t>
            </w:r>
          </w:p>
        </w:tc>
        <w:tc>
          <w:tcPr>
            <w:tcW w:w="2391" w:type="dxa"/>
            <w:vAlign w:val="center"/>
          </w:tcPr>
          <w:p w14:paraId="6D54E4BD">
            <w:pPr>
              <w:spacing w:line="200" w:lineRule="exact"/>
              <w:jc w:val="center"/>
              <w:rPr>
                <w:rFonts w:ascii="Times New Roman" w:hAnsi="Times New Roman" w:eastAsia="仿宋_GB2312"/>
                <w:sz w:val="18"/>
                <w:szCs w:val="18"/>
              </w:rPr>
            </w:pPr>
            <w:r>
              <w:rPr>
                <w:rFonts w:ascii="Times New Roman" w:hAnsi="Times New Roman" w:eastAsia="仿宋_GB2312"/>
                <w:sz w:val="18"/>
                <w:szCs w:val="18"/>
              </w:rPr>
              <w:t>49.88</w:t>
            </w:r>
          </w:p>
        </w:tc>
        <w:tc>
          <w:tcPr>
            <w:tcW w:w="2843" w:type="dxa"/>
            <w:vAlign w:val="center"/>
          </w:tcPr>
          <w:p w14:paraId="468E7AD5">
            <w:pPr>
              <w:spacing w:line="200" w:lineRule="exact"/>
              <w:jc w:val="center"/>
              <w:rPr>
                <w:rFonts w:ascii="Times New Roman" w:hAnsi="Times New Roman" w:eastAsia="仿宋_GB2312"/>
                <w:sz w:val="18"/>
                <w:szCs w:val="18"/>
              </w:rPr>
            </w:pPr>
            <w:r>
              <w:rPr>
                <w:rFonts w:ascii="Times New Roman" w:hAnsi="Times New Roman" w:eastAsia="仿宋_GB2312"/>
                <w:sz w:val="18"/>
                <w:szCs w:val="18"/>
              </w:rPr>
              <w:t>49.88</w:t>
            </w:r>
          </w:p>
        </w:tc>
      </w:tr>
    </w:tbl>
    <w:p w14:paraId="7C4E5EF2">
      <w:pPr>
        <w:spacing w:before="260" w:after="260" w:line="600" w:lineRule="exact"/>
        <w:ind w:firstLine="640" w:firstLineChars="200"/>
        <w:outlineLvl w:val="1"/>
        <w:rPr>
          <w:rFonts w:ascii="楷体_GB2312" w:hAnsi="楷体_GB2312" w:eastAsia="楷体_GB2312" w:cs="楷体_GB2312"/>
          <w:sz w:val="32"/>
          <w:szCs w:val="36"/>
        </w:rPr>
      </w:pPr>
      <w:bookmarkStart w:id="49" w:name="_Toc10782"/>
      <w:r>
        <w:rPr>
          <w:rFonts w:hint="eastAsia" w:ascii="楷体_GB2312" w:hAnsi="楷体_GB2312" w:eastAsia="楷体_GB2312" w:cs="楷体_GB2312"/>
          <w:sz w:val="32"/>
          <w:szCs w:val="36"/>
        </w:rPr>
        <w:t>（五）项目的组织及管理</w:t>
      </w:r>
      <w:bookmarkEnd w:id="49"/>
    </w:p>
    <w:p w14:paraId="6433A338">
      <w:pPr>
        <w:spacing w:line="600" w:lineRule="exact"/>
        <w:ind w:firstLine="640" w:firstLineChars="200"/>
        <w:rPr>
          <w:rFonts w:ascii="Times New Roman" w:hAnsi="Times New Roman" w:eastAsia="仿宋_GB2312"/>
          <w:sz w:val="32"/>
        </w:rPr>
      </w:pPr>
      <w:r>
        <w:rPr>
          <w:rFonts w:ascii="Times New Roman" w:hAnsi="Times New Roman" w:eastAsia="仿宋_GB2312"/>
          <w:sz w:val="32"/>
        </w:rPr>
        <w:t>（1）项目组织管理情况</w:t>
      </w:r>
    </w:p>
    <w:p w14:paraId="6518D76D">
      <w:pPr>
        <w:spacing w:line="600" w:lineRule="exact"/>
        <w:ind w:firstLine="640" w:firstLineChars="200"/>
        <w:rPr>
          <w:rFonts w:ascii="Times New Roman" w:hAnsi="Times New Roman" w:eastAsia="仿宋_GB2312"/>
          <w:sz w:val="32"/>
        </w:rPr>
      </w:pPr>
      <w:r>
        <w:rPr>
          <w:rFonts w:hint="eastAsia" w:ascii="仿宋_GB2312" w:hAnsi="Times New Roman" w:eastAsia="仿宋_GB2312"/>
          <w:sz w:val="32"/>
        </w:rPr>
        <w:t>①</w:t>
      </w:r>
      <w:r>
        <w:rPr>
          <w:rFonts w:ascii="Times New Roman" w:hAnsi="Times New Roman" w:eastAsia="仿宋_GB2312"/>
          <w:sz w:val="32"/>
        </w:rPr>
        <w:t>昆明市盘龙区农业农村局为项目主管部门，负责项目的管控、组织实施、技术指导和项目验收工作。项目完成后昆明市盘龙区财政局组织开展年度专项实施情况绩效评价工作，并根据实际情况合理运用评价结果。</w:t>
      </w:r>
    </w:p>
    <w:p w14:paraId="747DEB37">
      <w:pPr>
        <w:spacing w:line="600" w:lineRule="exact"/>
        <w:ind w:firstLine="640" w:firstLineChars="200"/>
        <w:rPr>
          <w:rFonts w:ascii="Times New Roman" w:hAnsi="Times New Roman" w:eastAsia="仿宋_GB2312"/>
          <w:sz w:val="32"/>
        </w:rPr>
      </w:pPr>
      <w:r>
        <w:rPr>
          <w:rFonts w:hint="eastAsia" w:ascii="仿宋_GB2312" w:hAnsi="Times New Roman" w:eastAsia="仿宋_GB2312"/>
          <w:sz w:val="32"/>
        </w:rPr>
        <w:t>②</w:t>
      </w:r>
      <w:r>
        <w:rPr>
          <w:rFonts w:ascii="Times New Roman" w:hAnsi="Times New Roman" w:eastAsia="仿宋_GB2312"/>
          <w:sz w:val="32"/>
        </w:rPr>
        <w:t>松华街道负责项目的申报、实施及资金监督管理；松华街道为项目实施主体，街道、区技术部门为技术支持体系。松华街道负责组织实施工作。大摆社区村委会明确主要领导为第一责任人，配合街道搞好工作。</w:t>
      </w:r>
    </w:p>
    <w:p w14:paraId="0DF5BDA7">
      <w:pPr>
        <w:spacing w:line="600" w:lineRule="exact"/>
        <w:ind w:firstLine="640" w:firstLineChars="200"/>
        <w:rPr>
          <w:rFonts w:ascii="Times New Roman" w:hAnsi="Times New Roman" w:eastAsia="仿宋_GB2312"/>
          <w:sz w:val="32"/>
        </w:rPr>
      </w:pPr>
      <w:r>
        <w:rPr>
          <w:rFonts w:ascii="Times New Roman" w:hAnsi="Times New Roman" w:eastAsia="仿宋_GB2312"/>
          <w:sz w:val="32"/>
        </w:rPr>
        <w:t>松华街道组织项目的规划实施、质量监测、材料汇总进度上报等工作，加强项目实施的后期管理监督工作。项目实行月报，松华街道每月30号前将项目进展情况报盘龙区农业农村局。</w:t>
      </w:r>
    </w:p>
    <w:p w14:paraId="795D746C">
      <w:pPr>
        <w:spacing w:line="600" w:lineRule="exact"/>
        <w:ind w:firstLine="640" w:firstLineChars="200"/>
        <w:rPr>
          <w:rFonts w:ascii="Times New Roman" w:hAnsi="Times New Roman" w:eastAsia="仿宋_GB2312"/>
          <w:sz w:val="32"/>
        </w:rPr>
      </w:pPr>
      <w:r>
        <w:rPr>
          <w:rFonts w:ascii="Times New Roman" w:hAnsi="Times New Roman" w:eastAsia="仿宋_GB2312"/>
          <w:sz w:val="32"/>
        </w:rPr>
        <w:t>（2）项目实施流程</w:t>
      </w:r>
    </w:p>
    <w:p w14:paraId="7F803B52">
      <w:pPr>
        <w:spacing w:line="600" w:lineRule="exact"/>
        <w:ind w:firstLine="640" w:firstLineChars="200"/>
        <w:rPr>
          <w:rFonts w:ascii="Times New Roman" w:hAnsi="Times New Roman" w:eastAsia="仿宋_GB2312"/>
          <w:sz w:val="32"/>
        </w:rPr>
      </w:pPr>
      <w:r>
        <w:rPr>
          <w:rFonts w:ascii="Times New Roman" w:hAnsi="Times New Roman" w:eastAsia="仿宋_GB2312"/>
          <w:sz w:val="32"/>
        </w:rPr>
        <w:t>在盘龙区区委、区政府的统一领导下，由脱贫攻坚指挥部建立扶贫专项资金项目储备库。盘龙区农业农村局（扶贫办）根据省市下达的年度资金计划、工作重点和项目库备案项目，编制年度项目申报指南并在本级政府门户网站公开发布。各街道扶贫部门根据项目申报指南要求，结合扶贫对象，从区级项目库中选择项目并向区级扶贫项目主管部门申请；盘龙区扶贫项目主管部门对申报内容进行审核，审核并出具立项意见后报本级人民政府审定同意。然后项目申报单位编制项目实施方案报区级扶贫主管部门评审，评审后上报本级政府批复。根据项目需要，由财政全额投资的项目，须报区发改部门立项并批复。实施方案批复后，区级扶贫主管部门下达实施方案，街道根据前期申报情况和实施方案进行项目实施。</w:t>
      </w:r>
    </w:p>
    <w:p w14:paraId="7B40265C">
      <w:pPr>
        <w:spacing w:line="600" w:lineRule="exact"/>
        <w:ind w:firstLine="640" w:firstLineChars="200"/>
        <w:rPr>
          <w:rFonts w:ascii="Times New Roman" w:hAnsi="Times New Roman" w:eastAsia="仿宋_GB2312"/>
          <w:sz w:val="32"/>
        </w:rPr>
      </w:pPr>
      <w:r>
        <w:rPr>
          <w:rFonts w:ascii="Times New Roman" w:hAnsi="Times New Roman" w:eastAsia="仿宋_GB2312"/>
          <w:sz w:val="32"/>
        </w:rPr>
        <w:t>（3）资金拨付流程</w:t>
      </w:r>
    </w:p>
    <w:p w14:paraId="2D2A179F">
      <w:pPr>
        <w:spacing w:line="600" w:lineRule="exact"/>
        <w:ind w:firstLine="640" w:firstLineChars="200"/>
        <w:rPr>
          <w:rFonts w:ascii="Times New Roman" w:hAnsi="Times New Roman" w:eastAsia="仿宋_GB2312"/>
          <w:sz w:val="32"/>
        </w:rPr>
      </w:pPr>
      <w:r>
        <w:rPr>
          <w:rFonts w:ascii="Times New Roman" w:hAnsi="Times New Roman" w:eastAsia="仿宋_GB2312"/>
          <w:sz w:val="32"/>
        </w:rPr>
        <w:t>2019年度财政专项扶贫资金下拨流程：盘龙区财政局根据盘龙区人民政府关于对《盘龙区2019年财政专项扶贫项目实施方案》的批复拨付专项扶贫资金，根据项目实施方案，将资金拨付至实施项目的松华街道。</w:t>
      </w:r>
    </w:p>
    <w:p w14:paraId="2B2877AD">
      <w:pPr>
        <w:spacing w:line="600" w:lineRule="exact"/>
        <w:ind w:firstLine="640" w:firstLineChars="200"/>
        <w:rPr>
          <w:rFonts w:ascii="Times New Roman" w:hAnsi="Times New Roman" w:eastAsia="仿宋_GB2312"/>
          <w:sz w:val="32"/>
        </w:rPr>
      </w:pPr>
      <w:r>
        <w:rPr>
          <w:rFonts w:ascii="Times New Roman" w:hAnsi="Times New Roman" w:eastAsia="仿宋_GB2312"/>
          <w:sz w:val="32"/>
        </w:rPr>
        <w:t>前期工程款由合作社垫支，松华街道根据大摆社区项目实施情况，拨付项目资金至大摆</w:t>
      </w:r>
      <w:r>
        <w:rPr>
          <w:rFonts w:hint="eastAsia" w:ascii="Times New Roman" w:hAnsi="Times New Roman" w:eastAsia="仿宋_GB2312"/>
          <w:sz w:val="32"/>
        </w:rPr>
        <w:t>社区，再由大摆社区拨付项目资金至大摆菜农</w:t>
      </w:r>
      <w:r>
        <w:rPr>
          <w:rFonts w:ascii="Times New Roman" w:hAnsi="Times New Roman" w:eastAsia="仿宋_GB2312"/>
          <w:sz w:val="32"/>
        </w:rPr>
        <w:t>菜篮子合作社。</w:t>
      </w:r>
    </w:p>
    <w:p w14:paraId="17C6AD27">
      <w:pPr>
        <w:pStyle w:val="3"/>
        <w:spacing w:line="600" w:lineRule="exact"/>
        <w:ind w:firstLine="480" w:firstLineChars="150"/>
        <w:rPr>
          <w:rFonts w:ascii="Times New Roman" w:hAnsi="Times New Roman" w:eastAsia="楷体_GB2312" w:cs="Times New Roman"/>
          <w:b w:val="0"/>
        </w:rPr>
      </w:pPr>
      <w:bookmarkStart w:id="50" w:name="_Toc48082200"/>
      <w:bookmarkStart w:id="51" w:name="_Toc7540"/>
      <w:r>
        <w:rPr>
          <w:rFonts w:ascii="Times New Roman" w:hAnsi="Times New Roman" w:eastAsia="楷体_GB2312" w:cs="Times New Roman"/>
          <w:b w:val="0"/>
        </w:rPr>
        <w:t>（六）项目绩效目标</w:t>
      </w:r>
      <w:bookmarkEnd w:id="50"/>
      <w:bookmarkEnd w:id="51"/>
    </w:p>
    <w:p w14:paraId="62BFE6BE">
      <w:pPr>
        <w:spacing w:line="600" w:lineRule="exact"/>
        <w:ind w:firstLine="640" w:firstLineChars="200"/>
        <w:rPr>
          <w:rFonts w:ascii="Times New Roman" w:hAnsi="Times New Roman" w:eastAsia="仿宋_GB2312"/>
          <w:bCs/>
          <w:sz w:val="32"/>
        </w:rPr>
      </w:pPr>
      <w:r>
        <w:rPr>
          <w:rFonts w:ascii="Times New Roman" w:hAnsi="Times New Roman" w:eastAsia="仿宋_GB2312"/>
          <w:bCs/>
          <w:sz w:val="32"/>
        </w:rPr>
        <w:t>1.总目标</w:t>
      </w:r>
    </w:p>
    <w:p w14:paraId="66B71579">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充分利用产业化扶贫政策和专项资金，打好产业攻坚战，增强贫困群众“造血”功能，拓展贫困群众稳定增收渠道。鼓励引导贫困村和贫困户抱团发展，因地制宜发展农业产业，组建农民专业合作社，建立产业基地，实现脱贫致富，再由建设的产业扶贫示范基地带动其他贫困户进行高效农业产业发展，逐步脱贫致富，走上小康之路。</w:t>
      </w:r>
    </w:p>
    <w:p w14:paraId="4DD76F67">
      <w:pPr>
        <w:spacing w:line="600" w:lineRule="exact"/>
        <w:ind w:firstLine="640" w:firstLineChars="200"/>
        <w:rPr>
          <w:rFonts w:ascii="Times New Roman" w:eastAsia="仿宋_GB2312"/>
          <w:bCs/>
          <w:sz w:val="32"/>
        </w:rPr>
      </w:pPr>
      <w:r>
        <w:rPr>
          <w:rFonts w:hint="eastAsia" w:ascii="Times New Roman" w:eastAsia="仿宋_GB2312"/>
          <w:bCs/>
          <w:sz w:val="32"/>
        </w:rPr>
        <w:t>2.年度目标</w:t>
      </w:r>
    </w:p>
    <w:p w14:paraId="0603A91E">
      <w:pPr>
        <w:spacing w:line="600" w:lineRule="exact"/>
        <w:ind w:firstLine="640" w:firstLineChars="200"/>
        <w:rPr>
          <w:rFonts w:ascii="Times New Roman" w:hAnsi="Times New Roman" w:eastAsia="仿宋_GB2312"/>
          <w:sz w:val="32"/>
        </w:rPr>
      </w:pPr>
      <w:r>
        <w:rPr>
          <w:rFonts w:ascii="Times New Roman" w:hAnsi="Times New Roman" w:eastAsia="仿宋_GB2312"/>
          <w:sz w:val="32"/>
        </w:rPr>
        <w:t>（1）产出目标</w:t>
      </w:r>
    </w:p>
    <w:p w14:paraId="1D68D903">
      <w:pPr>
        <w:spacing w:line="600" w:lineRule="exact"/>
        <w:ind w:firstLine="640" w:firstLineChars="200"/>
        <w:rPr>
          <w:rFonts w:ascii="Times New Roman" w:hAnsi="Times New Roman" w:eastAsia="仿宋_GB2312"/>
          <w:sz w:val="32"/>
        </w:rPr>
      </w:pPr>
      <w:r>
        <w:rPr>
          <w:rFonts w:hint="eastAsia" w:ascii="仿宋_GB2312" w:hAnsi="Times New Roman" w:eastAsia="仿宋_GB2312"/>
          <w:sz w:val="32"/>
        </w:rPr>
        <w:t>①</w:t>
      </w:r>
      <w:r>
        <w:rPr>
          <w:rFonts w:ascii="Times New Roman" w:hAnsi="Times New Roman" w:eastAsia="仿宋_GB2312"/>
          <w:sz w:val="32"/>
        </w:rPr>
        <w:t>大摆社区山药、中药种植产出：</w:t>
      </w:r>
    </w:p>
    <w:p w14:paraId="4E3566B0">
      <w:pPr>
        <w:spacing w:line="600" w:lineRule="exact"/>
        <w:ind w:firstLine="640" w:firstLineChars="200"/>
        <w:rPr>
          <w:rFonts w:ascii="Times New Roman" w:hAnsi="Times New Roman" w:eastAsia="仿宋_GB2312"/>
          <w:sz w:val="32"/>
        </w:rPr>
      </w:pPr>
      <w:r>
        <w:rPr>
          <w:rFonts w:ascii="Times New Roman" w:hAnsi="Times New Roman" w:eastAsia="仿宋_GB2312"/>
          <w:sz w:val="32"/>
        </w:rPr>
        <w:t>A.山药种植补助按时足额100%发放到合作社。</w:t>
      </w:r>
    </w:p>
    <w:p w14:paraId="183BF9CB">
      <w:pPr>
        <w:spacing w:line="600" w:lineRule="exact"/>
        <w:ind w:firstLine="640" w:firstLineChars="200"/>
        <w:rPr>
          <w:rFonts w:ascii="Times New Roman" w:hAnsi="Times New Roman" w:eastAsia="仿宋_GB2312"/>
          <w:sz w:val="32"/>
        </w:rPr>
      </w:pPr>
      <w:r>
        <w:rPr>
          <w:rFonts w:ascii="Times New Roman" w:hAnsi="Times New Roman" w:eastAsia="仿宋_GB2312"/>
          <w:sz w:val="32"/>
        </w:rPr>
        <w:t>B.中药种植补助按时足额100%发放到合作社。</w:t>
      </w:r>
    </w:p>
    <w:p w14:paraId="419903A1">
      <w:pPr>
        <w:spacing w:line="600" w:lineRule="exact"/>
        <w:ind w:firstLine="640" w:firstLineChars="200"/>
        <w:rPr>
          <w:rFonts w:ascii="仿宋_GB2312" w:eastAsia="仿宋_GB2312"/>
          <w:sz w:val="32"/>
        </w:rPr>
      </w:pPr>
      <w:r>
        <w:rPr>
          <w:rFonts w:ascii="Times New Roman" w:hAnsi="Times New Roman" w:eastAsia="仿宋_GB2312"/>
          <w:sz w:val="32"/>
        </w:rPr>
        <w:t>C.种植规模达到既定目标（山药30亩、中药150亩）</w:t>
      </w:r>
      <w:r>
        <w:rPr>
          <w:rFonts w:hint="eastAsia" w:ascii="仿宋_GB2312" w:eastAsia="仿宋_GB2312"/>
          <w:sz w:val="32"/>
        </w:rPr>
        <w:t>。</w:t>
      </w:r>
    </w:p>
    <w:p w14:paraId="0080B83C">
      <w:pPr>
        <w:spacing w:line="600" w:lineRule="exact"/>
        <w:ind w:firstLine="640" w:firstLineChars="200"/>
        <w:rPr>
          <w:rFonts w:ascii="Times New Roman" w:hAnsi="Times New Roman" w:eastAsia="仿宋_GB2312"/>
          <w:sz w:val="32"/>
        </w:rPr>
      </w:pPr>
      <w:r>
        <w:rPr>
          <w:rFonts w:hint="eastAsia" w:ascii="仿宋_GB2312" w:hAnsi="Times New Roman" w:eastAsia="仿宋_GB2312"/>
          <w:sz w:val="32"/>
        </w:rPr>
        <w:t>②</w:t>
      </w:r>
      <w:r>
        <w:rPr>
          <w:rFonts w:ascii="Times New Roman" w:hAnsi="Times New Roman" w:eastAsia="仿宋_GB2312"/>
          <w:sz w:val="32"/>
        </w:rPr>
        <w:t>种植基地蓄水池建设产出：</w:t>
      </w:r>
    </w:p>
    <w:p w14:paraId="1A65A449">
      <w:pPr>
        <w:spacing w:line="600" w:lineRule="exact"/>
        <w:ind w:firstLine="640" w:firstLineChars="200"/>
        <w:rPr>
          <w:rFonts w:ascii="Times New Roman" w:hAnsi="Times New Roman" w:eastAsia="仿宋_GB2312"/>
          <w:sz w:val="32"/>
        </w:rPr>
      </w:pPr>
      <w:r>
        <w:rPr>
          <w:rFonts w:ascii="Times New Roman" w:hAnsi="Times New Roman" w:eastAsia="仿宋_GB2312"/>
          <w:sz w:val="32"/>
        </w:rPr>
        <w:t>A.设施改造完成率达到100%。</w:t>
      </w:r>
    </w:p>
    <w:p w14:paraId="2A0159FE">
      <w:pPr>
        <w:spacing w:line="600" w:lineRule="exact"/>
        <w:ind w:firstLine="640" w:firstLineChars="200"/>
        <w:rPr>
          <w:rFonts w:ascii="Times New Roman" w:hAnsi="Times New Roman" w:eastAsia="仿宋_GB2312"/>
          <w:sz w:val="32"/>
        </w:rPr>
      </w:pPr>
      <w:r>
        <w:rPr>
          <w:rFonts w:ascii="Times New Roman" w:hAnsi="Times New Roman" w:eastAsia="仿宋_GB2312"/>
          <w:sz w:val="32"/>
        </w:rPr>
        <w:t>B.蓄水池建在既定时间内100%建成并投入使用。</w:t>
      </w:r>
    </w:p>
    <w:p w14:paraId="1B9DBCAF">
      <w:pPr>
        <w:spacing w:line="600" w:lineRule="exact"/>
        <w:ind w:firstLine="640" w:firstLineChars="200"/>
        <w:rPr>
          <w:rFonts w:ascii="Times New Roman" w:hAnsi="Times New Roman" w:eastAsia="仿宋_GB2312"/>
          <w:sz w:val="32"/>
        </w:rPr>
      </w:pPr>
      <w:r>
        <w:rPr>
          <w:rFonts w:hint="eastAsia" w:ascii="仿宋_GB2312" w:hAnsi="Times New Roman" w:eastAsia="仿宋_GB2312"/>
          <w:sz w:val="32"/>
        </w:rPr>
        <w:t>③</w:t>
      </w:r>
      <w:r>
        <w:rPr>
          <w:rFonts w:ascii="Times New Roman" w:hAnsi="Times New Roman" w:eastAsia="仿宋_GB2312"/>
          <w:sz w:val="32"/>
        </w:rPr>
        <w:t>种植基地管道铺设产出：</w:t>
      </w:r>
    </w:p>
    <w:p w14:paraId="6CFE360F">
      <w:pPr>
        <w:spacing w:line="600" w:lineRule="exact"/>
        <w:ind w:firstLine="640" w:firstLineChars="200"/>
        <w:rPr>
          <w:rFonts w:ascii="Times New Roman" w:hAnsi="Times New Roman" w:eastAsia="仿宋_GB2312"/>
          <w:sz w:val="32"/>
        </w:rPr>
      </w:pPr>
      <w:r>
        <w:rPr>
          <w:rFonts w:ascii="Times New Roman" w:hAnsi="Times New Roman" w:eastAsia="仿宋_GB2312"/>
          <w:sz w:val="32"/>
        </w:rPr>
        <w:t>A.设施改造完成率达到100%。</w:t>
      </w:r>
    </w:p>
    <w:p w14:paraId="2F2EFADD">
      <w:pPr>
        <w:spacing w:line="600" w:lineRule="exact"/>
        <w:ind w:firstLine="640" w:firstLineChars="200"/>
        <w:rPr>
          <w:rFonts w:ascii="Times New Roman" w:hAnsi="Times New Roman" w:eastAsia="仿宋_GB2312"/>
          <w:sz w:val="32"/>
        </w:rPr>
      </w:pPr>
      <w:r>
        <w:rPr>
          <w:rFonts w:ascii="Times New Roman" w:hAnsi="Times New Roman" w:eastAsia="仿宋_GB2312"/>
          <w:sz w:val="32"/>
        </w:rPr>
        <w:t>B.种植基地灌溉水管在既定时间内100%完工并投入使用。</w:t>
      </w:r>
    </w:p>
    <w:p w14:paraId="5A836A5F">
      <w:pPr>
        <w:spacing w:line="600" w:lineRule="exact"/>
        <w:ind w:firstLine="640" w:firstLineChars="200"/>
        <w:rPr>
          <w:rFonts w:ascii="Times New Roman" w:hAnsi="Times New Roman" w:eastAsia="仿宋_GB2312"/>
          <w:sz w:val="32"/>
        </w:rPr>
      </w:pPr>
      <w:r>
        <w:rPr>
          <w:rFonts w:ascii="Times New Roman" w:hAnsi="Times New Roman" w:eastAsia="仿宋_GB2312"/>
          <w:sz w:val="32"/>
        </w:rPr>
        <w:t>（2）效果目标</w:t>
      </w:r>
    </w:p>
    <w:p w14:paraId="0841E9B2">
      <w:pPr>
        <w:spacing w:line="600" w:lineRule="exact"/>
        <w:ind w:firstLine="640" w:firstLineChars="200"/>
        <w:rPr>
          <w:rFonts w:ascii="Times New Roman" w:hAnsi="Times New Roman" w:eastAsia="仿宋_GB2312"/>
          <w:sz w:val="32"/>
        </w:rPr>
      </w:pPr>
      <w:r>
        <w:rPr>
          <w:rFonts w:ascii="Times New Roman" w:hAnsi="Times New Roman" w:eastAsia="仿宋_GB2312"/>
          <w:sz w:val="32"/>
        </w:rPr>
        <w:t>A.合作社能够在项目实施后实现增产。</w:t>
      </w:r>
    </w:p>
    <w:p w14:paraId="38805BC3">
      <w:pPr>
        <w:spacing w:line="600" w:lineRule="exact"/>
        <w:ind w:firstLine="640" w:firstLineChars="200"/>
        <w:rPr>
          <w:rFonts w:ascii="Times New Roman" w:hAnsi="Times New Roman" w:eastAsia="仿宋_GB2312"/>
          <w:sz w:val="32"/>
        </w:rPr>
      </w:pPr>
      <w:r>
        <w:rPr>
          <w:rFonts w:ascii="Times New Roman" w:hAnsi="Times New Roman" w:eastAsia="仿宋_GB2312"/>
          <w:sz w:val="32"/>
        </w:rPr>
        <w:t>B.项目实施能够助力提高合作社农户收入。</w:t>
      </w:r>
    </w:p>
    <w:p w14:paraId="639F8233">
      <w:pPr>
        <w:spacing w:line="600" w:lineRule="exact"/>
        <w:ind w:firstLine="640" w:firstLineChars="200"/>
        <w:rPr>
          <w:rFonts w:ascii="Times New Roman" w:hAnsi="Times New Roman" w:eastAsia="仿宋_GB2312"/>
          <w:sz w:val="32"/>
        </w:rPr>
      </w:pPr>
      <w:r>
        <w:rPr>
          <w:rFonts w:ascii="Times New Roman" w:hAnsi="Times New Roman" w:eastAsia="仿宋_GB2312"/>
          <w:sz w:val="32"/>
        </w:rPr>
        <w:t>C.能够助力改善种植基地基础设施条件。</w:t>
      </w:r>
    </w:p>
    <w:p w14:paraId="071772ED">
      <w:pPr>
        <w:spacing w:line="600" w:lineRule="exact"/>
        <w:ind w:firstLine="640" w:firstLineChars="200"/>
        <w:rPr>
          <w:rFonts w:ascii="Times New Roman" w:hAnsi="Times New Roman" w:eastAsia="仿宋_GB2312"/>
          <w:sz w:val="32"/>
        </w:rPr>
      </w:pPr>
      <w:r>
        <w:rPr>
          <w:rFonts w:ascii="Times New Roman" w:hAnsi="Times New Roman" w:eastAsia="仿宋_GB2312"/>
          <w:sz w:val="32"/>
        </w:rPr>
        <w:t>D.蓄水池建设、管道铺设能够持续推动合作社发展。</w:t>
      </w:r>
    </w:p>
    <w:p w14:paraId="4534788B">
      <w:pPr>
        <w:spacing w:line="600" w:lineRule="exact"/>
        <w:ind w:firstLine="640" w:firstLineChars="200"/>
        <w:rPr>
          <w:rFonts w:ascii="Times New Roman" w:hAnsi="Times New Roman" w:eastAsia="仿宋_GB2312"/>
          <w:sz w:val="32"/>
        </w:rPr>
      </w:pPr>
      <w:r>
        <w:rPr>
          <w:rFonts w:ascii="Times New Roman" w:hAnsi="Times New Roman" w:eastAsia="仿宋_GB2312"/>
          <w:sz w:val="32"/>
        </w:rPr>
        <w:t>E.灌溉配套设施的建设能够降低种植成本。</w:t>
      </w:r>
    </w:p>
    <w:p w14:paraId="244F466E">
      <w:pPr>
        <w:spacing w:line="600" w:lineRule="exact"/>
        <w:ind w:firstLine="640" w:firstLineChars="200"/>
        <w:rPr>
          <w:rFonts w:ascii="Times New Roman" w:hAnsi="Times New Roman" w:eastAsia="仿宋_GB2312"/>
          <w:sz w:val="32"/>
        </w:rPr>
      </w:pPr>
      <w:r>
        <w:rPr>
          <w:rFonts w:ascii="Times New Roman" w:hAnsi="Times New Roman" w:eastAsia="仿宋_GB2312"/>
          <w:sz w:val="32"/>
        </w:rPr>
        <w:t>F.受益对象对本项目实施的满意度。</w:t>
      </w:r>
    </w:p>
    <w:p w14:paraId="16A644D9">
      <w:pPr>
        <w:pStyle w:val="2"/>
        <w:spacing w:line="600" w:lineRule="exact"/>
        <w:ind w:firstLine="480" w:firstLineChars="150"/>
        <w:rPr>
          <w:rFonts w:ascii="黑体" w:hAnsi="黑体" w:eastAsia="黑体"/>
          <w:b w:val="0"/>
          <w:sz w:val="32"/>
          <w:szCs w:val="32"/>
        </w:rPr>
      </w:pPr>
      <w:bookmarkStart w:id="52" w:name="_Toc48082201"/>
      <w:bookmarkStart w:id="53" w:name="_Toc10346"/>
      <w:bookmarkStart w:id="54" w:name="_Toc10305"/>
      <w:r>
        <w:rPr>
          <w:rFonts w:hint="eastAsia" w:ascii="黑体" w:hAnsi="黑体" w:eastAsia="黑体"/>
          <w:b w:val="0"/>
          <w:sz w:val="32"/>
          <w:szCs w:val="32"/>
        </w:rPr>
        <w:t>二、绩效评价工作情况</w:t>
      </w:r>
      <w:bookmarkEnd w:id="52"/>
      <w:bookmarkEnd w:id="53"/>
      <w:bookmarkEnd w:id="54"/>
    </w:p>
    <w:p w14:paraId="489DEC49">
      <w:pPr>
        <w:pStyle w:val="3"/>
        <w:spacing w:line="600" w:lineRule="exact"/>
        <w:ind w:firstLine="480" w:firstLineChars="150"/>
        <w:rPr>
          <w:rFonts w:ascii="楷体_GB2312" w:eastAsia="楷体_GB2312"/>
          <w:b w:val="0"/>
        </w:rPr>
      </w:pPr>
      <w:bookmarkStart w:id="55" w:name="_Toc48082202"/>
      <w:bookmarkStart w:id="56" w:name="_Toc28572"/>
      <w:r>
        <w:rPr>
          <w:rFonts w:hint="eastAsia" w:ascii="楷体_GB2312" w:eastAsia="楷体_GB2312"/>
          <w:b w:val="0"/>
        </w:rPr>
        <w:t>（一）绩效评价目</w:t>
      </w:r>
      <w:bookmarkEnd w:id="55"/>
      <w:r>
        <w:rPr>
          <w:rFonts w:hint="eastAsia" w:ascii="楷体_GB2312" w:eastAsia="楷体_GB2312"/>
          <w:b w:val="0"/>
        </w:rPr>
        <w:t>的和依据</w:t>
      </w:r>
      <w:bookmarkEnd w:id="56"/>
    </w:p>
    <w:p w14:paraId="465406C0">
      <w:pPr>
        <w:spacing w:line="600" w:lineRule="exact"/>
        <w:ind w:firstLine="640" w:firstLineChars="200"/>
        <w:rPr>
          <w:rFonts w:ascii="仿宋_GB2312" w:eastAsia="仿宋_GB2312"/>
          <w:sz w:val="32"/>
        </w:rPr>
      </w:pPr>
      <w:r>
        <w:rPr>
          <w:rFonts w:ascii="Times New Roman" w:hAnsi="Times New Roman" w:eastAsia="仿宋_GB2312"/>
          <w:sz w:val="32"/>
        </w:rPr>
        <w:t>通过对盘龙区2019年财政专项扶贫资金项目资金使用情况、财务管理状况以及相关单位为加强管理所制定的相关制度、采取的措施等方面进行分析，全面了解盘龙区2019年财政专项扶贫资金使用效率和效果，项目管理的过程是否规范、是否实现预期绩效目标，同时，通过绩效评价总结项目在决策，执行等方面的经验，查找其存在的不足，为今后完善同类项目的管理，提供可行性参考建议。</w:t>
      </w:r>
    </w:p>
    <w:p w14:paraId="58AE294F">
      <w:pPr>
        <w:pStyle w:val="3"/>
        <w:spacing w:line="600" w:lineRule="exact"/>
        <w:ind w:firstLine="480" w:firstLineChars="150"/>
        <w:rPr>
          <w:rFonts w:ascii="楷体_GB2312" w:eastAsia="楷体_GB2312"/>
          <w:b w:val="0"/>
        </w:rPr>
      </w:pPr>
      <w:bookmarkStart w:id="57" w:name="_Toc24504"/>
      <w:bookmarkStart w:id="58" w:name="_Toc48082203"/>
      <w:r>
        <w:rPr>
          <w:rFonts w:hint="eastAsia" w:ascii="楷体_GB2312" w:eastAsia="楷体_GB2312"/>
          <w:b w:val="0"/>
        </w:rPr>
        <w:t>（二）绩效评价工作方案制定过程</w:t>
      </w:r>
      <w:bookmarkEnd w:id="57"/>
      <w:bookmarkEnd w:id="58"/>
    </w:p>
    <w:p w14:paraId="43862A83">
      <w:pPr>
        <w:spacing w:line="600" w:lineRule="exact"/>
        <w:ind w:firstLine="640" w:firstLineChars="200"/>
        <w:rPr>
          <w:rFonts w:ascii="Times New Roman" w:hAnsi="Times New Roman" w:eastAsia="仿宋_GB2312"/>
          <w:bCs/>
          <w:sz w:val="32"/>
        </w:rPr>
      </w:pPr>
      <w:r>
        <w:rPr>
          <w:rFonts w:ascii="Times New Roman" w:hAnsi="Times New Roman" w:eastAsia="仿宋_GB2312"/>
          <w:bCs/>
          <w:sz w:val="32"/>
        </w:rPr>
        <w:t>1.前期调研</w:t>
      </w:r>
    </w:p>
    <w:p w14:paraId="319DB00C">
      <w:pPr>
        <w:spacing w:line="600" w:lineRule="exact"/>
        <w:ind w:firstLine="640" w:firstLineChars="200"/>
        <w:rPr>
          <w:rFonts w:ascii="Times New Roman" w:eastAsia="仿宋_GB2312"/>
          <w:sz w:val="32"/>
        </w:rPr>
      </w:pPr>
      <w:r>
        <w:rPr>
          <w:rFonts w:ascii="Times New Roman" w:hAnsi="Times New Roman" w:eastAsia="仿宋_GB2312"/>
          <w:sz w:val="32"/>
        </w:rPr>
        <w:t>在受托对项目开展绩效评价后，项目组及时与盘龙区农业农村局进行沟通，了解项目的基本情况，包括项目实施背景、计划实施内容、预算安排情况、组织实施流程、资金拨付流程等，并收集相关文件资料。</w:t>
      </w:r>
    </w:p>
    <w:p w14:paraId="0EBDBDD9">
      <w:pPr>
        <w:spacing w:line="600" w:lineRule="exact"/>
        <w:ind w:firstLine="640" w:firstLineChars="200"/>
        <w:rPr>
          <w:rFonts w:ascii="Times New Roman" w:hAnsi="Times New Roman" w:eastAsia="仿宋_GB2312"/>
          <w:sz w:val="32"/>
        </w:rPr>
      </w:pPr>
      <w:r>
        <w:rPr>
          <w:rFonts w:ascii="Times New Roman" w:hAnsi="Times New Roman" w:eastAsia="仿宋_GB2312"/>
          <w:sz w:val="32"/>
        </w:rPr>
        <w:t>2.研究文件</w:t>
      </w:r>
    </w:p>
    <w:p w14:paraId="64837F5A">
      <w:pPr>
        <w:spacing w:line="600" w:lineRule="exact"/>
        <w:ind w:firstLine="640" w:firstLineChars="200"/>
        <w:rPr>
          <w:rFonts w:ascii="Times New Roman" w:eastAsia="仿宋_GB2312"/>
          <w:sz w:val="32"/>
        </w:rPr>
      </w:pPr>
      <w:r>
        <w:rPr>
          <w:rFonts w:ascii="Times New Roman" w:hAnsi="Times New Roman" w:eastAsia="仿宋_GB2312"/>
          <w:sz w:val="32"/>
        </w:rPr>
        <w:t>在开展绩效评价后，项目组及时取得项目相关文件进行研读，及时组织评价人员开会，培训对文件内容进行传达。</w:t>
      </w:r>
    </w:p>
    <w:p w14:paraId="73891553">
      <w:pPr>
        <w:spacing w:line="600" w:lineRule="exact"/>
        <w:ind w:firstLine="640" w:firstLineChars="200"/>
        <w:rPr>
          <w:rFonts w:ascii="Times New Roman" w:hAnsi="Times New Roman" w:eastAsia="仿宋_GB2312"/>
          <w:bCs/>
          <w:sz w:val="32"/>
        </w:rPr>
      </w:pPr>
      <w:r>
        <w:rPr>
          <w:rFonts w:ascii="Times New Roman" w:hAnsi="Times New Roman" w:eastAsia="仿宋_GB2312"/>
          <w:bCs/>
          <w:sz w:val="32"/>
        </w:rPr>
        <w:t>3.绩效评价指标体系的设计</w:t>
      </w:r>
    </w:p>
    <w:p w14:paraId="2590FD79">
      <w:pPr>
        <w:spacing w:line="600" w:lineRule="exact"/>
        <w:ind w:firstLine="640" w:firstLineChars="200"/>
        <w:rPr>
          <w:rFonts w:ascii="Times New Roman" w:hAnsi="Times New Roman" w:eastAsia="仿宋_GB2312"/>
          <w:sz w:val="32"/>
        </w:rPr>
      </w:pPr>
      <w:r>
        <w:rPr>
          <w:rFonts w:ascii="Times New Roman" w:hAnsi="Times New Roman" w:eastAsia="仿宋_GB2312"/>
          <w:sz w:val="32"/>
        </w:rPr>
        <w:t>根据前期调研结果和对相关文件资料的研读，结合项目计划实施内容，形成项目绩效评价指标体系，并就绩效评价指标体系的可行性，合理性与盘龙区农业农村局相关科室、业务主管部门进行沟通。根据反馈意见修政，详见附件1。</w:t>
      </w:r>
    </w:p>
    <w:p w14:paraId="20ABAE27">
      <w:pPr>
        <w:pStyle w:val="3"/>
        <w:spacing w:line="600" w:lineRule="exact"/>
        <w:ind w:firstLine="480" w:firstLineChars="150"/>
        <w:rPr>
          <w:rFonts w:ascii="楷体_GB2312" w:eastAsia="楷体_GB2312"/>
          <w:b w:val="0"/>
        </w:rPr>
      </w:pPr>
      <w:bookmarkStart w:id="59" w:name="_Toc1162"/>
      <w:bookmarkStart w:id="60" w:name="_Toc48082204"/>
      <w:r>
        <w:rPr>
          <w:rFonts w:hint="eastAsia" w:ascii="楷体_GB2312" w:eastAsia="楷体_GB2312"/>
          <w:b w:val="0"/>
        </w:rPr>
        <w:t>（三）绩效评价原则、评价方法</w:t>
      </w:r>
      <w:bookmarkEnd w:id="59"/>
      <w:bookmarkEnd w:id="60"/>
    </w:p>
    <w:p w14:paraId="1D1F0B76">
      <w:pPr>
        <w:spacing w:line="600" w:lineRule="exact"/>
        <w:ind w:firstLine="640" w:firstLineChars="200"/>
        <w:rPr>
          <w:rFonts w:ascii="Times New Roman" w:hAnsi="Times New Roman" w:eastAsia="仿宋_GB2312"/>
          <w:bCs/>
          <w:sz w:val="32"/>
        </w:rPr>
      </w:pPr>
      <w:r>
        <w:rPr>
          <w:rFonts w:ascii="Times New Roman" w:hAnsi="Times New Roman" w:eastAsia="仿宋_GB2312"/>
          <w:bCs/>
          <w:sz w:val="32"/>
        </w:rPr>
        <w:t>1.绩效评价原则</w:t>
      </w:r>
    </w:p>
    <w:p w14:paraId="502C4855">
      <w:pPr>
        <w:spacing w:line="600" w:lineRule="exact"/>
        <w:ind w:firstLine="640" w:firstLineChars="200"/>
        <w:rPr>
          <w:rFonts w:ascii="Times New Roman" w:hAnsi="Times New Roman" w:eastAsia="仿宋_GB2312"/>
          <w:sz w:val="32"/>
        </w:rPr>
      </w:pPr>
      <w:r>
        <w:rPr>
          <w:rFonts w:ascii="Times New Roman" w:hAnsi="Times New Roman" w:eastAsia="仿宋_GB2312"/>
          <w:sz w:val="32"/>
        </w:rPr>
        <w:t>科学规范。绩效评价注重财政支出的经济性、效率性和有效性，严格执行规定的程序，采用定量与定性分析相结合的方法。公正公开。绩效评价客观、公正，标准统一、资料可靠，依法公开并接受监督。绩效相关。绩效评价针对具体支出及其产出绩效进行，评价结果清晰反映支出和产出绩效之间的紧密对应关系。</w:t>
      </w:r>
    </w:p>
    <w:p w14:paraId="633A5727">
      <w:pPr>
        <w:spacing w:line="600" w:lineRule="exact"/>
        <w:ind w:firstLine="640" w:firstLineChars="200"/>
        <w:rPr>
          <w:rFonts w:ascii="Times New Roman" w:hAnsi="Times New Roman" w:eastAsia="仿宋_GB2312"/>
          <w:bCs/>
          <w:sz w:val="32"/>
        </w:rPr>
      </w:pPr>
      <w:r>
        <w:rPr>
          <w:rFonts w:ascii="Times New Roman" w:hAnsi="Times New Roman" w:eastAsia="仿宋_GB2312"/>
          <w:bCs/>
          <w:sz w:val="32"/>
        </w:rPr>
        <w:t>2.绩效评价方法</w:t>
      </w:r>
    </w:p>
    <w:p w14:paraId="4EE6400E">
      <w:pPr>
        <w:spacing w:line="600" w:lineRule="exact"/>
        <w:ind w:firstLine="640" w:firstLineChars="200"/>
        <w:rPr>
          <w:rFonts w:ascii="Times New Roman" w:hAnsi="Times New Roman" w:eastAsia="仿宋_GB2312"/>
          <w:sz w:val="32"/>
        </w:rPr>
      </w:pPr>
      <w:r>
        <w:rPr>
          <w:rFonts w:ascii="Times New Roman" w:hAnsi="Times New Roman" w:eastAsia="仿宋_GB2312"/>
          <w:sz w:val="32"/>
        </w:rPr>
        <w:t>本次绩效评价采用的方法包括指标评价、数据采集和社会调查。</w:t>
      </w:r>
    </w:p>
    <w:p w14:paraId="7CC75C1E">
      <w:pPr>
        <w:pStyle w:val="3"/>
        <w:spacing w:line="600" w:lineRule="exact"/>
        <w:ind w:firstLine="480" w:firstLineChars="150"/>
        <w:rPr>
          <w:rFonts w:ascii="楷体_GB2312" w:eastAsia="楷体_GB2312"/>
          <w:b w:val="0"/>
        </w:rPr>
      </w:pPr>
      <w:bookmarkStart w:id="61" w:name="_Toc8083"/>
      <w:bookmarkStart w:id="62" w:name="_Toc48082205"/>
      <w:r>
        <w:rPr>
          <w:rFonts w:hint="eastAsia" w:ascii="楷体_GB2312" w:eastAsia="楷体_GB2312"/>
          <w:b w:val="0"/>
        </w:rPr>
        <w:t>（四）绩效评价实施过程</w:t>
      </w:r>
      <w:bookmarkEnd w:id="61"/>
      <w:bookmarkEnd w:id="62"/>
    </w:p>
    <w:p w14:paraId="005F0E90">
      <w:pPr>
        <w:spacing w:line="600" w:lineRule="exact"/>
        <w:ind w:firstLine="640" w:firstLineChars="200"/>
        <w:rPr>
          <w:rFonts w:ascii="Times New Roman" w:eastAsia="仿宋_GB2312"/>
          <w:bCs/>
          <w:sz w:val="32"/>
        </w:rPr>
      </w:pPr>
      <w:r>
        <w:rPr>
          <w:rFonts w:hint="eastAsia" w:ascii="仿宋_GB2312" w:hAnsi="仿宋_GB2312" w:eastAsia="仿宋_GB2312" w:cs="仿宋_GB2312"/>
          <w:bCs/>
          <w:sz w:val="32"/>
        </w:rPr>
        <w:t>1.数据填报和采集</w:t>
      </w:r>
    </w:p>
    <w:p w14:paraId="6ADE3F66">
      <w:pPr>
        <w:spacing w:line="600" w:lineRule="exact"/>
        <w:ind w:firstLine="640" w:firstLineChars="200"/>
        <w:rPr>
          <w:rFonts w:ascii="仿宋_GB2312" w:eastAsia="仿宋_GB2312"/>
          <w:sz w:val="32"/>
        </w:rPr>
      </w:pPr>
      <w:r>
        <w:rPr>
          <w:rFonts w:ascii="Times New Roman" w:hAnsi="Times New Roman" w:eastAsia="仿宋_GB2312"/>
          <w:sz w:val="32"/>
        </w:rPr>
        <w:t>2020年11月，项目组在实地评价过程中采集的数据与盘龙区农业农村局项目责任人进行沟通。项目组在现场收集了解项目预算安排和资金使用情况、项目目标完成情况、项目管理制度与执行情况及项目效益情况等相关资料。</w:t>
      </w:r>
    </w:p>
    <w:p w14:paraId="7BD791D3">
      <w:pPr>
        <w:spacing w:line="600" w:lineRule="exact"/>
        <w:ind w:firstLine="640" w:firstLineChars="200"/>
        <w:rPr>
          <w:rFonts w:ascii="Times New Roman" w:hAnsi="Times New Roman" w:eastAsia="仿宋_GB2312"/>
          <w:bCs/>
          <w:sz w:val="32"/>
        </w:rPr>
      </w:pPr>
      <w:r>
        <w:rPr>
          <w:rFonts w:ascii="Times New Roman" w:hAnsi="Times New Roman" w:eastAsia="仿宋_GB2312"/>
          <w:bCs/>
          <w:sz w:val="32"/>
        </w:rPr>
        <w:t>2.社会调查</w:t>
      </w:r>
    </w:p>
    <w:p w14:paraId="2141FEF2">
      <w:pPr>
        <w:spacing w:line="600" w:lineRule="exact"/>
        <w:ind w:firstLine="640" w:firstLineChars="200"/>
        <w:rPr>
          <w:rFonts w:ascii="Times New Roman" w:hAnsi="Times New Roman" w:eastAsia="仿宋_GB2312"/>
          <w:sz w:val="32"/>
        </w:rPr>
      </w:pPr>
      <w:r>
        <w:rPr>
          <w:rFonts w:ascii="Times New Roman" w:hAnsi="Times New Roman" w:eastAsia="仿宋_GB2312"/>
          <w:sz w:val="32"/>
        </w:rPr>
        <w:t>2020年11月，实地评价过程中项目组采用面谈的形式对盘龙区农业农村局和实施方责任人员及相关街道负责人进行了访谈，充分了解项目组织、实施、管理的具体情况，并根据访谈情况撰写访谈汇总分析报告、详见附件3。</w:t>
      </w:r>
    </w:p>
    <w:p w14:paraId="205F908A">
      <w:pPr>
        <w:spacing w:line="600" w:lineRule="exact"/>
        <w:ind w:firstLine="640" w:firstLineChars="200"/>
        <w:rPr>
          <w:rFonts w:ascii="仿宋_GB2312" w:eastAsia="仿宋_GB2312"/>
          <w:bCs/>
          <w:sz w:val="32"/>
        </w:rPr>
      </w:pPr>
      <w:r>
        <w:rPr>
          <w:rFonts w:ascii="Times New Roman" w:hAnsi="Times New Roman" w:eastAsia="仿宋_GB2312"/>
          <w:bCs/>
          <w:sz w:val="32"/>
        </w:rPr>
        <w:t>3.数据分析和撰写报告</w:t>
      </w:r>
    </w:p>
    <w:p w14:paraId="0572DDD3">
      <w:pPr>
        <w:spacing w:line="600" w:lineRule="exact"/>
        <w:ind w:firstLine="640" w:firstLineChars="200"/>
        <w:rPr>
          <w:rFonts w:ascii="Times New Roman" w:hAnsi="Times New Roman" w:eastAsia="仿宋_GB2312"/>
          <w:sz w:val="32"/>
        </w:rPr>
      </w:pPr>
      <w:r>
        <w:rPr>
          <w:rFonts w:ascii="Times New Roman" w:hAnsi="Times New Roman" w:eastAsia="仿宋_GB2312"/>
          <w:sz w:val="32"/>
        </w:rPr>
        <w:t>2020年11月，项目组根据绩效评价的原理和盘龙区财政局的要求，对采集的数据进行甄别、分析；同时，提炼结论、撰写报告，并与项目单位保持充分沟通，确保每个观点有理有据。在规定时间内完成报告初稿后，提交盘龙区财政局。</w:t>
      </w:r>
    </w:p>
    <w:p w14:paraId="472FD055">
      <w:pPr>
        <w:pStyle w:val="2"/>
        <w:spacing w:line="600" w:lineRule="exact"/>
        <w:ind w:firstLine="480" w:firstLineChars="150"/>
        <w:rPr>
          <w:rFonts w:ascii="黑体" w:hAnsi="黑体" w:eastAsia="黑体"/>
          <w:b w:val="0"/>
          <w:sz w:val="32"/>
          <w:szCs w:val="32"/>
        </w:rPr>
      </w:pPr>
      <w:bookmarkStart w:id="63" w:name="_Toc26302"/>
      <w:bookmarkStart w:id="64" w:name="_Toc749"/>
      <w:bookmarkStart w:id="65" w:name="_Toc48082207"/>
      <w:r>
        <w:rPr>
          <w:rFonts w:hint="eastAsia" w:ascii="黑体" w:hAnsi="黑体" w:eastAsia="黑体"/>
          <w:b w:val="0"/>
          <w:sz w:val="32"/>
          <w:szCs w:val="32"/>
        </w:rPr>
        <w:t>三、评价结论和绩效分析</w:t>
      </w:r>
      <w:bookmarkEnd w:id="63"/>
      <w:bookmarkEnd w:id="64"/>
      <w:bookmarkEnd w:id="65"/>
    </w:p>
    <w:p w14:paraId="3A9382C5">
      <w:pPr>
        <w:pStyle w:val="3"/>
        <w:spacing w:line="600" w:lineRule="exact"/>
        <w:ind w:firstLine="480" w:firstLineChars="150"/>
        <w:rPr>
          <w:rFonts w:ascii="楷体_GB2312" w:eastAsia="楷体_GB2312"/>
          <w:b w:val="0"/>
        </w:rPr>
      </w:pPr>
      <w:bookmarkStart w:id="66" w:name="_Toc48082208"/>
      <w:bookmarkStart w:id="67" w:name="_Toc9120"/>
      <w:r>
        <w:rPr>
          <w:rFonts w:hint="eastAsia" w:ascii="楷体_GB2312" w:eastAsia="楷体_GB2312"/>
          <w:b w:val="0"/>
        </w:rPr>
        <w:t>（一）评价结论</w:t>
      </w:r>
      <w:bookmarkEnd w:id="66"/>
      <w:bookmarkEnd w:id="67"/>
    </w:p>
    <w:p w14:paraId="0D4159D5">
      <w:pPr>
        <w:spacing w:line="600" w:lineRule="exact"/>
        <w:ind w:firstLine="640" w:firstLineChars="200"/>
        <w:rPr>
          <w:rFonts w:ascii="Times New Roman" w:eastAsia="仿宋_GB2312"/>
          <w:bCs/>
          <w:sz w:val="32"/>
        </w:rPr>
      </w:pPr>
      <w:r>
        <w:rPr>
          <w:rFonts w:hint="eastAsia" w:ascii="Times New Roman" w:eastAsia="仿宋_GB2312"/>
          <w:bCs/>
          <w:sz w:val="32"/>
        </w:rPr>
        <w:t>1.评价结果</w:t>
      </w:r>
    </w:p>
    <w:p w14:paraId="0E027D90">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运用由项目组编制并经盘龙区农业农村局同意的评价指标体系及评分标准，通过数据采集、问卷调查及访谈等，对松华街道大摆社区山药、中药种植示范项目绩效进行客观评价，最终评分结果为</w:t>
      </w:r>
      <w:r>
        <w:rPr>
          <w:rFonts w:ascii="Times New Roman" w:hAnsi="Times New Roman" w:eastAsia="仿宋_GB2312"/>
          <w:color w:val="FF0000"/>
          <w:sz w:val="32"/>
        </w:rPr>
        <w:t>95.48</w:t>
      </w:r>
      <w:r>
        <w:rPr>
          <w:rFonts w:ascii="Times New Roman" w:hAnsi="Times New Roman" w:eastAsia="仿宋_GB2312"/>
          <w:sz w:val="32"/>
        </w:rPr>
        <w:t>分，绩效评级为“</w:t>
      </w:r>
      <w:r>
        <w:rPr>
          <w:rFonts w:ascii="Times New Roman" w:hAnsi="Times New Roman" w:eastAsia="仿宋_GB2312"/>
          <w:color w:val="FF0000"/>
          <w:sz w:val="32"/>
        </w:rPr>
        <w:t>优</w:t>
      </w:r>
      <w:r>
        <w:rPr>
          <w:rFonts w:ascii="Times New Roman" w:hAnsi="Times New Roman" w:eastAsia="仿宋_GB2312"/>
          <w:sz w:val="32"/>
        </w:rPr>
        <w:t>”。各类指标权重和实际得分详见下表。</w:t>
      </w:r>
    </w:p>
    <w:tbl>
      <w:tblPr>
        <w:tblStyle w:val="30"/>
        <w:tblW w:w="836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1701"/>
        <w:gridCol w:w="1701"/>
        <w:gridCol w:w="1559"/>
        <w:gridCol w:w="1843"/>
      </w:tblGrid>
      <w:tr w14:paraId="139E4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560" w:type="dxa"/>
            <w:vAlign w:val="center"/>
          </w:tcPr>
          <w:p w14:paraId="0D4F4F32">
            <w:pPr>
              <w:pStyle w:val="24"/>
              <w:spacing w:before="94"/>
              <w:ind w:left="304" w:right="298"/>
              <w:rPr>
                <w:rFonts w:ascii="Times New Roman" w:hAnsi="Times New Roman" w:eastAsia="宋体" w:cs="Times New Roman"/>
                <w:b/>
                <w:sz w:val="21"/>
                <w:lang w:eastAsia="en-US"/>
              </w:rPr>
            </w:pPr>
            <w:r>
              <w:rPr>
                <w:rFonts w:ascii="Times New Roman" w:hAnsi="Times New Roman" w:eastAsia="宋体" w:cs="Times New Roman"/>
                <w:b/>
                <w:sz w:val="21"/>
                <w:lang w:eastAsia="en-US"/>
              </w:rPr>
              <w:t>指标</w:t>
            </w:r>
          </w:p>
        </w:tc>
        <w:tc>
          <w:tcPr>
            <w:tcW w:w="1701" w:type="dxa"/>
            <w:vAlign w:val="center"/>
          </w:tcPr>
          <w:p w14:paraId="30465715">
            <w:pPr>
              <w:pStyle w:val="24"/>
              <w:spacing w:before="94"/>
              <w:ind w:left="304" w:right="298"/>
              <w:rPr>
                <w:rFonts w:ascii="Times New Roman" w:hAnsi="Times New Roman" w:eastAsia="宋体" w:cs="Times New Roman"/>
                <w:b/>
                <w:sz w:val="21"/>
                <w:lang w:eastAsia="en-US"/>
              </w:rPr>
            </w:pPr>
            <w:r>
              <w:rPr>
                <w:rFonts w:ascii="Times New Roman" w:hAnsi="Times New Roman" w:eastAsia="宋体" w:cs="Times New Roman"/>
                <w:b/>
                <w:sz w:val="21"/>
                <w:lang w:eastAsia="en-US"/>
              </w:rPr>
              <w:t>项目决策</w:t>
            </w:r>
          </w:p>
        </w:tc>
        <w:tc>
          <w:tcPr>
            <w:tcW w:w="1701" w:type="dxa"/>
            <w:vAlign w:val="center"/>
          </w:tcPr>
          <w:p w14:paraId="26AA5469">
            <w:pPr>
              <w:pStyle w:val="24"/>
              <w:spacing w:before="94"/>
              <w:ind w:left="303" w:right="294"/>
              <w:rPr>
                <w:rFonts w:ascii="Times New Roman" w:hAnsi="Times New Roman" w:eastAsia="宋体" w:cs="Times New Roman"/>
                <w:b/>
                <w:sz w:val="21"/>
                <w:lang w:eastAsia="en-US"/>
              </w:rPr>
            </w:pPr>
            <w:r>
              <w:rPr>
                <w:rFonts w:ascii="Times New Roman" w:hAnsi="Times New Roman" w:eastAsia="宋体" w:cs="Times New Roman"/>
                <w:b/>
                <w:sz w:val="21"/>
                <w:lang w:eastAsia="en-US"/>
              </w:rPr>
              <w:t>项目管理</w:t>
            </w:r>
          </w:p>
        </w:tc>
        <w:tc>
          <w:tcPr>
            <w:tcW w:w="1559" w:type="dxa"/>
            <w:vAlign w:val="center"/>
          </w:tcPr>
          <w:p w14:paraId="6031AB6F">
            <w:pPr>
              <w:pStyle w:val="24"/>
              <w:spacing w:before="94"/>
              <w:ind w:left="304" w:right="294"/>
              <w:rPr>
                <w:rFonts w:ascii="Times New Roman" w:hAnsi="Times New Roman" w:eastAsia="宋体" w:cs="Times New Roman"/>
                <w:b/>
                <w:sz w:val="21"/>
                <w:lang w:eastAsia="en-US"/>
              </w:rPr>
            </w:pPr>
            <w:r>
              <w:rPr>
                <w:rFonts w:ascii="Times New Roman" w:hAnsi="Times New Roman" w:eastAsia="宋体" w:cs="Times New Roman"/>
                <w:b/>
                <w:sz w:val="21"/>
                <w:lang w:eastAsia="en-US"/>
              </w:rPr>
              <w:t>项目绩效</w:t>
            </w:r>
          </w:p>
        </w:tc>
        <w:tc>
          <w:tcPr>
            <w:tcW w:w="1843" w:type="dxa"/>
            <w:vAlign w:val="center"/>
          </w:tcPr>
          <w:p w14:paraId="0AA2F6B6">
            <w:pPr>
              <w:pStyle w:val="24"/>
              <w:spacing w:before="94"/>
              <w:ind w:left="585" w:right="576"/>
              <w:rPr>
                <w:rFonts w:ascii="Times New Roman" w:hAnsi="Times New Roman" w:eastAsia="宋体" w:cs="Times New Roman"/>
                <w:b/>
                <w:sz w:val="21"/>
                <w:lang w:eastAsia="en-US"/>
              </w:rPr>
            </w:pPr>
            <w:r>
              <w:rPr>
                <w:rFonts w:ascii="Times New Roman" w:hAnsi="Times New Roman" w:eastAsia="宋体" w:cs="Times New Roman"/>
                <w:b/>
                <w:sz w:val="21"/>
                <w:lang w:eastAsia="en-US"/>
              </w:rPr>
              <w:t>合计</w:t>
            </w:r>
          </w:p>
        </w:tc>
      </w:tr>
      <w:tr w14:paraId="5635D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560" w:type="dxa"/>
            <w:vAlign w:val="center"/>
          </w:tcPr>
          <w:p w14:paraId="1124AED3">
            <w:pPr>
              <w:pStyle w:val="24"/>
              <w:spacing w:before="94"/>
              <w:ind w:left="304" w:right="298"/>
              <w:rPr>
                <w:rFonts w:ascii="Times New Roman" w:hAnsi="Times New Roman" w:eastAsia="宋体" w:cs="Times New Roman"/>
                <w:b/>
                <w:sz w:val="21"/>
                <w:lang w:eastAsia="en-US"/>
              </w:rPr>
            </w:pPr>
            <w:r>
              <w:rPr>
                <w:rFonts w:ascii="Times New Roman" w:hAnsi="Times New Roman" w:eastAsia="宋体" w:cs="Times New Roman"/>
                <w:b/>
                <w:sz w:val="21"/>
                <w:lang w:eastAsia="en-US"/>
              </w:rPr>
              <w:t>权重</w:t>
            </w:r>
          </w:p>
        </w:tc>
        <w:tc>
          <w:tcPr>
            <w:tcW w:w="1701" w:type="dxa"/>
            <w:vAlign w:val="center"/>
          </w:tcPr>
          <w:p w14:paraId="6B1C52E7">
            <w:pPr>
              <w:pStyle w:val="24"/>
              <w:spacing w:before="106"/>
              <w:ind w:left="304" w:right="294"/>
              <w:rPr>
                <w:rFonts w:ascii="Times New Roman" w:hAnsi="Times New Roman" w:eastAsia="宋体" w:cs="Times New Roman"/>
                <w:sz w:val="21"/>
                <w:highlight w:val="yellow"/>
                <w:lang w:eastAsia="en-US"/>
              </w:rPr>
            </w:pPr>
            <w:r>
              <w:rPr>
                <w:rFonts w:ascii="Times New Roman" w:hAnsi="Times New Roman" w:eastAsia="宋体" w:cs="Times New Roman"/>
                <w:sz w:val="21"/>
                <w:lang w:eastAsia="en-US"/>
              </w:rPr>
              <w:t>20分</w:t>
            </w:r>
          </w:p>
        </w:tc>
        <w:tc>
          <w:tcPr>
            <w:tcW w:w="1701" w:type="dxa"/>
            <w:vAlign w:val="center"/>
          </w:tcPr>
          <w:p w14:paraId="112517CC">
            <w:pPr>
              <w:pStyle w:val="24"/>
              <w:spacing w:before="106"/>
              <w:ind w:left="304" w:right="292"/>
              <w:rPr>
                <w:rFonts w:ascii="Times New Roman" w:hAnsi="Times New Roman" w:eastAsia="宋体" w:cs="Times New Roman"/>
                <w:sz w:val="21"/>
                <w:highlight w:val="yellow"/>
                <w:lang w:eastAsia="en-US"/>
              </w:rPr>
            </w:pPr>
            <w:r>
              <w:rPr>
                <w:rFonts w:ascii="Times New Roman" w:hAnsi="Times New Roman" w:eastAsia="宋体" w:cs="Times New Roman"/>
                <w:sz w:val="21"/>
                <w:lang w:eastAsia="en-US"/>
              </w:rPr>
              <w:t>20分</w:t>
            </w:r>
          </w:p>
        </w:tc>
        <w:tc>
          <w:tcPr>
            <w:tcW w:w="1559" w:type="dxa"/>
            <w:vAlign w:val="center"/>
          </w:tcPr>
          <w:p w14:paraId="5D449E98">
            <w:pPr>
              <w:pStyle w:val="24"/>
              <w:spacing w:before="106"/>
              <w:ind w:left="304" w:right="291"/>
              <w:rPr>
                <w:rFonts w:ascii="Times New Roman" w:hAnsi="Times New Roman" w:eastAsia="宋体" w:cs="Times New Roman"/>
                <w:sz w:val="21"/>
                <w:highlight w:val="yellow"/>
                <w:lang w:eastAsia="en-US"/>
              </w:rPr>
            </w:pPr>
            <w:r>
              <w:rPr>
                <w:rFonts w:ascii="Times New Roman" w:hAnsi="Times New Roman" w:eastAsia="宋体" w:cs="Times New Roman"/>
                <w:sz w:val="21"/>
                <w:lang w:eastAsia="en-US"/>
              </w:rPr>
              <w:t>60分</w:t>
            </w:r>
          </w:p>
        </w:tc>
        <w:tc>
          <w:tcPr>
            <w:tcW w:w="1843" w:type="dxa"/>
            <w:vAlign w:val="center"/>
          </w:tcPr>
          <w:p w14:paraId="0DA31A3D">
            <w:pPr>
              <w:pStyle w:val="24"/>
              <w:spacing w:before="106"/>
              <w:ind w:left="304" w:right="291"/>
              <w:rPr>
                <w:rFonts w:ascii="Times New Roman" w:hAnsi="Times New Roman" w:eastAsia="宋体" w:cs="Times New Roman"/>
                <w:sz w:val="21"/>
                <w:highlight w:val="yellow"/>
                <w:lang w:eastAsia="en-US"/>
              </w:rPr>
            </w:pPr>
            <w:r>
              <w:rPr>
                <w:rFonts w:ascii="Times New Roman" w:hAnsi="Times New Roman" w:eastAsia="宋体" w:cs="Times New Roman"/>
                <w:sz w:val="21"/>
                <w:lang w:eastAsia="en-US"/>
              </w:rPr>
              <w:t>100分</w:t>
            </w:r>
          </w:p>
        </w:tc>
      </w:tr>
      <w:tr w14:paraId="2B4D3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560" w:type="dxa"/>
            <w:vAlign w:val="center"/>
          </w:tcPr>
          <w:p w14:paraId="7FD8D8E8">
            <w:pPr>
              <w:pStyle w:val="24"/>
              <w:spacing w:before="94"/>
              <w:ind w:left="304" w:right="298"/>
              <w:rPr>
                <w:rFonts w:ascii="Times New Roman" w:hAnsi="Times New Roman" w:eastAsia="宋体" w:cs="Times New Roman"/>
                <w:b/>
                <w:sz w:val="21"/>
                <w:lang w:eastAsia="en-US"/>
              </w:rPr>
            </w:pPr>
            <w:r>
              <w:rPr>
                <w:rFonts w:ascii="Times New Roman" w:hAnsi="Times New Roman" w:eastAsia="宋体" w:cs="Times New Roman"/>
                <w:b/>
                <w:sz w:val="21"/>
                <w:lang w:eastAsia="en-US"/>
              </w:rPr>
              <w:t>得分率</w:t>
            </w:r>
          </w:p>
        </w:tc>
        <w:tc>
          <w:tcPr>
            <w:tcW w:w="1701" w:type="dxa"/>
            <w:vAlign w:val="center"/>
          </w:tcPr>
          <w:p w14:paraId="4662D6E5">
            <w:pPr>
              <w:pStyle w:val="24"/>
              <w:spacing w:before="103"/>
              <w:ind w:left="7"/>
              <w:rPr>
                <w:rFonts w:ascii="Times New Roman" w:hAnsi="Times New Roman" w:eastAsia="宋体" w:cs="Times New Roman"/>
                <w:sz w:val="21"/>
                <w:highlight w:val="yellow"/>
                <w:lang w:eastAsia="en-US"/>
              </w:rPr>
            </w:pPr>
            <w:r>
              <w:rPr>
                <w:rFonts w:ascii="Times New Roman" w:hAnsi="Times New Roman" w:eastAsia="宋体" w:cs="Times New Roman"/>
                <w:sz w:val="21"/>
                <w:lang w:eastAsia="en-US"/>
              </w:rPr>
              <w:t>100%</w:t>
            </w:r>
          </w:p>
        </w:tc>
        <w:tc>
          <w:tcPr>
            <w:tcW w:w="1701" w:type="dxa"/>
            <w:vAlign w:val="center"/>
          </w:tcPr>
          <w:p w14:paraId="7901234C">
            <w:pPr>
              <w:pStyle w:val="24"/>
              <w:spacing w:before="103"/>
              <w:ind w:left="303" w:right="294"/>
              <w:rPr>
                <w:rFonts w:ascii="Times New Roman" w:hAnsi="Times New Roman" w:eastAsia="宋体" w:cs="Times New Roman"/>
                <w:sz w:val="21"/>
                <w:highlight w:val="yellow"/>
                <w:lang w:eastAsia="en-US"/>
              </w:rPr>
            </w:pPr>
            <w:r>
              <w:rPr>
                <w:rFonts w:ascii="Times New Roman" w:hAnsi="Times New Roman" w:cs="Times New Roman"/>
                <w:sz w:val="24"/>
                <w:szCs w:val="24"/>
                <w:lang w:eastAsia="en-US"/>
              </w:rPr>
              <w:t>87.5%</w:t>
            </w:r>
          </w:p>
        </w:tc>
        <w:tc>
          <w:tcPr>
            <w:tcW w:w="1559" w:type="dxa"/>
            <w:vAlign w:val="center"/>
          </w:tcPr>
          <w:p w14:paraId="43608985">
            <w:pPr>
              <w:pStyle w:val="24"/>
              <w:spacing w:before="103"/>
              <w:ind w:left="304" w:right="294"/>
              <w:rPr>
                <w:rFonts w:ascii="Times New Roman" w:hAnsi="Times New Roman" w:eastAsia="宋体" w:cs="Times New Roman"/>
                <w:sz w:val="21"/>
                <w:highlight w:val="yellow"/>
                <w:lang w:eastAsia="en-US"/>
              </w:rPr>
            </w:pPr>
            <w:r>
              <w:rPr>
                <w:rFonts w:ascii="Times New Roman" w:hAnsi="Times New Roman" w:cs="Times New Roman"/>
                <w:sz w:val="24"/>
                <w:szCs w:val="24"/>
                <w:lang w:eastAsia="en-US"/>
              </w:rPr>
              <w:t>96.63%</w:t>
            </w:r>
          </w:p>
        </w:tc>
        <w:tc>
          <w:tcPr>
            <w:tcW w:w="1843" w:type="dxa"/>
            <w:vAlign w:val="center"/>
          </w:tcPr>
          <w:p w14:paraId="7FA3AA57">
            <w:pPr>
              <w:pStyle w:val="24"/>
              <w:spacing w:before="106"/>
              <w:ind w:left="304" w:right="291"/>
              <w:rPr>
                <w:rFonts w:ascii="Times New Roman" w:hAnsi="Times New Roman" w:eastAsia="宋体" w:cs="Times New Roman"/>
                <w:sz w:val="21"/>
                <w:highlight w:val="yellow"/>
                <w:lang w:eastAsia="en-US"/>
              </w:rPr>
            </w:pPr>
            <w:r>
              <w:rPr>
                <w:rFonts w:ascii="Times New Roman" w:hAnsi="Times New Roman" w:cs="Times New Roman"/>
                <w:sz w:val="24"/>
                <w:szCs w:val="24"/>
                <w:lang w:eastAsia="en-US"/>
              </w:rPr>
              <w:fldChar w:fldCharType="begin"/>
            </w:r>
            <w:r>
              <w:rPr>
                <w:rFonts w:ascii="Times New Roman" w:hAnsi="Times New Roman" w:cs="Times New Roman"/>
                <w:sz w:val="24"/>
                <w:szCs w:val="24"/>
                <w:lang w:eastAsia="en-US"/>
              </w:rPr>
              <w:instrText xml:space="preserve">=SUM(ABOVE)*100 \# "0.00%"</w:instrText>
            </w:r>
            <w:r>
              <w:rPr>
                <w:rFonts w:ascii="Times New Roman" w:hAnsi="Times New Roman" w:cs="Times New Roman"/>
                <w:sz w:val="24"/>
                <w:szCs w:val="24"/>
                <w:lang w:eastAsia="en-US"/>
              </w:rPr>
              <w:fldChar w:fldCharType="separate"/>
            </w:r>
            <w:r>
              <w:rPr>
                <w:rFonts w:ascii="Times New Roman" w:hAnsi="Times New Roman" w:cs="Times New Roman"/>
                <w:sz w:val="24"/>
                <w:szCs w:val="24"/>
                <w:lang w:eastAsia="en-US"/>
              </w:rPr>
              <w:t>95.48%</w:t>
            </w:r>
            <w:r>
              <w:rPr>
                <w:rFonts w:ascii="Times New Roman" w:hAnsi="Times New Roman" w:cs="Times New Roman"/>
                <w:sz w:val="24"/>
                <w:szCs w:val="24"/>
                <w:lang w:eastAsia="en-US"/>
              </w:rPr>
              <w:fldChar w:fldCharType="end"/>
            </w:r>
          </w:p>
        </w:tc>
      </w:tr>
      <w:tr w14:paraId="00256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560" w:type="dxa"/>
            <w:vAlign w:val="center"/>
          </w:tcPr>
          <w:p w14:paraId="418F453C">
            <w:pPr>
              <w:pStyle w:val="24"/>
              <w:spacing w:before="94"/>
              <w:ind w:left="304" w:right="298"/>
              <w:rPr>
                <w:rFonts w:ascii="Times New Roman" w:hAnsi="Times New Roman" w:eastAsia="宋体" w:cs="Times New Roman"/>
                <w:b/>
                <w:sz w:val="21"/>
                <w:lang w:eastAsia="en-US"/>
              </w:rPr>
            </w:pPr>
            <w:r>
              <w:rPr>
                <w:rFonts w:ascii="Times New Roman" w:hAnsi="Times New Roman" w:eastAsia="宋体" w:cs="Times New Roman"/>
                <w:b/>
                <w:sz w:val="21"/>
                <w:lang w:eastAsia="en-US"/>
              </w:rPr>
              <w:t>得分</w:t>
            </w:r>
          </w:p>
        </w:tc>
        <w:tc>
          <w:tcPr>
            <w:tcW w:w="1701" w:type="dxa"/>
            <w:vAlign w:val="center"/>
          </w:tcPr>
          <w:p w14:paraId="0B3ACE6D">
            <w:pPr>
              <w:pStyle w:val="24"/>
              <w:spacing w:before="103"/>
              <w:ind w:left="7"/>
              <w:rPr>
                <w:rFonts w:ascii="Times New Roman" w:hAnsi="Times New Roman" w:eastAsia="宋体" w:cs="Times New Roman"/>
                <w:sz w:val="21"/>
                <w:highlight w:val="yellow"/>
                <w:lang w:eastAsia="en-US"/>
              </w:rPr>
            </w:pPr>
            <w:r>
              <w:rPr>
                <w:rFonts w:ascii="Times New Roman" w:hAnsi="Times New Roman" w:eastAsia="宋体" w:cs="Times New Roman"/>
                <w:sz w:val="21"/>
                <w:lang w:eastAsia="en-US"/>
              </w:rPr>
              <w:t>20</w:t>
            </w:r>
          </w:p>
        </w:tc>
        <w:tc>
          <w:tcPr>
            <w:tcW w:w="1701" w:type="dxa"/>
            <w:vAlign w:val="center"/>
          </w:tcPr>
          <w:p w14:paraId="61D8EA2C">
            <w:pPr>
              <w:pStyle w:val="24"/>
              <w:spacing w:before="103"/>
              <w:ind w:left="303" w:right="294"/>
              <w:rPr>
                <w:rFonts w:ascii="Times New Roman" w:hAnsi="Times New Roman" w:eastAsia="宋体" w:cs="Times New Roman"/>
                <w:sz w:val="21"/>
                <w:highlight w:val="yellow"/>
                <w:lang w:eastAsia="en-US"/>
              </w:rPr>
            </w:pPr>
            <w:r>
              <w:rPr>
                <w:rFonts w:ascii="Times New Roman" w:hAnsi="Times New Roman" w:eastAsia="宋体" w:cs="Times New Roman"/>
                <w:sz w:val="24"/>
                <w:szCs w:val="24"/>
                <w:lang w:eastAsia="en-US"/>
              </w:rPr>
              <w:t>17.5</w:t>
            </w:r>
          </w:p>
        </w:tc>
        <w:tc>
          <w:tcPr>
            <w:tcW w:w="1559" w:type="dxa"/>
            <w:vAlign w:val="center"/>
          </w:tcPr>
          <w:p w14:paraId="728FAE55">
            <w:pPr>
              <w:pStyle w:val="24"/>
              <w:spacing w:before="106"/>
              <w:ind w:left="304" w:right="291"/>
              <w:rPr>
                <w:rFonts w:ascii="Times New Roman" w:hAnsi="Times New Roman" w:eastAsia="宋体" w:cs="Times New Roman"/>
                <w:sz w:val="21"/>
                <w:highlight w:val="yellow"/>
                <w:lang w:eastAsia="en-US"/>
              </w:rPr>
            </w:pPr>
            <w:r>
              <w:rPr>
                <w:rFonts w:ascii="Times New Roman" w:hAnsi="Times New Roman" w:eastAsia="宋体" w:cs="Times New Roman"/>
                <w:sz w:val="24"/>
                <w:szCs w:val="24"/>
                <w:lang w:eastAsia="en-US"/>
              </w:rPr>
              <w:t>57.98</w:t>
            </w:r>
          </w:p>
        </w:tc>
        <w:tc>
          <w:tcPr>
            <w:tcW w:w="1843" w:type="dxa"/>
            <w:vAlign w:val="center"/>
          </w:tcPr>
          <w:p w14:paraId="6530E335">
            <w:pPr>
              <w:pStyle w:val="24"/>
              <w:spacing w:before="106"/>
              <w:ind w:right="291" w:firstLine="720" w:firstLineChars="300"/>
              <w:jc w:val="both"/>
              <w:rPr>
                <w:rFonts w:ascii="Times New Roman" w:hAnsi="Times New Roman" w:eastAsia="宋体" w:cs="Times New Roman"/>
                <w:sz w:val="21"/>
                <w:highlight w:val="yellow"/>
                <w:lang w:eastAsia="en-US"/>
              </w:rPr>
            </w:pPr>
            <w:r>
              <w:rPr>
                <w:rFonts w:ascii="Times New Roman" w:hAnsi="Times New Roman" w:eastAsia="宋体" w:cs="Times New Roman"/>
                <w:sz w:val="24"/>
                <w:szCs w:val="24"/>
                <w:lang w:eastAsia="en-US"/>
              </w:rPr>
              <w:t>95.48</w:t>
            </w:r>
          </w:p>
        </w:tc>
      </w:tr>
    </w:tbl>
    <w:p w14:paraId="766CB6F6">
      <w:pPr>
        <w:spacing w:line="600" w:lineRule="exact"/>
        <w:ind w:firstLine="640" w:firstLineChars="200"/>
        <w:rPr>
          <w:rFonts w:ascii="Times New Roman" w:hAnsi="Times New Roman" w:eastAsia="仿宋_GB2312"/>
          <w:bCs/>
          <w:sz w:val="32"/>
        </w:rPr>
      </w:pPr>
      <w:r>
        <w:rPr>
          <w:rFonts w:ascii="Times New Roman" w:hAnsi="Times New Roman" w:eastAsia="仿宋_GB2312"/>
          <w:bCs/>
          <w:sz w:val="32"/>
        </w:rPr>
        <w:t>2.主要绩效</w:t>
      </w:r>
    </w:p>
    <w:p w14:paraId="543FBCE5">
      <w:pPr>
        <w:spacing w:line="600" w:lineRule="exact"/>
        <w:ind w:firstLine="640" w:firstLineChars="200"/>
        <w:rPr>
          <w:rFonts w:ascii="Times New Roman" w:hAnsi="Times New Roman" w:eastAsia="仿宋_GB2312"/>
          <w:sz w:val="32"/>
        </w:rPr>
      </w:pPr>
      <w:r>
        <w:rPr>
          <w:rFonts w:ascii="Times New Roman" w:hAnsi="Times New Roman" w:eastAsia="仿宋_GB2312"/>
          <w:sz w:val="32"/>
        </w:rPr>
        <w:t>基于指标评分、问卷调查以及对若干关键绩效环节的访谈调研和资料整理，得出如下综合评价结论:</w:t>
      </w:r>
    </w:p>
    <w:p w14:paraId="769191E0">
      <w:pPr>
        <w:spacing w:line="600" w:lineRule="exact"/>
        <w:ind w:firstLine="640" w:firstLineChars="200"/>
        <w:rPr>
          <w:rFonts w:ascii="Times New Roman" w:hAnsi="Times New Roman" w:eastAsia="仿宋_GB2312"/>
          <w:color w:val="FF0000"/>
          <w:sz w:val="32"/>
        </w:rPr>
      </w:pPr>
      <w:r>
        <w:rPr>
          <w:rFonts w:ascii="Times New Roman" w:hAnsi="Times New Roman" w:eastAsia="仿宋_GB2312"/>
          <w:sz w:val="32"/>
        </w:rPr>
        <w:t>大摆社区山药、中药种植示范项目总体组织比较规范，项目目标完成情况优秀，各类型资金投入使用后，</w:t>
      </w:r>
      <w:r>
        <w:rPr>
          <w:rFonts w:ascii="Times New Roman" w:hAnsi="Times New Roman" w:eastAsia="仿宋_GB2312"/>
          <w:sz w:val="32"/>
          <w:szCs w:val="32"/>
        </w:rPr>
        <w:t>能够及时对合作社（贫困户）进行扶持，有效改善合作社种植基地基础设施条件，增添配套灌溉设施，达到增产降低种植成本的目的。合作社受益农户满意度较高。实现了预期目标。</w:t>
      </w:r>
    </w:p>
    <w:p w14:paraId="345AB40F">
      <w:pPr>
        <w:pStyle w:val="3"/>
        <w:spacing w:line="600" w:lineRule="exact"/>
        <w:ind w:firstLine="480" w:firstLineChars="150"/>
        <w:rPr>
          <w:rFonts w:ascii="楷体_GB2312" w:eastAsia="楷体_GB2312"/>
          <w:b w:val="0"/>
        </w:rPr>
      </w:pPr>
      <w:bookmarkStart w:id="68" w:name="_Toc48082209"/>
      <w:bookmarkStart w:id="69" w:name="_Toc15893"/>
      <w:r>
        <w:rPr>
          <w:rFonts w:hint="eastAsia" w:ascii="楷体_GB2312" w:eastAsia="楷体_GB2312"/>
          <w:b w:val="0"/>
        </w:rPr>
        <w:t>（二）具体绩效分析</w:t>
      </w:r>
      <w:bookmarkEnd w:id="68"/>
      <w:bookmarkEnd w:id="69"/>
    </w:p>
    <w:p w14:paraId="60EA433E">
      <w:pPr>
        <w:spacing w:line="600" w:lineRule="exact"/>
        <w:ind w:firstLine="640" w:firstLineChars="200"/>
        <w:rPr>
          <w:rFonts w:ascii="Times New Roman" w:hAnsi="Times New Roman" w:eastAsia="仿宋_GB2312"/>
          <w:sz w:val="32"/>
        </w:rPr>
      </w:pPr>
      <w:r>
        <w:rPr>
          <w:rFonts w:ascii="Times New Roman" w:hAnsi="Times New Roman" w:eastAsia="仿宋_GB2312"/>
          <w:sz w:val="32"/>
        </w:rPr>
        <w:t>A.项目决策</w:t>
      </w:r>
    </w:p>
    <w:p w14:paraId="79F20FBF">
      <w:pPr>
        <w:spacing w:line="600" w:lineRule="exact"/>
        <w:ind w:firstLine="640" w:firstLineChars="200"/>
        <w:rPr>
          <w:rFonts w:ascii="Times New Roman" w:hAnsi="Times New Roman" w:eastAsia="仿宋_GB2312"/>
          <w:sz w:val="32"/>
        </w:rPr>
      </w:pPr>
      <w:r>
        <w:rPr>
          <w:rFonts w:ascii="Times New Roman" w:hAnsi="Times New Roman" w:eastAsia="仿宋_GB2312"/>
          <w:sz w:val="32"/>
        </w:rPr>
        <w:t>项目决策包括项目立项和项目目标两方面内容。本次评价用五个三级指标从10个方面进行考察，权重分值20分，实际得分20.00分，得分率100.00%。指标值、业绩值和实际得分详见下表。</w:t>
      </w:r>
    </w:p>
    <w:tbl>
      <w:tblPr>
        <w:tblStyle w:val="11"/>
        <w:tblW w:w="89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90"/>
        <w:gridCol w:w="1275"/>
        <w:gridCol w:w="1985"/>
        <w:gridCol w:w="1276"/>
      </w:tblGrid>
      <w:tr w14:paraId="089EF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390" w:type="dxa"/>
            <w:tcBorders>
              <w:top w:val="single" w:color="000000" w:sz="4" w:space="0"/>
              <w:left w:val="single" w:color="000000" w:sz="4" w:space="0"/>
              <w:bottom w:val="single" w:color="000000" w:sz="4" w:space="0"/>
              <w:right w:val="single" w:color="000000" w:sz="4" w:space="0"/>
            </w:tcBorders>
            <w:vAlign w:val="center"/>
          </w:tcPr>
          <w:p w14:paraId="3AEE04C5">
            <w:pPr>
              <w:pStyle w:val="24"/>
              <w:spacing w:before="94" w:line="200" w:lineRule="exact"/>
              <w:ind w:left="1420" w:right="1409"/>
              <w:rPr>
                <w:rFonts w:ascii="Times New Roman" w:hAnsi="Times New Roman" w:cs="Times New Roman"/>
                <w:b/>
                <w:bCs/>
                <w:sz w:val="18"/>
                <w:szCs w:val="18"/>
              </w:rPr>
            </w:pPr>
            <w:r>
              <w:rPr>
                <w:rFonts w:ascii="Times New Roman" w:hAnsi="Times New Roman" w:cs="Times New Roman"/>
                <w:b/>
                <w:bCs/>
                <w:sz w:val="18"/>
                <w:szCs w:val="18"/>
              </w:rPr>
              <w:t>指标名称</w:t>
            </w:r>
          </w:p>
        </w:tc>
        <w:tc>
          <w:tcPr>
            <w:tcW w:w="1275" w:type="dxa"/>
            <w:tcBorders>
              <w:top w:val="single" w:color="000000" w:sz="4" w:space="0"/>
              <w:left w:val="nil"/>
              <w:bottom w:val="single" w:color="000000" w:sz="4" w:space="0"/>
              <w:right w:val="single" w:color="000000" w:sz="4" w:space="0"/>
            </w:tcBorders>
            <w:vAlign w:val="center"/>
          </w:tcPr>
          <w:p w14:paraId="3DAC14A2">
            <w:pPr>
              <w:pStyle w:val="24"/>
              <w:spacing w:before="94" w:line="200" w:lineRule="exact"/>
              <w:ind w:left="150" w:right="139"/>
              <w:rPr>
                <w:rFonts w:ascii="Times New Roman" w:hAnsi="Times New Roman" w:cs="Times New Roman"/>
                <w:b/>
                <w:bCs/>
                <w:sz w:val="18"/>
                <w:szCs w:val="18"/>
              </w:rPr>
            </w:pPr>
            <w:r>
              <w:rPr>
                <w:rFonts w:ascii="Times New Roman" w:hAnsi="Times New Roman" w:cs="Times New Roman"/>
                <w:b/>
                <w:bCs/>
                <w:sz w:val="18"/>
                <w:szCs w:val="18"/>
              </w:rPr>
              <w:t>指标分值</w:t>
            </w:r>
          </w:p>
        </w:tc>
        <w:tc>
          <w:tcPr>
            <w:tcW w:w="1985" w:type="dxa"/>
            <w:tcBorders>
              <w:top w:val="single" w:color="000000" w:sz="4" w:space="0"/>
              <w:left w:val="nil"/>
              <w:bottom w:val="single" w:color="000000" w:sz="4" w:space="0"/>
              <w:right w:val="single" w:color="000000" w:sz="4" w:space="0"/>
            </w:tcBorders>
            <w:vAlign w:val="center"/>
          </w:tcPr>
          <w:p w14:paraId="1BF9F2CE">
            <w:pPr>
              <w:pStyle w:val="24"/>
              <w:spacing w:before="94" w:line="200" w:lineRule="exact"/>
              <w:ind w:left="250" w:right="245"/>
              <w:rPr>
                <w:rFonts w:ascii="Times New Roman" w:hAnsi="Times New Roman" w:cs="Times New Roman"/>
                <w:b/>
                <w:bCs/>
                <w:sz w:val="18"/>
                <w:szCs w:val="18"/>
              </w:rPr>
            </w:pPr>
            <w:r>
              <w:rPr>
                <w:rFonts w:ascii="Times New Roman" w:hAnsi="Times New Roman" w:cs="Times New Roman"/>
                <w:b/>
                <w:bCs/>
                <w:sz w:val="18"/>
                <w:szCs w:val="18"/>
              </w:rPr>
              <w:t>业绩值</w:t>
            </w:r>
          </w:p>
        </w:tc>
        <w:tc>
          <w:tcPr>
            <w:tcW w:w="1276" w:type="dxa"/>
            <w:tcBorders>
              <w:top w:val="single" w:color="000000" w:sz="4" w:space="0"/>
              <w:left w:val="nil"/>
              <w:bottom w:val="single" w:color="000000" w:sz="4" w:space="0"/>
              <w:right w:val="single" w:color="000000" w:sz="4" w:space="0"/>
            </w:tcBorders>
            <w:vAlign w:val="center"/>
          </w:tcPr>
          <w:p w14:paraId="75A51D41">
            <w:pPr>
              <w:pStyle w:val="24"/>
              <w:spacing w:before="94" w:line="200" w:lineRule="exact"/>
              <w:ind w:left="151" w:right="139"/>
              <w:rPr>
                <w:rFonts w:ascii="Times New Roman" w:hAnsi="Times New Roman" w:cs="Times New Roman"/>
                <w:b/>
                <w:bCs/>
                <w:sz w:val="18"/>
                <w:szCs w:val="18"/>
              </w:rPr>
            </w:pPr>
            <w:r>
              <w:rPr>
                <w:rFonts w:ascii="Times New Roman" w:hAnsi="Times New Roman" w:cs="Times New Roman"/>
                <w:b/>
                <w:bCs/>
                <w:sz w:val="18"/>
                <w:szCs w:val="18"/>
              </w:rPr>
              <w:t>实际得分</w:t>
            </w:r>
          </w:p>
        </w:tc>
      </w:tr>
      <w:tr w14:paraId="3274D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390" w:type="dxa"/>
            <w:tcBorders>
              <w:top w:val="single" w:color="000000" w:sz="4" w:space="0"/>
              <w:left w:val="single" w:color="000000" w:sz="4" w:space="0"/>
              <w:bottom w:val="single" w:color="000000" w:sz="4" w:space="0"/>
              <w:right w:val="single" w:color="000000" w:sz="4" w:space="0"/>
            </w:tcBorders>
            <w:vAlign w:val="center"/>
          </w:tcPr>
          <w:p w14:paraId="1271BFEF">
            <w:pPr>
              <w:pStyle w:val="24"/>
              <w:spacing w:before="94" w:line="200" w:lineRule="exact"/>
              <w:ind w:left="107"/>
              <w:jc w:val="left"/>
              <w:rPr>
                <w:rFonts w:ascii="Times New Roman" w:hAnsi="Times New Roman" w:cs="Times New Roman"/>
                <w:sz w:val="18"/>
                <w:szCs w:val="18"/>
              </w:rPr>
            </w:pPr>
            <w:bookmarkStart w:id="70" w:name="_Hlk47862449"/>
            <w:r>
              <w:rPr>
                <w:rFonts w:ascii="Times New Roman" w:hAnsi="Times New Roman" w:cs="Times New Roman"/>
                <w:sz w:val="18"/>
                <w:szCs w:val="18"/>
              </w:rPr>
              <w:t>A11.与部门中长期规划目标适应性</w:t>
            </w:r>
            <w:bookmarkEnd w:id="70"/>
          </w:p>
        </w:tc>
        <w:tc>
          <w:tcPr>
            <w:tcW w:w="1275" w:type="dxa"/>
            <w:tcBorders>
              <w:top w:val="single" w:color="000000" w:sz="4" w:space="0"/>
              <w:left w:val="nil"/>
              <w:bottom w:val="single" w:color="000000" w:sz="4" w:space="0"/>
              <w:right w:val="single" w:color="000000" w:sz="4" w:space="0"/>
            </w:tcBorders>
            <w:vAlign w:val="center"/>
          </w:tcPr>
          <w:p w14:paraId="6AC4B0DE">
            <w:pPr>
              <w:pStyle w:val="24"/>
              <w:spacing w:line="200" w:lineRule="exact"/>
              <w:jc w:val="left"/>
              <w:rPr>
                <w:rFonts w:ascii="Times New Roman" w:hAnsi="Times New Roman" w:cs="Times New Roman"/>
                <w:sz w:val="18"/>
                <w:szCs w:val="18"/>
              </w:rPr>
            </w:pPr>
          </w:p>
        </w:tc>
        <w:tc>
          <w:tcPr>
            <w:tcW w:w="1985" w:type="dxa"/>
            <w:tcBorders>
              <w:top w:val="single" w:color="000000" w:sz="4" w:space="0"/>
              <w:left w:val="nil"/>
              <w:bottom w:val="single" w:color="000000" w:sz="4" w:space="0"/>
              <w:right w:val="single" w:color="000000" w:sz="4" w:space="0"/>
            </w:tcBorders>
            <w:vAlign w:val="center"/>
          </w:tcPr>
          <w:p w14:paraId="4AC91584">
            <w:pPr>
              <w:pStyle w:val="24"/>
              <w:spacing w:line="200" w:lineRule="exact"/>
              <w:jc w:val="left"/>
              <w:rPr>
                <w:rFonts w:ascii="Times New Roman" w:hAnsi="Times New Roman" w:cs="Times New Roman"/>
                <w:sz w:val="18"/>
                <w:szCs w:val="18"/>
              </w:rPr>
            </w:pPr>
          </w:p>
        </w:tc>
        <w:tc>
          <w:tcPr>
            <w:tcW w:w="1276" w:type="dxa"/>
            <w:tcBorders>
              <w:top w:val="single" w:color="000000" w:sz="4" w:space="0"/>
              <w:left w:val="nil"/>
              <w:bottom w:val="single" w:color="000000" w:sz="4" w:space="0"/>
              <w:right w:val="single" w:color="000000" w:sz="4" w:space="0"/>
            </w:tcBorders>
            <w:vAlign w:val="center"/>
          </w:tcPr>
          <w:p w14:paraId="1EB139CD">
            <w:pPr>
              <w:pStyle w:val="24"/>
              <w:spacing w:line="200" w:lineRule="exact"/>
              <w:jc w:val="left"/>
              <w:rPr>
                <w:rFonts w:ascii="Times New Roman" w:hAnsi="Times New Roman" w:cs="Times New Roman"/>
                <w:sz w:val="18"/>
                <w:szCs w:val="18"/>
              </w:rPr>
            </w:pPr>
          </w:p>
        </w:tc>
      </w:tr>
      <w:tr w14:paraId="165D0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390" w:type="dxa"/>
            <w:tcBorders>
              <w:top w:val="single" w:color="000000" w:sz="4" w:space="0"/>
              <w:left w:val="single" w:color="000000" w:sz="4" w:space="0"/>
              <w:bottom w:val="single" w:color="000000" w:sz="4" w:space="0"/>
              <w:right w:val="single" w:color="000000" w:sz="4" w:space="0"/>
            </w:tcBorders>
            <w:vAlign w:val="center"/>
          </w:tcPr>
          <w:p w14:paraId="2B48B25B">
            <w:pPr>
              <w:pStyle w:val="24"/>
              <w:spacing w:before="77" w:line="200" w:lineRule="exact"/>
              <w:ind w:left="107" w:right="139" w:firstLine="419"/>
              <w:jc w:val="left"/>
              <w:rPr>
                <w:rFonts w:ascii="Times New Roman" w:hAnsi="Times New Roman" w:cs="Times New Roman"/>
                <w:sz w:val="18"/>
                <w:szCs w:val="18"/>
              </w:rPr>
            </w:pPr>
            <w:bookmarkStart w:id="71" w:name="_Hlk47862591"/>
            <w:r>
              <w:rPr>
                <w:rFonts w:ascii="Times New Roman" w:hAnsi="Times New Roman" w:cs="Times New Roman"/>
                <w:sz w:val="18"/>
                <w:szCs w:val="18"/>
              </w:rPr>
              <w:t>A111.与部门中长期规划目标匹配性</w:t>
            </w:r>
            <w:bookmarkEnd w:id="71"/>
          </w:p>
        </w:tc>
        <w:tc>
          <w:tcPr>
            <w:tcW w:w="1275" w:type="dxa"/>
            <w:tcBorders>
              <w:top w:val="single" w:color="000000" w:sz="4" w:space="0"/>
              <w:left w:val="nil"/>
              <w:bottom w:val="single" w:color="000000" w:sz="4" w:space="0"/>
              <w:right w:val="single" w:color="000000" w:sz="4" w:space="0"/>
            </w:tcBorders>
            <w:vAlign w:val="center"/>
          </w:tcPr>
          <w:p w14:paraId="68922161">
            <w:pPr>
              <w:pStyle w:val="24"/>
              <w:spacing w:before="1" w:line="200" w:lineRule="exact"/>
              <w:ind w:left="6"/>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.00</w:t>
            </w:r>
          </w:p>
        </w:tc>
        <w:tc>
          <w:tcPr>
            <w:tcW w:w="1985" w:type="dxa"/>
            <w:tcBorders>
              <w:top w:val="single" w:color="000000" w:sz="4" w:space="0"/>
              <w:left w:val="nil"/>
              <w:bottom w:val="single" w:color="000000" w:sz="4" w:space="0"/>
              <w:right w:val="single" w:color="000000" w:sz="4" w:space="0"/>
            </w:tcBorders>
            <w:vAlign w:val="center"/>
          </w:tcPr>
          <w:p w14:paraId="58BDD5CC">
            <w:pPr>
              <w:pStyle w:val="24"/>
              <w:spacing w:line="200" w:lineRule="exact"/>
              <w:ind w:left="252" w:right="242"/>
              <w:rPr>
                <w:rFonts w:ascii="Times New Roman" w:hAnsi="Times New Roman" w:cs="Times New Roman"/>
                <w:sz w:val="18"/>
                <w:szCs w:val="18"/>
              </w:rPr>
            </w:pPr>
            <w:r>
              <w:rPr>
                <w:rFonts w:ascii="Times New Roman" w:hAnsi="Times New Roman" w:cs="Times New Roman"/>
                <w:sz w:val="18"/>
                <w:szCs w:val="18"/>
              </w:rPr>
              <w:t>匹配</w:t>
            </w:r>
          </w:p>
        </w:tc>
        <w:tc>
          <w:tcPr>
            <w:tcW w:w="1276" w:type="dxa"/>
            <w:tcBorders>
              <w:top w:val="single" w:color="000000" w:sz="4" w:space="0"/>
              <w:left w:val="nil"/>
              <w:bottom w:val="single" w:color="000000" w:sz="4" w:space="0"/>
              <w:right w:val="single" w:color="000000" w:sz="4" w:space="0"/>
            </w:tcBorders>
            <w:vAlign w:val="center"/>
          </w:tcPr>
          <w:p w14:paraId="515CCB4C">
            <w:pPr>
              <w:pStyle w:val="24"/>
              <w:spacing w:before="1" w:line="200" w:lineRule="exact"/>
              <w:ind w:left="151" w:right="139"/>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.00</w:t>
            </w:r>
          </w:p>
        </w:tc>
      </w:tr>
      <w:tr w14:paraId="5084B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390" w:type="dxa"/>
            <w:tcBorders>
              <w:top w:val="single" w:color="000000" w:sz="4" w:space="0"/>
              <w:left w:val="single" w:color="000000" w:sz="4" w:space="0"/>
              <w:bottom w:val="single" w:color="000000" w:sz="4" w:space="0"/>
              <w:right w:val="single" w:color="000000" w:sz="4" w:space="0"/>
            </w:tcBorders>
            <w:vAlign w:val="center"/>
          </w:tcPr>
          <w:p w14:paraId="142D9ADB">
            <w:pPr>
              <w:pStyle w:val="24"/>
              <w:spacing w:before="95" w:line="200" w:lineRule="exact"/>
              <w:ind w:right="1820"/>
              <w:jc w:val="both"/>
              <w:rPr>
                <w:rFonts w:ascii="Times New Roman" w:hAnsi="Times New Roman" w:cs="Times New Roman"/>
                <w:sz w:val="18"/>
                <w:szCs w:val="18"/>
              </w:rPr>
            </w:pPr>
            <w:r>
              <w:rPr>
                <w:rFonts w:ascii="Times New Roman" w:hAnsi="Times New Roman" w:cs="Times New Roman"/>
                <w:sz w:val="18"/>
                <w:szCs w:val="18"/>
              </w:rPr>
              <w:t>A12.</w:t>
            </w:r>
            <w:r>
              <w:rPr>
                <w:rFonts w:hint="eastAsia" w:ascii="Times New Roman" w:hAnsi="Times New Roman" w:cs="Times New Roman"/>
                <w:sz w:val="18"/>
                <w:szCs w:val="18"/>
              </w:rPr>
              <w:t>立项依据充分性</w:t>
            </w:r>
          </w:p>
        </w:tc>
        <w:tc>
          <w:tcPr>
            <w:tcW w:w="1275" w:type="dxa"/>
            <w:tcBorders>
              <w:top w:val="single" w:color="000000" w:sz="4" w:space="0"/>
              <w:left w:val="nil"/>
              <w:bottom w:val="single" w:color="000000" w:sz="4" w:space="0"/>
              <w:right w:val="single" w:color="000000" w:sz="4" w:space="0"/>
            </w:tcBorders>
            <w:vAlign w:val="center"/>
          </w:tcPr>
          <w:p w14:paraId="228C23B8">
            <w:pPr>
              <w:pStyle w:val="24"/>
              <w:spacing w:before="106" w:line="200" w:lineRule="exact"/>
              <w:ind w:left="6"/>
              <w:rPr>
                <w:rFonts w:ascii="Times New Roman" w:hAnsi="Times New Roman" w:cs="Times New Roman"/>
                <w:sz w:val="18"/>
                <w:szCs w:val="18"/>
              </w:rPr>
            </w:pPr>
          </w:p>
        </w:tc>
        <w:tc>
          <w:tcPr>
            <w:tcW w:w="1985" w:type="dxa"/>
            <w:tcBorders>
              <w:top w:val="single" w:color="000000" w:sz="4" w:space="0"/>
              <w:left w:val="nil"/>
              <w:bottom w:val="single" w:color="000000" w:sz="4" w:space="0"/>
              <w:right w:val="single" w:color="000000" w:sz="4" w:space="0"/>
            </w:tcBorders>
            <w:vAlign w:val="center"/>
          </w:tcPr>
          <w:p w14:paraId="304581D7">
            <w:pPr>
              <w:pStyle w:val="24"/>
              <w:spacing w:before="95" w:line="200" w:lineRule="exact"/>
              <w:ind w:left="252" w:right="242"/>
              <w:rPr>
                <w:rFonts w:ascii="Times New Roman" w:hAnsi="Times New Roman" w:cs="Times New Roman"/>
                <w:sz w:val="18"/>
                <w:szCs w:val="18"/>
              </w:rPr>
            </w:pPr>
          </w:p>
        </w:tc>
        <w:tc>
          <w:tcPr>
            <w:tcW w:w="1276" w:type="dxa"/>
            <w:tcBorders>
              <w:top w:val="single" w:color="000000" w:sz="4" w:space="0"/>
              <w:left w:val="nil"/>
              <w:bottom w:val="single" w:color="000000" w:sz="4" w:space="0"/>
              <w:right w:val="single" w:color="000000" w:sz="4" w:space="0"/>
            </w:tcBorders>
            <w:vAlign w:val="center"/>
          </w:tcPr>
          <w:p w14:paraId="1BE52DFE">
            <w:pPr>
              <w:pStyle w:val="24"/>
              <w:spacing w:before="106" w:line="200" w:lineRule="exact"/>
              <w:ind w:left="151" w:right="139"/>
              <w:rPr>
                <w:rFonts w:ascii="Times New Roman" w:hAnsi="Times New Roman" w:cs="Times New Roman"/>
                <w:sz w:val="18"/>
                <w:szCs w:val="18"/>
              </w:rPr>
            </w:pPr>
          </w:p>
        </w:tc>
      </w:tr>
      <w:tr w14:paraId="72399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390" w:type="dxa"/>
            <w:tcBorders>
              <w:top w:val="single" w:color="000000" w:sz="4" w:space="0"/>
              <w:left w:val="single" w:color="000000" w:sz="4" w:space="0"/>
              <w:bottom w:val="single" w:color="000000" w:sz="4" w:space="0"/>
              <w:right w:val="single" w:color="000000" w:sz="4" w:space="0"/>
            </w:tcBorders>
            <w:vAlign w:val="center"/>
          </w:tcPr>
          <w:p w14:paraId="12E5137F">
            <w:pPr>
              <w:pStyle w:val="24"/>
              <w:spacing w:before="94" w:line="200" w:lineRule="exact"/>
              <w:ind w:left="107"/>
              <w:jc w:val="left"/>
              <w:rPr>
                <w:rFonts w:ascii="Times New Roman" w:hAnsi="Times New Roman" w:cs="Times New Roman"/>
                <w:sz w:val="18"/>
                <w:szCs w:val="18"/>
              </w:rPr>
            </w:pPr>
            <w:bookmarkStart w:id="72" w:name="_Hlk47864042"/>
            <w:r>
              <w:rPr>
                <w:rFonts w:ascii="Times New Roman" w:hAnsi="Times New Roman" w:cs="Times New Roman"/>
                <w:sz w:val="18"/>
                <w:szCs w:val="18"/>
              </w:rPr>
              <w:t xml:space="preserve">    A121.</w:t>
            </w:r>
            <w:r>
              <w:rPr>
                <w:rFonts w:hint="eastAsia" w:ascii="Times New Roman" w:hAnsi="Times New Roman" w:cs="Times New Roman"/>
                <w:sz w:val="18"/>
                <w:szCs w:val="18"/>
              </w:rPr>
              <w:t>与市政府相关规划、决策匹配性</w:t>
            </w:r>
          </w:p>
        </w:tc>
        <w:tc>
          <w:tcPr>
            <w:tcW w:w="1275" w:type="dxa"/>
            <w:tcBorders>
              <w:top w:val="single" w:color="000000" w:sz="4" w:space="0"/>
              <w:left w:val="nil"/>
              <w:bottom w:val="single" w:color="000000" w:sz="4" w:space="0"/>
              <w:right w:val="single" w:color="000000" w:sz="4" w:space="0"/>
            </w:tcBorders>
            <w:vAlign w:val="center"/>
          </w:tcPr>
          <w:p w14:paraId="3CD8637B">
            <w:pPr>
              <w:pStyle w:val="24"/>
              <w:spacing w:line="200" w:lineRule="exact"/>
              <w:rPr>
                <w:rFonts w:ascii="Times New Roman" w:hAnsi="Times New Roman" w:cs="Times New Roman"/>
                <w:sz w:val="18"/>
                <w:szCs w:val="18"/>
              </w:rPr>
            </w:pPr>
            <w:r>
              <w:rPr>
                <w:rFonts w:hint="eastAsia" w:ascii="Times New Roman" w:hAnsi="Times New Roman" w:cs="Times New Roman"/>
                <w:sz w:val="18"/>
                <w:szCs w:val="18"/>
              </w:rPr>
              <w:t>2.</w:t>
            </w:r>
            <w:r>
              <w:rPr>
                <w:rFonts w:ascii="Times New Roman" w:hAnsi="Times New Roman" w:cs="Times New Roman"/>
                <w:sz w:val="18"/>
                <w:szCs w:val="18"/>
              </w:rPr>
              <w:t>00</w:t>
            </w:r>
          </w:p>
        </w:tc>
        <w:tc>
          <w:tcPr>
            <w:tcW w:w="1985" w:type="dxa"/>
            <w:tcBorders>
              <w:top w:val="single" w:color="000000" w:sz="4" w:space="0"/>
              <w:left w:val="nil"/>
              <w:bottom w:val="single" w:color="000000" w:sz="4" w:space="0"/>
              <w:right w:val="single" w:color="000000" w:sz="4" w:space="0"/>
            </w:tcBorders>
            <w:vAlign w:val="center"/>
          </w:tcPr>
          <w:p w14:paraId="50A66D84">
            <w:pPr>
              <w:pStyle w:val="24"/>
              <w:spacing w:line="200" w:lineRule="exact"/>
              <w:rPr>
                <w:rFonts w:ascii="Times New Roman" w:hAnsi="Times New Roman" w:cs="Times New Roman"/>
                <w:sz w:val="18"/>
                <w:szCs w:val="18"/>
              </w:rPr>
            </w:pPr>
            <w:r>
              <w:rPr>
                <w:rFonts w:ascii="Times New Roman" w:hAnsi="Times New Roman" w:cs="Times New Roman"/>
                <w:sz w:val="18"/>
                <w:szCs w:val="18"/>
              </w:rPr>
              <w:t>匹配</w:t>
            </w:r>
          </w:p>
        </w:tc>
        <w:tc>
          <w:tcPr>
            <w:tcW w:w="1276" w:type="dxa"/>
            <w:tcBorders>
              <w:top w:val="single" w:color="000000" w:sz="4" w:space="0"/>
              <w:left w:val="nil"/>
              <w:bottom w:val="single" w:color="000000" w:sz="4" w:space="0"/>
              <w:right w:val="single" w:color="000000" w:sz="4" w:space="0"/>
            </w:tcBorders>
            <w:vAlign w:val="center"/>
          </w:tcPr>
          <w:p w14:paraId="386C4E49">
            <w:pPr>
              <w:pStyle w:val="24"/>
              <w:spacing w:line="200" w:lineRule="exact"/>
              <w:rPr>
                <w:rFonts w:ascii="Times New Roman" w:hAnsi="Times New Roman" w:cs="Times New Roman"/>
                <w:sz w:val="18"/>
                <w:szCs w:val="18"/>
              </w:rPr>
            </w:pPr>
            <w:r>
              <w:rPr>
                <w:rFonts w:hint="eastAsia" w:ascii="Times New Roman" w:hAnsi="Times New Roman" w:cs="Times New Roman"/>
                <w:sz w:val="18"/>
                <w:szCs w:val="18"/>
              </w:rPr>
              <w:t>2</w:t>
            </w:r>
            <w:r>
              <w:rPr>
                <w:rFonts w:ascii="Times New Roman" w:hAnsi="Times New Roman" w:cs="Times New Roman"/>
                <w:sz w:val="18"/>
                <w:szCs w:val="18"/>
              </w:rPr>
              <w:t>.00</w:t>
            </w:r>
          </w:p>
        </w:tc>
      </w:tr>
      <w:tr w14:paraId="1205F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390" w:type="dxa"/>
            <w:tcBorders>
              <w:top w:val="single" w:color="000000" w:sz="4" w:space="0"/>
              <w:left w:val="single" w:color="000000" w:sz="4" w:space="0"/>
              <w:bottom w:val="single" w:color="000000" w:sz="4" w:space="0"/>
              <w:right w:val="single" w:color="000000" w:sz="4" w:space="0"/>
            </w:tcBorders>
            <w:vAlign w:val="center"/>
          </w:tcPr>
          <w:p w14:paraId="1A80239E">
            <w:pPr>
              <w:pStyle w:val="24"/>
              <w:spacing w:before="92" w:line="200" w:lineRule="exact"/>
              <w:ind w:right="1190"/>
              <w:jc w:val="both"/>
              <w:rPr>
                <w:rFonts w:ascii="Times New Roman" w:hAnsi="Times New Roman" w:cs="Times New Roman"/>
                <w:sz w:val="18"/>
                <w:szCs w:val="18"/>
              </w:rPr>
            </w:pPr>
            <w:r>
              <w:rPr>
                <w:rFonts w:ascii="Times New Roman" w:hAnsi="Times New Roman" w:cs="Times New Roman"/>
                <w:sz w:val="18"/>
                <w:szCs w:val="18"/>
              </w:rPr>
              <w:t xml:space="preserve">     A122.</w:t>
            </w:r>
            <w:r>
              <w:rPr>
                <w:rFonts w:hint="eastAsia" w:ascii="Times New Roman" w:hAnsi="Times New Roman" w:cs="Times New Roman"/>
                <w:sz w:val="18"/>
                <w:szCs w:val="18"/>
              </w:rPr>
              <w:t>与部门职责适应性</w:t>
            </w:r>
          </w:p>
        </w:tc>
        <w:tc>
          <w:tcPr>
            <w:tcW w:w="1275" w:type="dxa"/>
            <w:tcBorders>
              <w:top w:val="single" w:color="000000" w:sz="4" w:space="0"/>
              <w:left w:val="nil"/>
              <w:bottom w:val="single" w:color="000000" w:sz="4" w:space="0"/>
              <w:right w:val="single" w:color="000000" w:sz="4" w:space="0"/>
            </w:tcBorders>
            <w:vAlign w:val="center"/>
          </w:tcPr>
          <w:p w14:paraId="6BA70025">
            <w:pPr>
              <w:pStyle w:val="24"/>
              <w:spacing w:before="103" w:line="200" w:lineRule="exact"/>
              <w:ind w:left="6"/>
              <w:rPr>
                <w:rFonts w:ascii="Times New Roman" w:hAnsi="Times New Roman" w:cs="Times New Roman"/>
                <w:sz w:val="18"/>
                <w:szCs w:val="18"/>
              </w:rPr>
            </w:pPr>
            <w:r>
              <w:rPr>
                <w:rFonts w:hint="eastAsia" w:ascii="Times New Roman" w:hAnsi="Times New Roman" w:cs="Times New Roman"/>
                <w:sz w:val="18"/>
                <w:szCs w:val="18"/>
              </w:rPr>
              <w:t>2.</w:t>
            </w:r>
            <w:r>
              <w:rPr>
                <w:rFonts w:ascii="Times New Roman" w:hAnsi="Times New Roman" w:cs="Times New Roman"/>
                <w:sz w:val="18"/>
                <w:szCs w:val="18"/>
              </w:rPr>
              <w:t>00</w:t>
            </w:r>
          </w:p>
        </w:tc>
        <w:tc>
          <w:tcPr>
            <w:tcW w:w="1985" w:type="dxa"/>
            <w:tcBorders>
              <w:top w:val="single" w:color="000000" w:sz="4" w:space="0"/>
              <w:left w:val="nil"/>
              <w:bottom w:val="single" w:color="000000" w:sz="4" w:space="0"/>
              <w:right w:val="single" w:color="000000" w:sz="4" w:space="0"/>
            </w:tcBorders>
            <w:vAlign w:val="center"/>
          </w:tcPr>
          <w:p w14:paraId="3CE182D6">
            <w:pPr>
              <w:pStyle w:val="24"/>
              <w:spacing w:before="92" w:line="200" w:lineRule="exact"/>
              <w:ind w:left="252" w:right="242"/>
              <w:rPr>
                <w:rFonts w:ascii="Times New Roman" w:hAnsi="Times New Roman" w:cs="Times New Roman"/>
                <w:sz w:val="18"/>
                <w:szCs w:val="18"/>
              </w:rPr>
            </w:pPr>
            <w:r>
              <w:rPr>
                <w:rFonts w:hint="eastAsia" w:ascii="Times New Roman" w:hAnsi="Times New Roman" w:cs="Times New Roman"/>
                <w:sz w:val="18"/>
                <w:szCs w:val="18"/>
              </w:rPr>
              <w:t>适应</w:t>
            </w:r>
          </w:p>
        </w:tc>
        <w:tc>
          <w:tcPr>
            <w:tcW w:w="1276" w:type="dxa"/>
            <w:tcBorders>
              <w:top w:val="single" w:color="000000" w:sz="4" w:space="0"/>
              <w:left w:val="nil"/>
              <w:bottom w:val="single" w:color="000000" w:sz="4" w:space="0"/>
              <w:right w:val="single" w:color="000000" w:sz="4" w:space="0"/>
            </w:tcBorders>
            <w:vAlign w:val="center"/>
          </w:tcPr>
          <w:p w14:paraId="64C0466C">
            <w:pPr>
              <w:pStyle w:val="24"/>
              <w:spacing w:before="103" w:line="200" w:lineRule="exact"/>
              <w:ind w:left="151" w:right="139"/>
              <w:rPr>
                <w:rFonts w:ascii="Times New Roman" w:hAnsi="Times New Roman" w:cs="Times New Roman"/>
                <w:sz w:val="18"/>
                <w:szCs w:val="18"/>
              </w:rPr>
            </w:pPr>
            <w:r>
              <w:rPr>
                <w:rFonts w:hint="eastAsia" w:ascii="Times New Roman" w:hAnsi="Times New Roman" w:cs="Times New Roman"/>
                <w:sz w:val="18"/>
                <w:szCs w:val="18"/>
              </w:rPr>
              <w:t>2</w:t>
            </w:r>
            <w:r>
              <w:rPr>
                <w:rFonts w:ascii="Times New Roman" w:hAnsi="Times New Roman" w:cs="Times New Roman"/>
                <w:sz w:val="18"/>
                <w:szCs w:val="18"/>
              </w:rPr>
              <w:t>.00</w:t>
            </w:r>
          </w:p>
        </w:tc>
      </w:tr>
      <w:tr w14:paraId="55940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390" w:type="dxa"/>
            <w:tcBorders>
              <w:top w:val="single" w:color="000000" w:sz="4" w:space="0"/>
              <w:left w:val="single" w:color="000000" w:sz="4" w:space="0"/>
              <w:bottom w:val="single" w:color="000000" w:sz="4" w:space="0"/>
              <w:right w:val="single" w:color="000000" w:sz="4" w:space="0"/>
            </w:tcBorders>
            <w:vAlign w:val="center"/>
          </w:tcPr>
          <w:p w14:paraId="0D1F920A">
            <w:pPr>
              <w:pStyle w:val="24"/>
              <w:spacing w:before="94" w:line="200" w:lineRule="exact"/>
              <w:ind w:right="1409"/>
              <w:jc w:val="both"/>
              <w:rPr>
                <w:rFonts w:ascii="Times New Roman" w:hAnsi="Times New Roman" w:cs="Times New Roman"/>
                <w:sz w:val="18"/>
                <w:szCs w:val="18"/>
              </w:rPr>
            </w:pPr>
            <w:r>
              <w:rPr>
                <w:rFonts w:hint="eastAsia" w:ascii="Times New Roman" w:hAnsi="Times New Roman" w:cs="Times New Roman"/>
                <w:sz w:val="18"/>
                <w:szCs w:val="18"/>
              </w:rPr>
              <w:t>A</w:t>
            </w:r>
            <w:r>
              <w:rPr>
                <w:rFonts w:ascii="Times New Roman" w:hAnsi="Times New Roman" w:cs="Times New Roman"/>
                <w:sz w:val="18"/>
                <w:szCs w:val="18"/>
              </w:rPr>
              <w:t>13.</w:t>
            </w:r>
            <w:r>
              <w:rPr>
                <w:rFonts w:hint="eastAsia" w:ascii="Times New Roman" w:hAnsi="Times New Roman" w:cs="Times New Roman"/>
                <w:sz w:val="18"/>
                <w:szCs w:val="18"/>
              </w:rPr>
              <w:t>项目立项规范性</w:t>
            </w:r>
          </w:p>
        </w:tc>
        <w:tc>
          <w:tcPr>
            <w:tcW w:w="1275" w:type="dxa"/>
            <w:tcBorders>
              <w:top w:val="single" w:color="000000" w:sz="4" w:space="0"/>
              <w:left w:val="nil"/>
              <w:bottom w:val="single" w:color="000000" w:sz="4" w:space="0"/>
              <w:right w:val="single" w:color="000000" w:sz="4" w:space="0"/>
            </w:tcBorders>
            <w:vAlign w:val="center"/>
          </w:tcPr>
          <w:p w14:paraId="747295B4">
            <w:pPr>
              <w:pStyle w:val="24"/>
              <w:spacing w:before="106" w:line="200" w:lineRule="exact"/>
              <w:ind w:left="6"/>
              <w:rPr>
                <w:rFonts w:ascii="Times New Roman" w:hAnsi="Times New Roman" w:cs="Times New Roman"/>
                <w:sz w:val="18"/>
                <w:szCs w:val="18"/>
              </w:rPr>
            </w:pPr>
          </w:p>
        </w:tc>
        <w:tc>
          <w:tcPr>
            <w:tcW w:w="1985" w:type="dxa"/>
            <w:tcBorders>
              <w:top w:val="single" w:color="000000" w:sz="4" w:space="0"/>
              <w:left w:val="nil"/>
              <w:bottom w:val="single" w:color="000000" w:sz="4" w:space="0"/>
              <w:right w:val="single" w:color="000000" w:sz="4" w:space="0"/>
            </w:tcBorders>
            <w:vAlign w:val="center"/>
          </w:tcPr>
          <w:p w14:paraId="0D4BF242">
            <w:pPr>
              <w:pStyle w:val="24"/>
              <w:spacing w:line="200" w:lineRule="exact"/>
              <w:rPr>
                <w:rFonts w:ascii="Times New Roman" w:hAnsi="Times New Roman" w:cs="Times New Roman"/>
                <w:sz w:val="18"/>
                <w:szCs w:val="18"/>
              </w:rPr>
            </w:pPr>
          </w:p>
        </w:tc>
        <w:tc>
          <w:tcPr>
            <w:tcW w:w="1276" w:type="dxa"/>
            <w:tcBorders>
              <w:top w:val="single" w:color="000000" w:sz="4" w:space="0"/>
              <w:left w:val="nil"/>
              <w:bottom w:val="single" w:color="000000" w:sz="4" w:space="0"/>
              <w:right w:val="single" w:color="000000" w:sz="4" w:space="0"/>
            </w:tcBorders>
            <w:vAlign w:val="center"/>
          </w:tcPr>
          <w:p w14:paraId="4F17DEAA">
            <w:pPr>
              <w:pStyle w:val="24"/>
              <w:spacing w:before="106" w:line="200" w:lineRule="exact"/>
              <w:ind w:left="151" w:right="138"/>
              <w:rPr>
                <w:rFonts w:ascii="Times New Roman" w:hAnsi="Times New Roman" w:cs="Times New Roman"/>
                <w:sz w:val="18"/>
                <w:szCs w:val="18"/>
              </w:rPr>
            </w:pPr>
          </w:p>
        </w:tc>
      </w:tr>
      <w:tr w14:paraId="46043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390" w:type="dxa"/>
            <w:tcBorders>
              <w:top w:val="single" w:color="000000" w:sz="4" w:space="0"/>
              <w:left w:val="single" w:color="000000" w:sz="4" w:space="0"/>
              <w:bottom w:val="single" w:color="000000" w:sz="4" w:space="0"/>
              <w:right w:val="single" w:color="000000" w:sz="4" w:space="0"/>
            </w:tcBorders>
            <w:vAlign w:val="center"/>
          </w:tcPr>
          <w:p w14:paraId="594678CB">
            <w:pPr>
              <w:pStyle w:val="24"/>
              <w:spacing w:before="94" w:line="200" w:lineRule="exact"/>
              <w:ind w:right="1409" w:firstLine="360" w:firstLineChars="200"/>
              <w:jc w:val="both"/>
              <w:rPr>
                <w:rFonts w:ascii="Times New Roman" w:hAnsi="Times New Roman" w:cs="Times New Roman"/>
                <w:sz w:val="18"/>
                <w:szCs w:val="18"/>
              </w:rPr>
            </w:pPr>
            <w:r>
              <w:rPr>
                <w:rFonts w:hint="eastAsia" w:ascii="Times New Roman" w:hAnsi="Times New Roman" w:cs="Times New Roman"/>
                <w:sz w:val="18"/>
                <w:szCs w:val="18"/>
              </w:rPr>
              <w:t>A</w:t>
            </w:r>
            <w:r>
              <w:rPr>
                <w:rFonts w:ascii="Times New Roman" w:hAnsi="Times New Roman" w:cs="Times New Roman"/>
                <w:sz w:val="18"/>
                <w:szCs w:val="18"/>
              </w:rPr>
              <w:t>131.</w:t>
            </w:r>
            <w:r>
              <w:rPr>
                <w:rFonts w:hint="eastAsia" w:ascii="Times New Roman" w:hAnsi="Times New Roman" w:cs="Times New Roman"/>
                <w:sz w:val="18"/>
                <w:szCs w:val="18"/>
              </w:rPr>
              <w:t>前期调研情况</w:t>
            </w:r>
          </w:p>
        </w:tc>
        <w:tc>
          <w:tcPr>
            <w:tcW w:w="1275" w:type="dxa"/>
            <w:tcBorders>
              <w:top w:val="single" w:color="000000" w:sz="4" w:space="0"/>
              <w:left w:val="nil"/>
              <w:bottom w:val="single" w:color="000000" w:sz="4" w:space="0"/>
              <w:right w:val="single" w:color="000000" w:sz="4" w:space="0"/>
            </w:tcBorders>
            <w:vAlign w:val="center"/>
          </w:tcPr>
          <w:p w14:paraId="0AB27090">
            <w:pPr>
              <w:pStyle w:val="24"/>
              <w:spacing w:before="106" w:line="200" w:lineRule="exact"/>
              <w:ind w:left="6"/>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.00</w:t>
            </w:r>
          </w:p>
        </w:tc>
        <w:tc>
          <w:tcPr>
            <w:tcW w:w="1985" w:type="dxa"/>
            <w:tcBorders>
              <w:top w:val="single" w:color="000000" w:sz="4" w:space="0"/>
              <w:left w:val="nil"/>
              <w:bottom w:val="single" w:color="000000" w:sz="4" w:space="0"/>
              <w:right w:val="single" w:color="000000" w:sz="4" w:space="0"/>
            </w:tcBorders>
            <w:vAlign w:val="center"/>
          </w:tcPr>
          <w:p w14:paraId="01607881">
            <w:pPr>
              <w:pStyle w:val="24"/>
              <w:spacing w:line="200" w:lineRule="exact"/>
              <w:rPr>
                <w:rFonts w:ascii="Times New Roman" w:hAnsi="Times New Roman" w:cs="Times New Roman"/>
                <w:sz w:val="18"/>
                <w:szCs w:val="18"/>
              </w:rPr>
            </w:pPr>
            <w:r>
              <w:rPr>
                <w:rFonts w:hint="eastAsia" w:ascii="Times New Roman" w:hAnsi="Times New Roman" w:cs="Times New Roman"/>
                <w:sz w:val="18"/>
                <w:szCs w:val="18"/>
              </w:rPr>
              <w:t>充分</w:t>
            </w:r>
          </w:p>
        </w:tc>
        <w:tc>
          <w:tcPr>
            <w:tcW w:w="1276" w:type="dxa"/>
            <w:tcBorders>
              <w:top w:val="single" w:color="000000" w:sz="4" w:space="0"/>
              <w:left w:val="nil"/>
              <w:bottom w:val="single" w:color="000000" w:sz="4" w:space="0"/>
              <w:right w:val="single" w:color="000000" w:sz="4" w:space="0"/>
            </w:tcBorders>
            <w:vAlign w:val="center"/>
          </w:tcPr>
          <w:p w14:paraId="48489682">
            <w:pPr>
              <w:pStyle w:val="24"/>
              <w:spacing w:before="106" w:line="200" w:lineRule="exact"/>
              <w:ind w:left="151" w:right="138"/>
              <w:rPr>
                <w:rFonts w:ascii="Times New Roman" w:hAnsi="Times New Roman" w:cs="Times New Roman"/>
                <w:sz w:val="18"/>
                <w:szCs w:val="18"/>
              </w:rPr>
            </w:pPr>
            <w:r>
              <w:rPr>
                <w:rFonts w:hint="eastAsia" w:ascii="Times New Roman" w:hAnsi="Times New Roman" w:cs="Times New Roman"/>
                <w:sz w:val="18"/>
                <w:szCs w:val="18"/>
              </w:rPr>
              <w:t>1.00</w:t>
            </w:r>
          </w:p>
        </w:tc>
      </w:tr>
      <w:tr w14:paraId="4FE15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390" w:type="dxa"/>
            <w:tcBorders>
              <w:top w:val="single" w:color="000000" w:sz="4" w:space="0"/>
              <w:left w:val="single" w:color="000000" w:sz="4" w:space="0"/>
              <w:bottom w:val="single" w:color="000000" w:sz="4" w:space="0"/>
              <w:right w:val="single" w:color="000000" w:sz="4" w:space="0"/>
            </w:tcBorders>
            <w:vAlign w:val="center"/>
          </w:tcPr>
          <w:p w14:paraId="599048F6">
            <w:pPr>
              <w:pStyle w:val="24"/>
              <w:spacing w:before="94" w:line="200" w:lineRule="exact"/>
              <w:ind w:right="1409" w:firstLine="360" w:firstLineChars="200"/>
              <w:jc w:val="both"/>
              <w:rPr>
                <w:rFonts w:ascii="Times New Roman" w:hAnsi="Times New Roman" w:cs="Times New Roman"/>
                <w:sz w:val="18"/>
                <w:szCs w:val="18"/>
              </w:rPr>
            </w:pPr>
            <w:r>
              <w:rPr>
                <w:rFonts w:hint="eastAsia" w:ascii="Times New Roman" w:hAnsi="Times New Roman" w:cs="Times New Roman"/>
                <w:sz w:val="18"/>
                <w:szCs w:val="18"/>
              </w:rPr>
              <w:t>A</w:t>
            </w:r>
            <w:r>
              <w:rPr>
                <w:rFonts w:ascii="Times New Roman" w:hAnsi="Times New Roman" w:cs="Times New Roman"/>
                <w:sz w:val="18"/>
                <w:szCs w:val="18"/>
              </w:rPr>
              <w:t>132.</w:t>
            </w:r>
            <w:r>
              <w:rPr>
                <w:rFonts w:hint="eastAsia" w:ascii="Times New Roman" w:hAnsi="Times New Roman" w:cs="Times New Roman"/>
                <w:sz w:val="18"/>
                <w:szCs w:val="18"/>
              </w:rPr>
              <w:t>立项程序规范性</w:t>
            </w:r>
          </w:p>
        </w:tc>
        <w:tc>
          <w:tcPr>
            <w:tcW w:w="1275" w:type="dxa"/>
            <w:tcBorders>
              <w:top w:val="single" w:color="000000" w:sz="4" w:space="0"/>
              <w:left w:val="nil"/>
              <w:bottom w:val="single" w:color="000000" w:sz="4" w:space="0"/>
              <w:right w:val="single" w:color="000000" w:sz="4" w:space="0"/>
            </w:tcBorders>
            <w:vAlign w:val="center"/>
          </w:tcPr>
          <w:p w14:paraId="16CED1EC">
            <w:pPr>
              <w:pStyle w:val="24"/>
              <w:spacing w:before="106" w:line="200" w:lineRule="exact"/>
              <w:ind w:left="6"/>
              <w:rPr>
                <w:rFonts w:ascii="Times New Roman" w:hAnsi="Times New Roman" w:cs="Times New Roman"/>
                <w:sz w:val="18"/>
                <w:szCs w:val="18"/>
              </w:rPr>
            </w:pPr>
            <w:r>
              <w:rPr>
                <w:rFonts w:hint="eastAsia" w:ascii="Times New Roman" w:hAnsi="Times New Roman" w:cs="Times New Roman"/>
                <w:sz w:val="18"/>
                <w:szCs w:val="18"/>
              </w:rPr>
              <w:t>2</w:t>
            </w:r>
            <w:r>
              <w:rPr>
                <w:rFonts w:ascii="Times New Roman" w:hAnsi="Times New Roman" w:cs="Times New Roman"/>
                <w:sz w:val="18"/>
                <w:szCs w:val="18"/>
              </w:rPr>
              <w:t>.00</w:t>
            </w:r>
          </w:p>
        </w:tc>
        <w:tc>
          <w:tcPr>
            <w:tcW w:w="1985" w:type="dxa"/>
            <w:tcBorders>
              <w:top w:val="single" w:color="000000" w:sz="4" w:space="0"/>
              <w:left w:val="nil"/>
              <w:bottom w:val="single" w:color="000000" w:sz="4" w:space="0"/>
              <w:right w:val="single" w:color="000000" w:sz="4" w:space="0"/>
            </w:tcBorders>
            <w:vAlign w:val="center"/>
          </w:tcPr>
          <w:p w14:paraId="5382033F">
            <w:pPr>
              <w:pStyle w:val="24"/>
              <w:spacing w:line="200" w:lineRule="exact"/>
              <w:rPr>
                <w:rFonts w:ascii="Times New Roman" w:hAnsi="Times New Roman" w:cs="Times New Roman"/>
                <w:sz w:val="18"/>
                <w:szCs w:val="18"/>
              </w:rPr>
            </w:pPr>
            <w:r>
              <w:rPr>
                <w:rFonts w:hint="eastAsia" w:ascii="Times New Roman" w:hAnsi="Times New Roman" w:cs="Times New Roman"/>
                <w:sz w:val="18"/>
                <w:szCs w:val="18"/>
              </w:rPr>
              <w:t>规范</w:t>
            </w:r>
          </w:p>
        </w:tc>
        <w:tc>
          <w:tcPr>
            <w:tcW w:w="1276" w:type="dxa"/>
            <w:tcBorders>
              <w:top w:val="single" w:color="000000" w:sz="4" w:space="0"/>
              <w:left w:val="nil"/>
              <w:bottom w:val="single" w:color="000000" w:sz="4" w:space="0"/>
              <w:right w:val="single" w:color="000000" w:sz="4" w:space="0"/>
            </w:tcBorders>
            <w:vAlign w:val="center"/>
          </w:tcPr>
          <w:p w14:paraId="416540C7">
            <w:pPr>
              <w:pStyle w:val="24"/>
              <w:spacing w:before="106" w:line="200" w:lineRule="exact"/>
              <w:ind w:left="151" w:right="138"/>
              <w:rPr>
                <w:rFonts w:ascii="Times New Roman" w:hAnsi="Times New Roman" w:cs="Times New Roman"/>
                <w:sz w:val="18"/>
                <w:szCs w:val="18"/>
              </w:rPr>
            </w:pPr>
            <w:r>
              <w:rPr>
                <w:rFonts w:hint="eastAsia" w:ascii="Times New Roman" w:hAnsi="Times New Roman" w:cs="Times New Roman"/>
                <w:sz w:val="18"/>
                <w:szCs w:val="18"/>
              </w:rPr>
              <w:t>2</w:t>
            </w:r>
            <w:r>
              <w:rPr>
                <w:rFonts w:ascii="Times New Roman" w:hAnsi="Times New Roman" w:cs="Times New Roman"/>
                <w:sz w:val="18"/>
                <w:szCs w:val="18"/>
              </w:rPr>
              <w:t>.00</w:t>
            </w:r>
          </w:p>
        </w:tc>
      </w:tr>
      <w:bookmarkEnd w:id="72"/>
      <w:tr w14:paraId="3C846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390" w:type="dxa"/>
            <w:tcBorders>
              <w:top w:val="single" w:color="000000" w:sz="4" w:space="0"/>
              <w:left w:val="single" w:color="000000" w:sz="4" w:space="0"/>
              <w:bottom w:val="single" w:color="000000" w:sz="4" w:space="0"/>
              <w:right w:val="single" w:color="000000" w:sz="4" w:space="0"/>
            </w:tcBorders>
            <w:vAlign w:val="center"/>
          </w:tcPr>
          <w:p w14:paraId="3BC1ADB2">
            <w:pPr>
              <w:pStyle w:val="24"/>
              <w:spacing w:before="94" w:line="200" w:lineRule="exact"/>
              <w:ind w:right="1409"/>
              <w:jc w:val="both"/>
              <w:rPr>
                <w:rFonts w:ascii="Times New Roman" w:hAnsi="Times New Roman" w:cs="Times New Roman"/>
                <w:sz w:val="18"/>
                <w:szCs w:val="18"/>
              </w:rPr>
            </w:pPr>
            <w:r>
              <w:rPr>
                <w:rFonts w:ascii="Times New Roman" w:hAnsi="Times New Roman" w:cs="Times New Roman"/>
                <w:sz w:val="18"/>
                <w:szCs w:val="18"/>
              </w:rPr>
              <w:t>A21.绩效目标设定的合理性</w:t>
            </w:r>
          </w:p>
        </w:tc>
        <w:tc>
          <w:tcPr>
            <w:tcW w:w="1275" w:type="dxa"/>
            <w:tcBorders>
              <w:top w:val="single" w:color="000000" w:sz="4" w:space="0"/>
              <w:left w:val="nil"/>
              <w:bottom w:val="single" w:color="000000" w:sz="4" w:space="0"/>
              <w:right w:val="single" w:color="000000" w:sz="4" w:space="0"/>
            </w:tcBorders>
            <w:vAlign w:val="center"/>
          </w:tcPr>
          <w:p w14:paraId="4694ED40">
            <w:pPr>
              <w:pStyle w:val="24"/>
              <w:spacing w:before="106" w:line="200" w:lineRule="exact"/>
              <w:ind w:left="6"/>
              <w:rPr>
                <w:rFonts w:ascii="Times New Roman" w:hAnsi="Times New Roman" w:cs="Times New Roman"/>
                <w:sz w:val="18"/>
                <w:szCs w:val="18"/>
              </w:rPr>
            </w:pPr>
          </w:p>
        </w:tc>
        <w:tc>
          <w:tcPr>
            <w:tcW w:w="1985" w:type="dxa"/>
            <w:tcBorders>
              <w:top w:val="single" w:color="000000" w:sz="4" w:space="0"/>
              <w:left w:val="nil"/>
              <w:bottom w:val="single" w:color="000000" w:sz="4" w:space="0"/>
              <w:right w:val="single" w:color="000000" w:sz="4" w:space="0"/>
            </w:tcBorders>
            <w:vAlign w:val="center"/>
          </w:tcPr>
          <w:p w14:paraId="13ADB206">
            <w:pPr>
              <w:pStyle w:val="24"/>
              <w:spacing w:line="200" w:lineRule="exact"/>
              <w:rPr>
                <w:rFonts w:ascii="Times New Roman" w:hAnsi="Times New Roman" w:cs="Times New Roman"/>
                <w:sz w:val="18"/>
                <w:szCs w:val="18"/>
              </w:rPr>
            </w:pPr>
          </w:p>
        </w:tc>
        <w:tc>
          <w:tcPr>
            <w:tcW w:w="1276" w:type="dxa"/>
            <w:tcBorders>
              <w:top w:val="single" w:color="000000" w:sz="4" w:space="0"/>
              <w:left w:val="nil"/>
              <w:bottom w:val="single" w:color="000000" w:sz="4" w:space="0"/>
              <w:right w:val="single" w:color="000000" w:sz="4" w:space="0"/>
            </w:tcBorders>
            <w:vAlign w:val="center"/>
          </w:tcPr>
          <w:p w14:paraId="36EBFA7B">
            <w:pPr>
              <w:pStyle w:val="24"/>
              <w:spacing w:before="106" w:line="200" w:lineRule="exact"/>
              <w:ind w:left="151" w:right="138"/>
              <w:rPr>
                <w:rFonts w:ascii="Times New Roman" w:hAnsi="Times New Roman" w:cs="Times New Roman"/>
                <w:sz w:val="18"/>
                <w:szCs w:val="18"/>
              </w:rPr>
            </w:pPr>
          </w:p>
        </w:tc>
      </w:tr>
      <w:tr w14:paraId="14621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390" w:type="dxa"/>
            <w:tcBorders>
              <w:top w:val="single" w:color="000000" w:sz="4" w:space="0"/>
              <w:left w:val="single" w:color="000000" w:sz="4" w:space="0"/>
              <w:bottom w:val="single" w:color="000000" w:sz="4" w:space="0"/>
              <w:right w:val="single" w:color="000000" w:sz="4" w:space="0"/>
            </w:tcBorders>
            <w:vAlign w:val="center"/>
          </w:tcPr>
          <w:p w14:paraId="30276B2B">
            <w:pPr>
              <w:pStyle w:val="24"/>
              <w:spacing w:before="94" w:line="200" w:lineRule="exact"/>
              <w:ind w:right="1409" w:firstLine="360" w:firstLineChars="200"/>
              <w:jc w:val="both"/>
              <w:rPr>
                <w:rFonts w:ascii="Times New Roman" w:hAnsi="Times New Roman" w:cs="Times New Roman"/>
                <w:sz w:val="18"/>
                <w:szCs w:val="18"/>
              </w:rPr>
            </w:pPr>
            <w:r>
              <w:rPr>
                <w:rFonts w:ascii="Times New Roman" w:hAnsi="Times New Roman" w:cs="Times New Roman"/>
                <w:sz w:val="18"/>
                <w:szCs w:val="18"/>
              </w:rPr>
              <w:t>A211.绩效目标相关性</w:t>
            </w:r>
          </w:p>
        </w:tc>
        <w:tc>
          <w:tcPr>
            <w:tcW w:w="1275" w:type="dxa"/>
            <w:tcBorders>
              <w:top w:val="single" w:color="000000" w:sz="4" w:space="0"/>
              <w:left w:val="nil"/>
              <w:bottom w:val="single" w:color="000000" w:sz="4" w:space="0"/>
              <w:right w:val="single" w:color="000000" w:sz="4" w:space="0"/>
            </w:tcBorders>
            <w:vAlign w:val="center"/>
          </w:tcPr>
          <w:p w14:paraId="284B2D4F">
            <w:pPr>
              <w:pStyle w:val="24"/>
              <w:spacing w:before="106" w:line="200" w:lineRule="exact"/>
              <w:ind w:left="6"/>
              <w:rPr>
                <w:rFonts w:ascii="Times New Roman" w:hAnsi="Times New Roman" w:cs="Times New Roman"/>
                <w:sz w:val="18"/>
                <w:szCs w:val="18"/>
              </w:rPr>
            </w:pPr>
            <w:r>
              <w:rPr>
                <w:rFonts w:hint="eastAsia" w:ascii="Times New Roman" w:hAnsi="Times New Roman" w:cs="Times New Roman"/>
                <w:sz w:val="18"/>
                <w:szCs w:val="18"/>
              </w:rPr>
              <w:t>2</w:t>
            </w:r>
            <w:r>
              <w:rPr>
                <w:rFonts w:ascii="Times New Roman" w:hAnsi="Times New Roman" w:cs="Times New Roman"/>
                <w:sz w:val="18"/>
                <w:szCs w:val="18"/>
              </w:rPr>
              <w:t>.00</w:t>
            </w:r>
          </w:p>
        </w:tc>
        <w:tc>
          <w:tcPr>
            <w:tcW w:w="1985" w:type="dxa"/>
            <w:tcBorders>
              <w:top w:val="single" w:color="000000" w:sz="4" w:space="0"/>
              <w:left w:val="nil"/>
              <w:bottom w:val="single" w:color="000000" w:sz="4" w:space="0"/>
              <w:right w:val="single" w:color="000000" w:sz="4" w:space="0"/>
            </w:tcBorders>
            <w:vAlign w:val="center"/>
          </w:tcPr>
          <w:p w14:paraId="2FFD6FCC">
            <w:pPr>
              <w:pStyle w:val="24"/>
              <w:spacing w:line="200" w:lineRule="exact"/>
              <w:rPr>
                <w:rFonts w:ascii="Times New Roman" w:hAnsi="Times New Roman" w:cs="Times New Roman"/>
                <w:sz w:val="18"/>
                <w:szCs w:val="18"/>
              </w:rPr>
            </w:pPr>
            <w:r>
              <w:rPr>
                <w:rFonts w:hint="eastAsia" w:ascii="Times New Roman" w:hAnsi="Times New Roman" w:cs="Times New Roman"/>
                <w:sz w:val="18"/>
                <w:szCs w:val="18"/>
              </w:rPr>
              <w:t>相关</w:t>
            </w:r>
          </w:p>
        </w:tc>
        <w:tc>
          <w:tcPr>
            <w:tcW w:w="1276" w:type="dxa"/>
            <w:tcBorders>
              <w:top w:val="single" w:color="000000" w:sz="4" w:space="0"/>
              <w:left w:val="nil"/>
              <w:bottom w:val="single" w:color="000000" w:sz="4" w:space="0"/>
              <w:right w:val="single" w:color="000000" w:sz="4" w:space="0"/>
            </w:tcBorders>
            <w:vAlign w:val="center"/>
          </w:tcPr>
          <w:p w14:paraId="65AE912C">
            <w:pPr>
              <w:pStyle w:val="24"/>
              <w:spacing w:before="106" w:line="200" w:lineRule="exact"/>
              <w:ind w:left="151" w:right="138"/>
              <w:rPr>
                <w:rFonts w:ascii="Times New Roman" w:hAnsi="Times New Roman" w:cs="Times New Roman"/>
                <w:sz w:val="18"/>
                <w:szCs w:val="18"/>
              </w:rPr>
            </w:pPr>
            <w:r>
              <w:rPr>
                <w:rFonts w:hint="eastAsia" w:ascii="Times New Roman" w:hAnsi="Times New Roman" w:cs="Times New Roman"/>
                <w:sz w:val="18"/>
                <w:szCs w:val="18"/>
              </w:rPr>
              <w:t>2</w:t>
            </w:r>
            <w:r>
              <w:rPr>
                <w:rFonts w:ascii="Times New Roman" w:hAnsi="Times New Roman" w:cs="Times New Roman"/>
                <w:sz w:val="18"/>
                <w:szCs w:val="18"/>
              </w:rPr>
              <w:t>.00</w:t>
            </w:r>
          </w:p>
        </w:tc>
      </w:tr>
      <w:tr w14:paraId="63399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390" w:type="dxa"/>
            <w:tcBorders>
              <w:top w:val="single" w:color="000000" w:sz="4" w:space="0"/>
              <w:left w:val="single" w:color="000000" w:sz="4" w:space="0"/>
              <w:bottom w:val="single" w:color="000000" w:sz="4" w:space="0"/>
              <w:right w:val="single" w:color="000000" w:sz="4" w:space="0"/>
            </w:tcBorders>
            <w:vAlign w:val="center"/>
          </w:tcPr>
          <w:p w14:paraId="6225EFDE">
            <w:pPr>
              <w:pStyle w:val="24"/>
              <w:spacing w:before="94" w:line="200" w:lineRule="exact"/>
              <w:ind w:right="1409" w:firstLine="360" w:firstLineChars="200"/>
              <w:jc w:val="both"/>
              <w:rPr>
                <w:rFonts w:ascii="Times New Roman" w:hAnsi="Times New Roman" w:cs="Times New Roman"/>
                <w:sz w:val="18"/>
                <w:szCs w:val="18"/>
              </w:rPr>
            </w:pPr>
            <w:r>
              <w:rPr>
                <w:rFonts w:ascii="Times New Roman" w:hAnsi="Times New Roman" w:cs="Times New Roman"/>
                <w:sz w:val="18"/>
                <w:szCs w:val="18"/>
              </w:rPr>
              <w:t>A212.绩效目标完整性</w:t>
            </w:r>
          </w:p>
        </w:tc>
        <w:tc>
          <w:tcPr>
            <w:tcW w:w="1275" w:type="dxa"/>
            <w:tcBorders>
              <w:top w:val="single" w:color="000000" w:sz="4" w:space="0"/>
              <w:left w:val="nil"/>
              <w:bottom w:val="single" w:color="000000" w:sz="4" w:space="0"/>
              <w:right w:val="single" w:color="000000" w:sz="4" w:space="0"/>
            </w:tcBorders>
            <w:vAlign w:val="center"/>
          </w:tcPr>
          <w:p w14:paraId="26421661">
            <w:pPr>
              <w:pStyle w:val="24"/>
              <w:spacing w:before="106" w:line="200" w:lineRule="exact"/>
              <w:ind w:left="6"/>
              <w:rPr>
                <w:rFonts w:ascii="Times New Roman" w:hAnsi="Times New Roman" w:cs="Times New Roman"/>
                <w:sz w:val="18"/>
                <w:szCs w:val="18"/>
              </w:rPr>
            </w:pPr>
            <w:r>
              <w:rPr>
                <w:rFonts w:hint="eastAsia" w:ascii="Times New Roman" w:hAnsi="Times New Roman" w:cs="Times New Roman"/>
                <w:sz w:val="18"/>
                <w:szCs w:val="18"/>
              </w:rPr>
              <w:t>2</w:t>
            </w:r>
            <w:r>
              <w:rPr>
                <w:rFonts w:ascii="Times New Roman" w:hAnsi="Times New Roman" w:cs="Times New Roman"/>
                <w:sz w:val="18"/>
                <w:szCs w:val="18"/>
              </w:rPr>
              <w:t>.00</w:t>
            </w:r>
          </w:p>
        </w:tc>
        <w:tc>
          <w:tcPr>
            <w:tcW w:w="1985" w:type="dxa"/>
            <w:tcBorders>
              <w:top w:val="single" w:color="000000" w:sz="4" w:space="0"/>
              <w:left w:val="nil"/>
              <w:bottom w:val="single" w:color="000000" w:sz="4" w:space="0"/>
              <w:right w:val="single" w:color="000000" w:sz="4" w:space="0"/>
            </w:tcBorders>
            <w:vAlign w:val="center"/>
          </w:tcPr>
          <w:p w14:paraId="35CA4AC4">
            <w:pPr>
              <w:pStyle w:val="24"/>
              <w:spacing w:line="200" w:lineRule="exact"/>
              <w:rPr>
                <w:rFonts w:ascii="Times New Roman" w:hAnsi="Times New Roman" w:cs="Times New Roman"/>
                <w:sz w:val="18"/>
                <w:szCs w:val="18"/>
              </w:rPr>
            </w:pPr>
            <w:r>
              <w:rPr>
                <w:rFonts w:hint="eastAsia" w:ascii="Times New Roman" w:hAnsi="Times New Roman" w:cs="Times New Roman"/>
                <w:sz w:val="18"/>
                <w:szCs w:val="18"/>
              </w:rPr>
              <w:t>完整</w:t>
            </w:r>
          </w:p>
        </w:tc>
        <w:tc>
          <w:tcPr>
            <w:tcW w:w="1276" w:type="dxa"/>
            <w:tcBorders>
              <w:top w:val="single" w:color="000000" w:sz="4" w:space="0"/>
              <w:left w:val="nil"/>
              <w:bottom w:val="single" w:color="000000" w:sz="4" w:space="0"/>
              <w:right w:val="single" w:color="000000" w:sz="4" w:space="0"/>
            </w:tcBorders>
            <w:vAlign w:val="center"/>
          </w:tcPr>
          <w:p w14:paraId="4ED7F8FE">
            <w:pPr>
              <w:pStyle w:val="24"/>
              <w:spacing w:before="106" w:line="200" w:lineRule="exact"/>
              <w:ind w:left="151" w:right="138"/>
              <w:rPr>
                <w:rFonts w:ascii="Times New Roman" w:hAnsi="Times New Roman" w:cs="Times New Roman"/>
                <w:sz w:val="18"/>
                <w:szCs w:val="18"/>
              </w:rPr>
            </w:pPr>
            <w:r>
              <w:rPr>
                <w:rFonts w:hint="eastAsia" w:ascii="Times New Roman" w:hAnsi="Times New Roman" w:cs="Times New Roman"/>
                <w:sz w:val="18"/>
                <w:szCs w:val="18"/>
              </w:rPr>
              <w:t>2</w:t>
            </w:r>
            <w:r>
              <w:rPr>
                <w:rFonts w:ascii="Times New Roman" w:hAnsi="Times New Roman" w:cs="Times New Roman"/>
                <w:sz w:val="18"/>
                <w:szCs w:val="18"/>
              </w:rPr>
              <w:t>.00</w:t>
            </w:r>
          </w:p>
        </w:tc>
      </w:tr>
      <w:tr w14:paraId="3C242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390" w:type="dxa"/>
            <w:tcBorders>
              <w:top w:val="single" w:color="000000" w:sz="4" w:space="0"/>
              <w:left w:val="single" w:color="000000" w:sz="4" w:space="0"/>
              <w:bottom w:val="single" w:color="000000" w:sz="4" w:space="0"/>
              <w:right w:val="single" w:color="000000" w:sz="4" w:space="0"/>
            </w:tcBorders>
            <w:vAlign w:val="center"/>
          </w:tcPr>
          <w:p w14:paraId="510D055A">
            <w:pPr>
              <w:pStyle w:val="24"/>
              <w:spacing w:before="94" w:line="200" w:lineRule="exact"/>
              <w:ind w:right="1409" w:firstLine="360" w:firstLineChars="200"/>
              <w:jc w:val="both"/>
              <w:rPr>
                <w:rFonts w:ascii="Times New Roman" w:hAnsi="Times New Roman" w:cs="Times New Roman"/>
                <w:sz w:val="18"/>
                <w:szCs w:val="18"/>
              </w:rPr>
            </w:pPr>
            <w:r>
              <w:rPr>
                <w:rFonts w:ascii="Times New Roman" w:hAnsi="Times New Roman" w:cs="Times New Roman"/>
                <w:sz w:val="18"/>
                <w:szCs w:val="18"/>
              </w:rPr>
              <w:t>A213.目标与预算的匹配性</w:t>
            </w:r>
          </w:p>
        </w:tc>
        <w:tc>
          <w:tcPr>
            <w:tcW w:w="1275" w:type="dxa"/>
            <w:tcBorders>
              <w:top w:val="single" w:color="000000" w:sz="4" w:space="0"/>
              <w:left w:val="nil"/>
              <w:bottom w:val="single" w:color="000000" w:sz="4" w:space="0"/>
              <w:right w:val="single" w:color="000000" w:sz="4" w:space="0"/>
            </w:tcBorders>
            <w:vAlign w:val="center"/>
          </w:tcPr>
          <w:p w14:paraId="7EF55211">
            <w:pPr>
              <w:pStyle w:val="24"/>
              <w:spacing w:before="106" w:line="200" w:lineRule="exact"/>
              <w:ind w:left="6"/>
              <w:rPr>
                <w:rFonts w:ascii="Times New Roman" w:hAnsi="Times New Roman" w:cs="Times New Roman"/>
                <w:sz w:val="18"/>
                <w:szCs w:val="18"/>
              </w:rPr>
            </w:pPr>
            <w:r>
              <w:rPr>
                <w:rFonts w:hint="eastAsia" w:ascii="Times New Roman" w:hAnsi="Times New Roman" w:cs="Times New Roman"/>
                <w:sz w:val="18"/>
                <w:szCs w:val="18"/>
              </w:rPr>
              <w:t>2</w:t>
            </w:r>
            <w:r>
              <w:rPr>
                <w:rFonts w:ascii="Times New Roman" w:hAnsi="Times New Roman" w:cs="Times New Roman"/>
                <w:sz w:val="18"/>
                <w:szCs w:val="18"/>
              </w:rPr>
              <w:t>.00</w:t>
            </w:r>
          </w:p>
        </w:tc>
        <w:tc>
          <w:tcPr>
            <w:tcW w:w="1985" w:type="dxa"/>
            <w:tcBorders>
              <w:top w:val="single" w:color="000000" w:sz="4" w:space="0"/>
              <w:left w:val="nil"/>
              <w:bottom w:val="single" w:color="000000" w:sz="4" w:space="0"/>
              <w:right w:val="single" w:color="000000" w:sz="4" w:space="0"/>
            </w:tcBorders>
            <w:vAlign w:val="center"/>
          </w:tcPr>
          <w:p w14:paraId="372DC3A4">
            <w:pPr>
              <w:pStyle w:val="24"/>
              <w:spacing w:line="200" w:lineRule="exact"/>
              <w:rPr>
                <w:rFonts w:ascii="Times New Roman" w:hAnsi="Times New Roman" w:cs="Times New Roman"/>
                <w:sz w:val="18"/>
                <w:szCs w:val="18"/>
              </w:rPr>
            </w:pPr>
            <w:r>
              <w:rPr>
                <w:rFonts w:hint="eastAsia" w:ascii="Times New Roman" w:hAnsi="Times New Roman" w:cs="Times New Roman"/>
                <w:sz w:val="18"/>
                <w:szCs w:val="18"/>
              </w:rPr>
              <w:t>匹配</w:t>
            </w:r>
          </w:p>
        </w:tc>
        <w:tc>
          <w:tcPr>
            <w:tcW w:w="1276" w:type="dxa"/>
            <w:tcBorders>
              <w:top w:val="single" w:color="000000" w:sz="4" w:space="0"/>
              <w:left w:val="nil"/>
              <w:bottom w:val="single" w:color="000000" w:sz="4" w:space="0"/>
              <w:right w:val="single" w:color="000000" w:sz="4" w:space="0"/>
            </w:tcBorders>
            <w:vAlign w:val="center"/>
          </w:tcPr>
          <w:p w14:paraId="2EBAFFDE">
            <w:pPr>
              <w:pStyle w:val="24"/>
              <w:spacing w:before="106" w:line="200" w:lineRule="exact"/>
              <w:ind w:left="151" w:right="138"/>
              <w:rPr>
                <w:rFonts w:ascii="Times New Roman" w:hAnsi="Times New Roman" w:cs="Times New Roman"/>
                <w:sz w:val="18"/>
                <w:szCs w:val="18"/>
              </w:rPr>
            </w:pPr>
            <w:r>
              <w:rPr>
                <w:rFonts w:hint="eastAsia" w:ascii="Times New Roman" w:hAnsi="Times New Roman" w:cs="Times New Roman"/>
                <w:sz w:val="18"/>
                <w:szCs w:val="18"/>
              </w:rPr>
              <w:t>2</w:t>
            </w:r>
            <w:r>
              <w:rPr>
                <w:rFonts w:ascii="Times New Roman" w:hAnsi="Times New Roman" w:cs="Times New Roman"/>
                <w:sz w:val="18"/>
                <w:szCs w:val="18"/>
              </w:rPr>
              <w:t>.00</w:t>
            </w:r>
          </w:p>
        </w:tc>
      </w:tr>
      <w:tr w14:paraId="5EC5B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390" w:type="dxa"/>
            <w:tcBorders>
              <w:top w:val="single" w:color="000000" w:sz="4" w:space="0"/>
              <w:left w:val="single" w:color="000000" w:sz="4" w:space="0"/>
              <w:bottom w:val="single" w:color="000000" w:sz="4" w:space="0"/>
              <w:right w:val="single" w:color="000000" w:sz="4" w:space="0"/>
            </w:tcBorders>
            <w:vAlign w:val="center"/>
          </w:tcPr>
          <w:p w14:paraId="5593B6C2">
            <w:pPr>
              <w:pStyle w:val="24"/>
              <w:spacing w:before="94" w:line="200" w:lineRule="exact"/>
              <w:ind w:right="1409"/>
              <w:jc w:val="both"/>
              <w:rPr>
                <w:rFonts w:ascii="Times New Roman" w:hAnsi="Times New Roman" w:cs="Times New Roman"/>
                <w:sz w:val="18"/>
                <w:szCs w:val="18"/>
              </w:rPr>
            </w:pPr>
            <w:r>
              <w:rPr>
                <w:rFonts w:ascii="Times New Roman" w:hAnsi="Times New Roman" w:cs="Times New Roman"/>
                <w:sz w:val="18"/>
                <w:szCs w:val="18"/>
              </w:rPr>
              <w:t>A22.绩效指标设定的明确性</w:t>
            </w:r>
          </w:p>
        </w:tc>
        <w:tc>
          <w:tcPr>
            <w:tcW w:w="1275" w:type="dxa"/>
            <w:tcBorders>
              <w:top w:val="single" w:color="000000" w:sz="4" w:space="0"/>
              <w:left w:val="nil"/>
              <w:bottom w:val="single" w:color="000000" w:sz="4" w:space="0"/>
              <w:right w:val="single" w:color="000000" w:sz="4" w:space="0"/>
            </w:tcBorders>
            <w:vAlign w:val="center"/>
          </w:tcPr>
          <w:p w14:paraId="33A1B98B">
            <w:pPr>
              <w:pStyle w:val="24"/>
              <w:spacing w:before="106" w:line="200" w:lineRule="exact"/>
              <w:ind w:left="6"/>
              <w:rPr>
                <w:rFonts w:ascii="Times New Roman" w:hAnsi="Times New Roman" w:cs="Times New Roman"/>
                <w:sz w:val="18"/>
                <w:szCs w:val="18"/>
              </w:rPr>
            </w:pPr>
          </w:p>
        </w:tc>
        <w:tc>
          <w:tcPr>
            <w:tcW w:w="1985" w:type="dxa"/>
            <w:tcBorders>
              <w:top w:val="single" w:color="000000" w:sz="4" w:space="0"/>
              <w:left w:val="nil"/>
              <w:bottom w:val="single" w:color="000000" w:sz="4" w:space="0"/>
              <w:right w:val="single" w:color="000000" w:sz="4" w:space="0"/>
            </w:tcBorders>
            <w:vAlign w:val="center"/>
          </w:tcPr>
          <w:p w14:paraId="7F6986F5">
            <w:pPr>
              <w:pStyle w:val="24"/>
              <w:spacing w:line="200" w:lineRule="exact"/>
              <w:rPr>
                <w:rFonts w:ascii="Times New Roman" w:hAnsi="Times New Roman" w:cs="Times New Roman"/>
                <w:sz w:val="18"/>
                <w:szCs w:val="18"/>
              </w:rPr>
            </w:pPr>
          </w:p>
        </w:tc>
        <w:tc>
          <w:tcPr>
            <w:tcW w:w="1276" w:type="dxa"/>
            <w:tcBorders>
              <w:top w:val="single" w:color="000000" w:sz="4" w:space="0"/>
              <w:left w:val="nil"/>
              <w:bottom w:val="single" w:color="000000" w:sz="4" w:space="0"/>
              <w:right w:val="single" w:color="000000" w:sz="4" w:space="0"/>
            </w:tcBorders>
            <w:vAlign w:val="center"/>
          </w:tcPr>
          <w:p w14:paraId="6C267E05">
            <w:pPr>
              <w:pStyle w:val="24"/>
              <w:spacing w:before="106" w:line="200" w:lineRule="exact"/>
              <w:ind w:left="151" w:right="138"/>
              <w:rPr>
                <w:rFonts w:ascii="Times New Roman" w:hAnsi="Times New Roman" w:cs="Times New Roman"/>
                <w:sz w:val="18"/>
                <w:szCs w:val="18"/>
              </w:rPr>
            </w:pPr>
          </w:p>
        </w:tc>
      </w:tr>
      <w:tr w14:paraId="6496B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390" w:type="dxa"/>
            <w:tcBorders>
              <w:top w:val="single" w:color="000000" w:sz="4" w:space="0"/>
              <w:left w:val="single" w:color="000000" w:sz="4" w:space="0"/>
              <w:bottom w:val="single" w:color="000000" w:sz="4" w:space="0"/>
              <w:right w:val="single" w:color="000000" w:sz="4" w:space="0"/>
            </w:tcBorders>
            <w:vAlign w:val="center"/>
          </w:tcPr>
          <w:p w14:paraId="305EAF4D">
            <w:pPr>
              <w:pStyle w:val="24"/>
              <w:spacing w:before="94" w:line="200" w:lineRule="exact"/>
              <w:ind w:right="1409" w:firstLine="360" w:firstLineChars="200"/>
              <w:jc w:val="both"/>
              <w:rPr>
                <w:rFonts w:ascii="Times New Roman" w:hAnsi="Times New Roman" w:cs="Times New Roman"/>
                <w:sz w:val="18"/>
                <w:szCs w:val="18"/>
              </w:rPr>
            </w:pPr>
            <w:r>
              <w:rPr>
                <w:rFonts w:ascii="Times New Roman" w:hAnsi="Times New Roman" w:cs="Times New Roman"/>
                <w:sz w:val="18"/>
                <w:szCs w:val="18"/>
              </w:rPr>
              <w:t>A221.指标细化分解情况</w:t>
            </w:r>
          </w:p>
        </w:tc>
        <w:tc>
          <w:tcPr>
            <w:tcW w:w="1275" w:type="dxa"/>
            <w:tcBorders>
              <w:top w:val="single" w:color="000000" w:sz="4" w:space="0"/>
              <w:left w:val="nil"/>
              <w:bottom w:val="single" w:color="000000" w:sz="4" w:space="0"/>
              <w:right w:val="single" w:color="000000" w:sz="4" w:space="0"/>
            </w:tcBorders>
            <w:vAlign w:val="center"/>
          </w:tcPr>
          <w:p w14:paraId="39B37792">
            <w:pPr>
              <w:pStyle w:val="24"/>
              <w:spacing w:before="106" w:line="200" w:lineRule="exact"/>
              <w:ind w:left="6"/>
              <w:rPr>
                <w:rFonts w:ascii="Times New Roman" w:hAnsi="Times New Roman" w:cs="Times New Roman"/>
                <w:sz w:val="18"/>
                <w:szCs w:val="18"/>
              </w:rPr>
            </w:pPr>
            <w:r>
              <w:rPr>
                <w:rFonts w:hint="eastAsia" w:ascii="Times New Roman" w:hAnsi="Times New Roman" w:cs="Times New Roman"/>
                <w:sz w:val="18"/>
                <w:szCs w:val="18"/>
              </w:rPr>
              <w:t>3</w:t>
            </w:r>
            <w:r>
              <w:rPr>
                <w:rFonts w:ascii="Times New Roman" w:hAnsi="Times New Roman" w:cs="Times New Roman"/>
                <w:sz w:val="18"/>
                <w:szCs w:val="18"/>
              </w:rPr>
              <w:t>.00</w:t>
            </w:r>
          </w:p>
        </w:tc>
        <w:tc>
          <w:tcPr>
            <w:tcW w:w="1985" w:type="dxa"/>
            <w:tcBorders>
              <w:top w:val="single" w:color="000000" w:sz="4" w:space="0"/>
              <w:left w:val="nil"/>
              <w:bottom w:val="single" w:color="000000" w:sz="4" w:space="0"/>
              <w:right w:val="single" w:color="000000" w:sz="4" w:space="0"/>
            </w:tcBorders>
            <w:vAlign w:val="center"/>
          </w:tcPr>
          <w:p w14:paraId="455727B4">
            <w:pPr>
              <w:pStyle w:val="24"/>
              <w:spacing w:line="200" w:lineRule="exact"/>
              <w:rPr>
                <w:rFonts w:ascii="Times New Roman" w:hAnsi="Times New Roman" w:cs="Times New Roman"/>
                <w:sz w:val="18"/>
                <w:szCs w:val="18"/>
              </w:rPr>
            </w:pPr>
            <w:r>
              <w:rPr>
                <w:rFonts w:hint="eastAsia" w:ascii="Times New Roman" w:hAnsi="Times New Roman" w:cs="Times New Roman"/>
                <w:sz w:val="18"/>
                <w:szCs w:val="18"/>
              </w:rPr>
              <w:t>绩效目标细化</w:t>
            </w:r>
          </w:p>
        </w:tc>
        <w:tc>
          <w:tcPr>
            <w:tcW w:w="1276" w:type="dxa"/>
            <w:tcBorders>
              <w:top w:val="single" w:color="000000" w:sz="4" w:space="0"/>
              <w:left w:val="nil"/>
              <w:bottom w:val="single" w:color="000000" w:sz="4" w:space="0"/>
              <w:right w:val="single" w:color="000000" w:sz="4" w:space="0"/>
            </w:tcBorders>
            <w:vAlign w:val="center"/>
          </w:tcPr>
          <w:p w14:paraId="6B30B23F">
            <w:pPr>
              <w:pStyle w:val="24"/>
              <w:spacing w:before="106" w:line="200" w:lineRule="exact"/>
              <w:ind w:left="151" w:right="138"/>
              <w:rPr>
                <w:rFonts w:ascii="Times New Roman" w:hAnsi="Times New Roman" w:cs="Times New Roman"/>
                <w:sz w:val="18"/>
                <w:szCs w:val="18"/>
              </w:rPr>
            </w:pPr>
            <w:r>
              <w:rPr>
                <w:rFonts w:hint="eastAsia" w:ascii="Times New Roman" w:hAnsi="Times New Roman" w:cs="Times New Roman"/>
                <w:sz w:val="18"/>
                <w:szCs w:val="18"/>
              </w:rPr>
              <w:t>3</w:t>
            </w:r>
            <w:r>
              <w:rPr>
                <w:rFonts w:ascii="Times New Roman" w:hAnsi="Times New Roman" w:cs="Times New Roman"/>
                <w:sz w:val="18"/>
                <w:szCs w:val="18"/>
              </w:rPr>
              <w:t>.00</w:t>
            </w:r>
          </w:p>
        </w:tc>
      </w:tr>
      <w:tr w14:paraId="2E6DF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390" w:type="dxa"/>
            <w:tcBorders>
              <w:top w:val="single" w:color="000000" w:sz="4" w:space="0"/>
              <w:left w:val="single" w:color="000000" w:sz="4" w:space="0"/>
              <w:bottom w:val="single" w:color="000000" w:sz="4" w:space="0"/>
              <w:right w:val="single" w:color="000000" w:sz="4" w:space="0"/>
            </w:tcBorders>
            <w:vAlign w:val="center"/>
          </w:tcPr>
          <w:p w14:paraId="443F98DB">
            <w:pPr>
              <w:pStyle w:val="24"/>
              <w:spacing w:before="94" w:line="200" w:lineRule="exact"/>
              <w:ind w:right="1409" w:firstLine="360" w:firstLineChars="200"/>
              <w:jc w:val="both"/>
              <w:rPr>
                <w:rFonts w:ascii="Times New Roman" w:hAnsi="Times New Roman" w:cs="Times New Roman"/>
                <w:sz w:val="18"/>
                <w:szCs w:val="18"/>
              </w:rPr>
            </w:pPr>
            <w:r>
              <w:rPr>
                <w:rFonts w:ascii="Times New Roman" w:hAnsi="Times New Roman" w:cs="Times New Roman"/>
                <w:sz w:val="18"/>
                <w:szCs w:val="18"/>
              </w:rPr>
              <w:t>A222.指标与目标的匹配性</w:t>
            </w:r>
          </w:p>
        </w:tc>
        <w:tc>
          <w:tcPr>
            <w:tcW w:w="1275" w:type="dxa"/>
            <w:tcBorders>
              <w:top w:val="single" w:color="000000" w:sz="4" w:space="0"/>
              <w:left w:val="nil"/>
              <w:bottom w:val="single" w:color="000000" w:sz="4" w:space="0"/>
              <w:right w:val="single" w:color="000000" w:sz="4" w:space="0"/>
            </w:tcBorders>
            <w:vAlign w:val="center"/>
          </w:tcPr>
          <w:p w14:paraId="7917D66E">
            <w:pPr>
              <w:pStyle w:val="24"/>
              <w:spacing w:before="106" w:line="200" w:lineRule="exact"/>
              <w:ind w:left="6"/>
              <w:rPr>
                <w:rFonts w:ascii="Times New Roman" w:hAnsi="Times New Roman" w:cs="Times New Roman"/>
                <w:sz w:val="18"/>
                <w:szCs w:val="18"/>
              </w:rPr>
            </w:pPr>
            <w:r>
              <w:rPr>
                <w:rFonts w:hint="eastAsia" w:ascii="Times New Roman" w:hAnsi="Times New Roman" w:cs="Times New Roman"/>
                <w:sz w:val="18"/>
                <w:szCs w:val="18"/>
              </w:rPr>
              <w:t>3</w:t>
            </w:r>
            <w:r>
              <w:rPr>
                <w:rFonts w:ascii="Times New Roman" w:hAnsi="Times New Roman" w:cs="Times New Roman"/>
                <w:sz w:val="18"/>
                <w:szCs w:val="18"/>
              </w:rPr>
              <w:t>.00</w:t>
            </w:r>
          </w:p>
        </w:tc>
        <w:tc>
          <w:tcPr>
            <w:tcW w:w="1985" w:type="dxa"/>
            <w:tcBorders>
              <w:top w:val="single" w:color="000000" w:sz="4" w:space="0"/>
              <w:left w:val="nil"/>
              <w:bottom w:val="single" w:color="000000" w:sz="4" w:space="0"/>
              <w:right w:val="single" w:color="000000" w:sz="4" w:space="0"/>
            </w:tcBorders>
            <w:vAlign w:val="center"/>
          </w:tcPr>
          <w:p w14:paraId="01F9F77A">
            <w:pPr>
              <w:pStyle w:val="24"/>
              <w:spacing w:line="200" w:lineRule="exact"/>
              <w:rPr>
                <w:rFonts w:ascii="Times New Roman" w:hAnsi="Times New Roman" w:cs="Times New Roman"/>
                <w:sz w:val="18"/>
                <w:szCs w:val="18"/>
              </w:rPr>
            </w:pPr>
            <w:r>
              <w:rPr>
                <w:rFonts w:hint="eastAsia" w:ascii="Times New Roman" w:hAnsi="Times New Roman" w:cs="Times New Roman"/>
                <w:sz w:val="18"/>
                <w:szCs w:val="18"/>
              </w:rPr>
              <w:t>匹配</w:t>
            </w:r>
          </w:p>
        </w:tc>
        <w:tc>
          <w:tcPr>
            <w:tcW w:w="1276" w:type="dxa"/>
            <w:tcBorders>
              <w:top w:val="single" w:color="000000" w:sz="4" w:space="0"/>
              <w:left w:val="nil"/>
              <w:bottom w:val="single" w:color="000000" w:sz="4" w:space="0"/>
              <w:right w:val="single" w:color="000000" w:sz="4" w:space="0"/>
            </w:tcBorders>
            <w:vAlign w:val="center"/>
          </w:tcPr>
          <w:p w14:paraId="7D4F1780">
            <w:pPr>
              <w:pStyle w:val="24"/>
              <w:spacing w:before="106" w:line="200" w:lineRule="exact"/>
              <w:ind w:left="151" w:right="138"/>
              <w:rPr>
                <w:rFonts w:ascii="Times New Roman" w:hAnsi="Times New Roman" w:cs="Times New Roman"/>
                <w:sz w:val="18"/>
                <w:szCs w:val="18"/>
              </w:rPr>
            </w:pPr>
            <w:r>
              <w:rPr>
                <w:rFonts w:hint="eastAsia" w:ascii="Times New Roman" w:hAnsi="Times New Roman" w:cs="Times New Roman"/>
                <w:sz w:val="18"/>
                <w:szCs w:val="18"/>
              </w:rPr>
              <w:t>3</w:t>
            </w:r>
            <w:r>
              <w:rPr>
                <w:rFonts w:ascii="Times New Roman" w:hAnsi="Times New Roman" w:cs="Times New Roman"/>
                <w:sz w:val="18"/>
                <w:szCs w:val="18"/>
              </w:rPr>
              <w:t>.00</w:t>
            </w:r>
          </w:p>
        </w:tc>
      </w:tr>
      <w:tr w14:paraId="67F34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390" w:type="dxa"/>
            <w:tcBorders>
              <w:top w:val="single" w:color="000000" w:sz="4" w:space="0"/>
              <w:left w:val="single" w:color="000000" w:sz="4" w:space="0"/>
              <w:bottom w:val="single" w:color="000000" w:sz="4" w:space="0"/>
              <w:right w:val="single" w:color="000000" w:sz="4" w:space="0"/>
            </w:tcBorders>
            <w:vAlign w:val="center"/>
          </w:tcPr>
          <w:p w14:paraId="4686A6A0">
            <w:pPr>
              <w:pStyle w:val="24"/>
              <w:spacing w:before="94" w:line="200" w:lineRule="exact"/>
              <w:ind w:left="1420" w:right="1409"/>
              <w:rPr>
                <w:rFonts w:ascii="Times New Roman" w:hAnsi="Times New Roman" w:cs="Times New Roman"/>
                <w:sz w:val="18"/>
                <w:szCs w:val="18"/>
              </w:rPr>
            </w:pPr>
            <w:r>
              <w:rPr>
                <w:rFonts w:ascii="Times New Roman" w:hAnsi="Times New Roman" w:cs="Times New Roman"/>
                <w:sz w:val="18"/>
                <w:szCs w:val="18"/>
              </w:rPr>
              <w:t>合计</w:t>
            </w:r>
          </w:p>
        </w:tc>
        <w:tc>
          <w:tcPr>
            <w:tcW w:w="1275" w:type="dxa"/>
            <w:tcBorders>
              <w:top w:val="single" w:color="000000" w:sz="4" w:space="0"/>
              <w:left w:val="nil"/>
              <w:bottom w:val="single" w:color="000000" w:sz="4" w:space="0"/>
              <w:right w:val="single" w:color="000000" w:sz="4" w:space="0"/>
            </w:tcBorders>
            <w:vAlign w:val="center"/>
          </w:tcPr>
          <w:p w14:paraId="1FA44FA7">
            <w:pPr>
              <w:pStyle w:val="24"/>
              <w:spacing w:before="106" w:line="200" w:lineRule="exact"/>
              <w:ind w:left="6"/>
              <w:rPr>
                <w:rFonts w:ascii="Times New Roman" w:hAnsi="Times New Roman" w:cs="Times New Roman"/>
                <w:sz w:val="18"/>
                <w:szCs w:val="18"/>
              </w:rPr>
            </w:pPr>
            <w:r>
              <w:rPr>
                <w:rFonts w:ascii="Times New Roman" w:hAnsi="Times New Roman" w:cs="Times New Roman"/>
                <w:sz w:val="18"/>
                <w:szCs w:val="18"/>
              </w:rPr>
              <w:t>20.00</w:t>
            </w:r>
          </w:p>
        </w:tc>
        <w:tc>
          <w:tcPr>
            <w:tcW w:w="1985" w:type="dxa"/>
            <w:tcBorders>
              <w:top w:val="single" w:color="000000" w:sz="4" w:space="0"/>
              <w:left w:val="nil"/>
              <w:bottom w:val="single" w:color="000000" w:sz="4" w:space="0"/>
              <w:right w:val="single" w:color="000000" w:sz="4" w:space="0"/>
            </w:tcBorders>
            <w:vAlign w:val="center"/>
          </w:tcPr>
          <w:p w14:paraId="6ACE00BA">
            <w:pPr>
              <w:pStyle w:val="24"/>
              <w:spacing w:line="200" w:lineRule="exact"/>
              <w:rPr>
                <w:rFonts w:ascii="Times New Roman" w:hAnsi="Times New Roman" w:cs="Times New Roman"/>
                <w:sz w:val="18"/>
                <w:szCs w:val="18"/>
              </w:rPr>
            </w:pPr>
          </w:p>
        </w:tc>
        <w:tc>
          <w:tcPr>
            <w:tcW w:w="1276" w:type="dxa"/>
            <w:tcBorders>
              <w:top w:val="single" w:color="000000" w:sz="4" w:space="0"/>
              <w:left w:val="nil"/>
              <w:bottom w:val="single" w:color="000000" w:sz="4" w:space="0"/>
              <w:right w:val="single" w:color="000000" w:sz="4" w:space="0"/>
            </w:tcBorders>
            <w:vAlign w:val="center"/>
          </w:tcPr>
          <w:p w14:paraId="263B7C38">
            <w:pPr>
              <w:pStyle w:val="24"/>
              <w:spacing w:before="106" w:line="200" w:lineRule="exact"/>
              <w:ind w:left="151" w:right="138"/>
              <w:rPr>
                <w:rFonts w:ascii="Times New Roman" w:hAnsi="Times New Roman" w:cs="Times New Roman"/>
                <w:sz w:val="18"/>
                <w:szCs w:val="18"/>
              </w:rPr>
            </w:pPr>
            <w:r>
              <w:rPr>
                <w:rFonts w:hint="eastAsia" w:ascii="Times New Roman" w:hAnsi="Times New Roman" w:cs="Times New Roman"/>
                <w:sz w:val="18"/>
                <w:szCs w:val="18"/>
              </w:rPr>
              <w:t>20</w:t>
            </w:r>
            <w:r>
              <w:rPr>
                <w:rFonts w:ascii="Times New Roman" w:hAnsi="Times New Roman" w:cs="Times New Roman"/>
                <w:sz w:val="18"/>
                <w:szCs w:val="18"/>
              </w:rPr>
              <w:t>.00</w:t>
            </w:r>
          </w:p>
        </w:tc>
      </w:tr>
    </w:tbl>
    <w:p w14:paraId="0B42FD5F">
      <w:pPr>
        <w:spacing w:line="600" w:lineRule="exact"/>
        <w:ind w:firstLine="640" w:firstLineChars="200"/>
        <w:rPr>
          <w:rFonts w:ascii="Times New Roman" w:hAnsi="Times New Roman" w:eastAsia="仿宋_GB2312"/>
          <w:sz w:val="32"/>
        </w:rPr>
      </w:pPr>
      <w:r>
        <w:rPr>
          <w:rFonts w:ascii="Times New Roman" w:hAnsi="Times New Roman" w:eastAsia="仿宋_GB2312"/>
          <w:sz w:val="32"/>
        </w:rPr>
        <w:t>A1.项目立项</w:t>
      </w:r>
    </w:p>
    <w:p w14:paraId="78012243">
      <w:pPr>
        <w:spacing w:line="600" w:lineRule="exact"/>
        <w:ind w:firstLine="640" w:firstLineChars="200"/>
        <w:rPr>
          <w:rFonts w:ascii="Times New Roman" w:hAnsi="Times New Roman" w:eastAsia="仿宋_GB2312"/>
          <w:sz w:val="32"/>
        </w:rPr>
      </w:pPr>
      <w:r>
        <w:rPr>
          <w:rFonts w:ascii="Times New Roman" w:hAnsi="Times New Roman" w:eastAsia="仿宋_GB2312"/>
          <w:sz w:val="32"/>
        </w:rPr>
        <w:t>反映项目是否符合2019年财政专项扶贫资金使用目标，前期准备工作、立项依据是否充分并符合相关要求，考核项目与下达目标是否匹配、明确。</w:t>
      </w:r>
    </w:p>
    <w:p w14:paraId="1915232F">
      <w:pPr>
        <w:spacing w:line="600" w:lineRule="exact"/>
        <w:ind w:firstLine="640" w:firstLineChars="200"/>
        <w:rPr>
          <w:rFonts w:ascii="Times New Roman" w:hAnsi="Times New Roman" w:eastAsia="仿宋_GB2312"/>
          <w:sz w:val="32"/>
        </w:rPr>
      </w:pPr>
      <w:r>
        <w:rPr>
          <w:rFonts w:ascii="Times New Roman" w:hAnsi="Times New Roman" w:eastAsia="仿宋_GB2312"/>
          <w:sz w:val="32"/>
        </w:rPr>
        <w:t>A11.与部门中长期规划目标适应性</w:t>
      </w:r>
    </w:p>
    <w:p w14:paraId="6D9E05A1">
      <w:pPr>
        <w:spacing w:line="600" w:lineRule="exact"/>
        <w:ind w:firstLine="640" w:firstLineChars="200"/>
        <w:rPr>
          <w:rFonts w:ascii="Times New Roman" w:hAnsi="Times New Roman" w:eastAsia="仿宋_GB2312"/>
          <w:sz w:val="32"/>
        </w:rPr>
      </w:pPr>
      <w:r>
        <w:rPr>
          <w:rFonts w:ascii="Times New Roman" w:hAnsi="Times New Roman" w:eastAsia="仿宋_GB2312"/>
          <w:sz w:val="32"/>
        </w:rPr>
        <w:t>A111.与部门中长期规划目标匹配性：根据</w:t>
      </w:r>
      <w:r>
        <w:rPr>
          <w:rFonts w:ascii="Times New Roman" w:hAnsi="Times New Roman" w:eastAsia="仿宋_GB2312"/>
          <w:sz w:val="32"/>
          <w:szCs w:val="32"/>
        </w:rPr>
        <w:t>《中共昆明市盘龙区农业农村局党组文件》确定本项目进行实施</w:t>
      </w:r>
      <w:r>
        <w:rPr>
          <w:rFonts w:ascii="Times New Roman" w:hAnsi="Times New Roman" w:eastAsia="仿宋_GB2312"/>
          <w:sz w:val="32"/>
        </w:rPr>
        <w:t>，本项目确立的目标与农业农村局职责相匹配。</w:t>
      </w:r>
    </w:p>
    <w:p w14:paraId="4F27598E">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该项指标满分为1分，根据评分标准得1分。</w:t>
      </w:r>
    </w:p>
    <w:p w14:paraId="3FAA0A61">
      <w:pPr>
        <w:spacing w:line="600" w:lineRule="exact"/>
        <w:ind w:firstLine="640" w:firstLineChars="200"/>
        <w:rPr>
          <w:rFonts w:ascii="Times New Roman" w:hAnsi="Times New Roman" w:eastAsia="仿宋_GB2312"/>
          <w:sz w:val="32"/>
        </w:rPr>
      </w:pPr>
      <w:r>
        <w:rPr>
          <w:rFonts w:ascii="Times New Roman" w:hAnsi="Times New Roman" w:eastAsia="仿宋_GB2312"/>
          <w:sz w:val="32"/>
        </w:rPr>
        <w:t>A12.立项依据充分性</w:t>
      </w:r>
    </w:p>
    <w:p w14:paraId="699CA2CE">
      <w:pPr>
        <w:spacing w:line="600" w:lineRule="exact"/>
        <w:ind w:firstLine="640" w:firstLineChars="200"/>
        <w:rPr>
          <w:rFonts w:ascii="仿宋_GB2312" w:eastAsia="仿宋_GB2312"/>
          <w:sz w:val="32"/>
        </w:rPr>
      </w:pPr>
      <w:r>
        <w:rPr>
          <w:rFonts w:ascii="Times New Roman" w:hAnsi="Times New Roman" w:eastAsia="仿宋_GB2312"/>
          <w:sz w:val="32"/>
        </w:rPr>
        <w:t>A121.与市政府相关规划、决策匹配性：通过年度工作目标考察项目是否符合市政府相关发展规划和政府决策，本项目实施能够从脱贫攻坚方面出发，符合政府长期发展规</w:t>
      </w:r>
      <w:r>
        <w:rPr>
          <w:rFonts w:hint="eastAsia" w:ascii="仿宋_GB2312" w:eastAsia="仿宋_GB2312"/>
          <w:sz w:val="32"/>
        </w:rPr>
        <w:t>划。</w:t>
      </w:r>
    </w:p>
    <w:p w14:paraId="72D42297">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该项指标满分为2分，根据评分标准得2分。</w:t>
      </w:r>
    </w:p>
    <w:p w14:paraId="4A7D03C5">
      <w:pPr>
        <w:spacing w:line="600" w:lineRule="exact"/>
        <w:ind w:firstLine="640" w:firstLineChars="200"/>
        <w:rPr>
          <w:rFonts w:ascii="Times New Roman" w:hAnsi="Times New Roman" w:eastAsia="仿宋_GB2312"/>
          <w:sz w:val="32"/>
        </w:rPr>
      </w:pPr>
      <w:r>
        <w:rPr>
          <w:rFonts w:ascii="Times New Roman" w:hAnsi="Times New Roman" w:eastAsia="仿宋_GB2312"/>
          <w:sz w:val="32"/>
        </w:rPr>
        <w:t>A122.与部门职责适应性：通过部门年度工作任务，结合部门职能考察项目是否与部门职责密切相关，项目实施方向及项目实施目标能够与盘龙区农业农村局的职责相适应。</w:t>
      </w:r>
    </w:p>
    <w:p w14:paraId="348F5AD0">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该项指标满分为2分，根据评分标准得2分。</w:t>
      </w:r>
    </w:p>
    <w:p w14:paraId="7DF834D4">
      <w:pPr>
        <w:tabs>
          <w:tab w:val="right" w:pos="8306"/>
        </w:tabs>
        <w:spacing w:line="600" w:lineRule="exact"/>
        <w:ind w:firstLine="640" w:firstLineChars="200"/>
        <w:rPr>
          <w:rFonts w:ascii="Times New Roman" w:hAnsi="Times New Roman" w:eastAsia="仿宋_GB2312"/>
          <w:sz w:val="32"/>
        </w:rPr>
      </w:pPr>
      <w:r>
        <w:rPr>
          <w:rFonts w:ascii="Times New Roman" w:hAnsi="Times New Roman" w:eastAsia="仿宋_GB2312"/>
          <w:sz w:val="32"/>
        </w:rPr>
        <w:t>A13.项目立项规范性</w:t>
      </w:r>
    </w:p>
    <w:p w14:paraId="530892EF">
      <w:pPr>
        <w:spacing w:line="600" w:lineRule="exact"/>
        <w:ind w:firstLine="640" w:firstLineChars="200"/>
        <w:rPr>
          <w:rFonts w:ascii="Times New Roman" w:hAnsi="Times New Roman" w:eastAsia="仿宋_GB2312"/>
          <w:sz w:val="32"/>
        </w:rPr>
      </w:pPr>
      <w:r>
        <w:rPr>
          <w:rFonts w:ascii="Times New Roman" w:hAnsi="Times New Roman" w:eastAsia="仿宋_GB2312"/>
          <w:sz w:val="32"/>
        </w:rPr>
        <w:t>A131.前期调研情况：收集前期项目申报资料了解项目立项前期调研执行情况，通过实地了解，项目能够正常实施，项目资金与项目实施内容匹配，项目调研充分。</w:t>
      </w:r>
    </w:p>
    <w:p w14:paraId="304D785F">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该项指标满分为1分，根据评分标准得1分。</w:t>
      </w:r>
    </w:p>
    <w:p w14:paraId="3D91ED47">
      <w:pPr>
        <w:spacing w:line="600" w:lineRule="exact"/>
        <w:ind w:firstLine="640" w:firstLineChars="200"/>
        <w:rPr>
          <w:rFonts w:ascii="Times New Roman" w:hAnsi="Times New Roman" w:eastAsia="仿宋_GB2312"/>
          <w:sz w:val="32"/>
        </w:rPr>
      </w:pPr>
      <w:r>
        <w:rPr>
          <w:rFonts w:ascii="Times New Roman" w:hAnsi="Times New Roman" w:eastAsia="仿宋_GB2312"/>
          <w:sz w:val="32"/>
        </w:rPr>
        <w:t>A132.立项程序规范性：根据项目前期申报资料，项目按照规定的程序申报，立项充分，程序合规。</w:t>
      </w:r>
    </w:p>
    <w:p w14:paraId="56C314B5">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该项指标满分为2分，根据评分标准得2分。</w:t>
      </w:r>
    </w:p>
    <w:p w14:paraId="1D05233B">
      <w:pPr>
        <w:spacing w:line="600" w:lineRule="exact"/>
        <w:ind w:firstLine="640" w:firstLineChars="200"/>
        <w:rPr>
          <w:rFonts w:ascii="Times New Roman" w:hAnsi="Times New Roman" w:eastAsia="仿宋_GB2312"/>
          <w:sz w:val="32"/>
        </w:rPr>
      </w:pPr>
      <w:r>
        <w:rPr>
          <w:rFonts w:ascii="Times New Roman" w:hAnsi="Times New Roman" w:eastAsia="仿宋_GB2312"/>
          <w:sz w:val="32"/>
        </w:rPr>
        <w:t>A2.项目目标</w:t>
      </w:r>
    </w:p>
    <w:p w14:paraId="23E86B70">
      <w:pPr>
        <w:spacing w:line="600" w:lineRule="exact"/>
        <w:ind w:firstLine="640" w:firstLineChars="200"/>
        <w:rPr>
          <w:rFonts w:ascii="Times New Roman" w:hAnsi="Times New Roman" w:eastAsia="仿宋_GB2312"/>
          <w:sz w:val="32"/>
        </w:rPr>
      </w:pPr>
      <w:r>
        <w:rPr>
          <w:rFonts w:ascii="Times New Roman" w:hAnsi="Times New Roman" w:eastAsia="仿宋_GB2312"/>
          <w:sz w:val="32"/>
        </w:rPr>
        <w:t>反映项目目标设立时确定的绩效目标是否合理、相关，填报的绩效指标是否明确、可衡量并与年度预算相匹配。</w:t>
      </w:r>
    </w:p>
    <w:p w14:paraId="5F7814BB">
      <w:pPr>
        <w:spacing w:line="600" w:lineRule="exact"/>
        <w:ind w:firstLine="640" w:firstLineChars="200"/>
        <w:rPr>
          <w:rFonts w:ascii="Times New Roman" w:hAnsi="Times New Roman" w:eastAsia="仿宋_GB2312"/>
          <w:sz w:val="32"/>
        </w:rPr>
      </w:pPr>
      <w:r>
        <w:rPr>
          <w:rFonts w:ascii="Times New Roman" w:hAnsi="Times New Roman" w:eastAsia="仿宋_GB2312"/>
          <w:sz w:val="32"/>
        </w:rPr>
        <w:t>A21.绩效目标设定的合理性</w:t>
      </w:r>
    </w:p>
    <w:p w14:paraId="7E2257FB">
      <w:pPr>
        <w:spacing w:line="600" w:lineRule="exact"/>
        <w:ind w:firstLine="640" w:firstLineChars="200"/>
        <w:rPr>
          <w:rFonts w:ascii="Times New Roman" w:hAnsi="Times New Roman" w:eastAsia="仿宋_GB2312"/>
          <w:sz w:val="32"/>
        </w:rPr>
      </w:pPr>
      <w:r>
        <w:rPr>
          <w:rFonts w:ascii="Times New Roman" w:hAnsi="Times New Roman" w:eastAsia="仿宋_GB2312"/>
          <w:sz w:val="32"/>
        </w:rPr>
        <w:t>A211.绩效目标相关性：通过比对绩效目标申报资料及政府规划文件，项目从基层出发以补助农户为主，项目绩效目标设定符合政府脱贫攻坚规划。</w:t>
      </w:r>
    </w:p>
    <w:p w14:paraId="0B7FD19D">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该项指标满分为2分，根据评分标准得2分。</w:t>
      </w:r>
    </w:p>
    <w:p w14:paraId="621FC2F8">
      <w:pPr>
        <w:spacing w:line="600" w:lineRule="exact"/>
        <w:ind w:firstLine="640" w:firstLineChars="200"/>
        <w:rPr>
          <w:rFonts w:ascii="Times New Roman" w:hAnsi="Times New Roman" w:eastAsia="仿宋_GB2312"/>
          <w:sz w:val="32"/>
        </w:rPr>
      </w:pPr>
      <w:r>
        <w:rPr>
          <w:rFonts w:ascii="Times New Roman" w:hAnsi="Times New Roman" w:eastAsia="仿宋_GB2312"/>
          <w:sz w:val="32"/>
        </w:rPr>
        <w:t>A212.绩效目标完成整体性：经过实地评价，项目绩效目标中种植的面积、补助的情况能够完整</w:t>
      </w:r>
      <w:r>
        <w:rPr>
          <w:rFonts w:hint="eastAsia" w:ascii="Times New Roman" w:hAnsi="Times New Roman" w:eastAsia="仿宋_GB2312"/>
          <w:sz w:val="32"/>
        </w:rPr>
        <w:t>地</w:t>
      </w:r>
      <w:r>
        <w:rPr>
          <w:rFonts w:ascii="Times New Roman" w:hAnsi="Times New Roman" w:eastAsia="仿宋_GB2312"/>
          <w:sz w:val="32"/>
        </w:rPr>
        <w:t>反映项目的实施成果。</w:t>
      </w:r>
    </w:p>
    <w:p w14:paraId="19C0A711">
      <w:pPr>
        <w:spacing w:line="600" w:lineRule="exact"/>
        <w:ind w:firstLine="640" w:firstLineChars="200"/>
        <w:rPr>
          <w:rFonts w:ascii="仿宋_GB2312" w:eastAsia="仿宋_GB2312"/>
          <w:sz w:val="32"/>
        </w:rPr>
      </w:pPr>
      <w:r>
        <w:rPr>
          <w:rFonts w:ascii="Times New Roman" w:hAnsi="Times New Roman" w:eastAsia="仿宋_GB2312"/>
          <w:sz w:val="32"/>
        </w:rPr>
        <w:t>该项目指标满分为2分，根据评分标准得2分。</w:t>
      </w:r>
    </w:p>
    <w:p w14:paraId="732444E5">
      <w:pPr>
        <w:spacing w:line="600" w:lineRule="exact"/>
        <w:ind w:firstLine="640" w:firstLineChars="200"/>
        <w:rPr>
          <w:rFonts w:ascii="Times New Roman" w:hAnsi="Times New Roman" w:eastAsia="仿宋_GB2312"/>
          <w:sz w:val="32"/>
        </w:rPr>
      </w:pPr>
      <w:r>
        <w:rPr>
          <w:rFonts w:ascii="Times New Roman" w:hAnsi="Times New Roman" w:eastAsia="仿宋_GB2312"/>
          <w:sz w:val="32"/>
        </w:rPr>
        <w:t>A213.目标与预算的匹配性：通过比对前期项目申报材料及预算资金下达文件，项目设定的绩效目标中种植亩数与补助情况与年度预算相匹配。</w:t>
      </w:r>
    </w:p>
    <w:p w14:paraId="12000C3C">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该项目指标满分为2分，根据评分标准得2分。</w:t>
      </w:r>
    </w:p>
    <w:p w14:paraId="677E0F03">
      <w:pPr>
        <w:spacing w:line="600" w:lineRule="exact"/>
        <w:ind w:firstLine="640" w:firstLineChars="200"/>
        <w:rPr>
          <w:rFonts w:ascii="Times New Roman" w:hAnsi="Times New Roman" w:eastAsia="仿宋_GB2312"/>
          <w:sz w:val="32"/>
        </w:rPr>
      </w:pPr>
      <w:r>
        <w:rPr>
          <w:rFonts w:ascii="Times New Roman" w:hAnsi="Times New Roman" w:eastAsia="仿宋_GB2312"/>
          <w:sz w:val="32"/>
        </w:rPr>
        <w:t>A22.绩效指标设定的明确性</w:t>
      </w:r>
    </w:p>
    <w:p w14:paraId="6A733A57">
      <w:pPr>
        <w:spacing w:line="600" w:lineRule="exact"/>
        <w:ind w:firstLine="640" w:firstLineChars="200"/>
        <w:rPr>
          <w:rFonts w:ascii="Times New Roman" w:hAnsi="Times New Roman" w:eastAsia="仿宋_GB2312"/>
          <w:sz w:val="32"/>
        </w:rPr>
      </w:pPr>
      <w:r>
        <w:rPr>
          <w:rFonts w:ascii="Times New Roman" w:hAnsi="Times New Roman" w:eastAsia="仿宋_GB2312"/>
          <w:sz w:val="32"/>
        </w:rPr>
        <w:t>A221.指标细化分解情况：项目确立的总体绩效指标参照政府脱贫攻坚规划，同时进行细化，明确了种植面积、蓄水池及管道铺设要求。</w:t>
      </w:r>
    </w:p>
    <w:p w14:paraId="1B5377FD">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该项目指标满分为3分，根据评分标准得3分。</w:t>
      </w:r>
    </w:p>
    <w:p w14:paraId="6E391C9F">
      <w:pPr>
        <w:spacing w:line="600" w:lineRule="exact"/>
        <w:ind w:firstLine="640" w:firstLineChars="200"/>
        <w:rPr>
          <w:rFonts w:ascii="Times New Roman" w:hAnsi="Times New Roman" w:eastAsia="仿宋_GB2312"/>
          <w:sz w:val="32"/>
        </w:rPr>
      </w:pPr>
      <w:r>
        <w:rPr>
          <w:rFonts w:ascii="Times New Roman" w:hAnsi="Times New Roman" w:eastAsia="仿宋_GB2312"/>
          <w:sz w:val="32"/>
        </w:rPr>
        <w:t>A222.指标与目标的匹配性：通过设定的绩效指标，项目设定的指标与实施单位年度工作任务相对应、相匹配。</w:t>
      </w:r>
    </w:p>
    <w:p w14:paraId="28F8A664">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该项目指标满分为3分，根据评分标准得3分。</w:t>
      </w:r>
    </w:p>
    <w:p w14:paraId="56E22ADB">
      <w:pPr>
        <w:spacing w:line="600" w:lineRule="exact"/>
        <w:ind w:firstLine="640" w:firstLineChars="200"/>
        <w:rPr>
          <w:rFonts w:ascii="Times New Roman" w:hAnsi="Times New Roman" w:eastAsia="仿宋_GB2312"/>
          <w:sz w:val="32"/>
        </w:rPr>
      </w:pPr>
      <w:r>
        <w:rPr>
          <w:rFonts w:ascii="Times New Roman" w:hAnsi="Times New Roman" w:eastAsia="仿宋_GB2312"/>
          <w:sz w:val="32"/>
        </w:rPr>
        <w:t>B.项目管理</w:t>
      </w:r>
    </w:p>
    <w:p w14:paraId="08BE8F78">
      <w:pPr>
        <w:spacing w:line="600" w:lineRule="exact"/>
        <w:ind w:firstLine="640" w:firstLineChars="200"/>
        <w:rPr>
          <w:rFonts w:ascii="Times New Roman" w:hAnsi="Times New Roman" w:eastAsia="仿宋_GB2312"/>
          <w:sz w:val="32"/>
        </w:rPr>
      </w:pPr>
      <w:r>
        <w:rPr>
          <w:rFonts w:ascii="Times New Roman" w:hAnsi="Times New Roman" w:eastAsia="仿宋_GB2312"/>
          <w:sz w:val="32"/>
        </w:rPr>
        <w:t>项目管理包括投入管理、财务管理和项目实施三方面内容。本次评价用</w:t>
      </w:r>
      <w:r>
        <w:rPr>
          <w:rFonts w:hint="eastAsia" w:ascii="Times New Roman" w:hAnsi="Times New Roman" w:eastAsia="仿宋_GB2312"/>
          <w:sz w:val="32"/>
        </w:rPr>
        <w:t>十</w:t>
      </w:r>
      <w:r>
        <w:rPr>
          <w:rFonts w:ascii="Times New Roman" w:hAnsi="Times New Roman" w:eastAsia="仿宋_GB2312"/>
          <w:sz w:val="32"/>
        </w:rPr>
        <w:t>个三级指标通过15个方面进行考察，权重分值20分，实际得分17.50分，得分率87.50%。各指标业绩值及实际得分详见下表。</w:t>
      </w:r>
    </w:p>
    <w:tbl>
      <w:tblPr>
        <w:tblStyle w:val="11"/>
        <w:tblW w:w="89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90"/>
        <w:gridCol w:w="1275"/>
        <w:gridCol w:w="1985"/>
        <w:gridCol w:w="1276"/>
      </w:tblGrid>
      <w:tr w14:paraId="15D6C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390" w:type="dxa"/>
            <w:tcBorders>
              <w:top w:val="single" w:color="000000" w:sz="4" w:space="0"/>
              <w:left w:val="single" w:color="000000" w:sz="4" w:space="0"/>
              <w:bottom w:val="single" w:color="000000" w:sz="4" w:space="0"/>
              <w:right w:val="single" w:color="000000" w:sz="4" w:space="0"/>
            </w:tcBorders>
            <w:vAlign w:val="center"/>
          </w:tcPr>
          <w:p w14:paraId="1D90CE45">
            <w:pPr>
              <w:pStyle w:val="24"/>
              <w:spacing w:before="94" w:line="200" w:lineRule="exact"/>
              <w:ind w:left="1420" w:right="1409"/>
              <w:rPr>
                <w:rFonts w:ascii="Times New Roman" w:hAnsi="Times New Roman" w:cs="Times New Roman"/>
                <w:b/>
                <w:bCs/>
                <w:sz w:val="18"/>
                <w:szCs w:val="18"/>
              </w:rPr>
            </w:pPr>
            <w:r>
              <w:rPr>
                <w:rFonts w:ascii="Times New Roman" w:hAnsi="Times New Roman" w:cs="Times New Roman"/>
                <w:b/>
                <w:bCs/>
                <w:sz w:val="18"/>
                <w:szCs w:val="18"/>
              </w:rPr>
              <w:t>指标名称</w:t>
            </w:r>
          </w:p>
        </w:tc>
        <w:tc>
          <w:tcPr>
            <w:tcW w:w="1275" w:type="dxa"/>
            <w:tcBorders>
              <w:top w:val="single" w:color="000000" w:sz="4" w:space="0"/>
              <w:left w:val="nil"/>
              <w:bottom w:val="single" w:color="000000" w:sz="4" w:space="0"/>
              <w:right w:val="single" w:color="000000" w:sz="4" w:space="0"/>
            </w:tcBorders>
            <w:vAlign w:val="center"/>
          </w:tcPr>
          <w:p w14:paraId="664AB979">
            <w:pPr>
              <w:pStyle w:val="24"/>
              <w:spacing w:before="94" w:line="200" w:lineRule="exact"/>
              <w:ind w:left="150" w:right="139"/>
              <w:rPr>
                <w:rFonts w:ascii="Times New Roman" w:hAnsi="Times New Roman" w:cs="Times New Roman"/>
                <w:b/>
                <w:bCs/>
                <w:sz w:val="18"/>
                <w:szCs w:val="18"/>
              </w:rPr>
            </w:pPr>
            <w:r>
              <w:rPr>
                <w:rFonts w:ascii="Times New Roman" w:hAnsi="Times New Roman" w:cs="Times New Roman"/>
                <w:b/>
                <w:bCs/>
                <w:sz w:val="18"/>
                <w:szCs w:val="18"/>
              </w:rPr>
              <w:t>指标分值</w:t>
            </w:r>
          </w:p>
        </w:tc>
        <w:tc>
          <w:tcPr>
            <w:tcW w:w="1985" w:type="dxa"/>
            <w:tcBorders>
              <w:top w:val="single" w:color="000000" w:sz="4" w:space="0"/>
              <w:left w:val="nil"/>
              <w:bottom w:val="single" w:color="000000" w:sz="4" w:space="0"/>
              <w:right w:val="single" w:color="000000" w:sz="4" w:space="0"/>
            </w:tcBorders>
            <w:vAlign w:val="center"/>
          </w:tcPr>
          <w:p w14:paraId="656D745A">
            <w:pPr>
              <w:pStyle w:val="24"/>
              <w:spacing w:before="94" w:line="200" w:lineRule="exact"/>
              <w:ind w:left="250" w:right="245"/>
              <w:rPr>
                <w:rFonts w:ascii="Times New Roman" w:hAnsi="Times New Roman" w:cs="Times New Roman"/>
                <w:b/>
                <w:bCs/>
                <w:sz w:val="18"/>
                <w:szCs w:val="18"/>
              </w:rPr>
            </w:pPr>
            <w:r>
              <w:rPr>
                <w:rFonts w:ascii="Times New Roman" w:hAnsi="Times New Roman" w:cs="Times New Roman"/>
                <w:b/>
                <w:bCs/>
                <w:sz w:val="18"/>
                <w:szCs w:val="18"/>
              </w:rPr>
              <w:t>业绩值</w:t>
            </w:r>
          </w:p>
        </w:tc>
        <w:tc>
          <w:tcPr>
            <w:tcW w:w="1276" w:type="dxa"/>
            <w:tcBorders>
              <w:top w:val="single" w:color="000000" w:sz="4" w:space="0"/>
              <w:left w:val="nil"/>
              <w:bottom w:val="single" w:color="000000" w:sz="4" w:space="0"/>
              <w:right w:val="single" w:color="000000" w:sz="4" w:space="0"/>
            </w:tcBorders>
            <w:vAlign w:val="center"/>
          </w:tcPr>
          <w:p w14:paraId="0CCBF9C4">
            <w:pPr>
              <w:pStyle w:val="24"/>
              <w:spacing w:before="94" w:line="200" w:lineRule="exact"/>
              <w:ind w:left="151" w:right="139"/>
              <w:rPr>
                <w:rFonts w:ascii="Times New Roman" w:hAnsi="Times New Roman" w:cs="Times New Roman"/>
                <w:b/>
                <w:bCs/>
                <w:sz w:val="18"/>
                <w:szCs w:val="18"/>
              </w:rPr>
            </w:pPr>
            <w:r>
              <w:rPr>
                <w:rFonts w:ascii="Times New Roman" w:hAnsi="Times New Roman" w:cs="Times New Roman"/>
                <w:b/>
                <w:bCs/>
                <w:sz w:val="18"/>
                <w:szCs w:val="18"/>
              </w:rPr>
              <w:t>实际得分</w:t>
            </w:r>
          </w:p>
        </w:tc>
      </w:tr>
      <w:tr w14:paraId="207A9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390" w:type="dxa"/>
            <w:tcBorders>
              <w:top w:val="single" w:color="000000" w:sz="4" w:space="0"/>
              <w:left w:val="single" w:color="000000" w:sz="4" w:space="0"/>
              <w:bottom w:val="single" w:color="000000" w:sz="4" w:space="0"/>
              <w:right w:val="single" w:color="000000" w:sz="4" w:space="0"/>
            </w:tcBorders>
            <w:vAlign w:val="center"/>
          </w:tcPr>
          <w:p w14:paraId="5EF4EF6F">
            <w:pPr>
              <w:pStyle w:val="24"/>
              <w:spacing w:before="94" w:line="200" w:lineRule="exact"/>
              <w:jc w:val="left"/>
              <w:rPr>
                <w:rFonts w:ascii="Times New Roman" w:hAnsi="Times New Roman" w:cs="Times New Roman"/>
                <w:sz w:val="18"/>
                <w:szCs w:val="18"/>
              </w:rPr>
            </w:pPr>
            <w:r>
              <w:rPr>
                <w:rFonts w:ascii="Times New Roman" w:hAnsi="Times New Roman" w:cs="Times New Roman"/>
                <w:sz w:val="18"/>
                <w:szCs w:val="18"/>
              </w:rPr>
              <w:t>B11.预算编制</w:t>
            </w:r>
            <w:r>
              <w:rPr>
                <w:rFonts w:hint="eastAsia" w:ascii="Times New Roman" w:hAnsi="Times New Roman" w:cs="Times New Roman"/>
                <w:sz w:val="18"/>
                <w:szCs w:val="18"/>
              </w:rPr>
              <w:t>合理性</w:t>
            </w:r>
          </w:p>
        </w:tc>
        <w:tc>
          <w:tcPr>
            <w:tcW w:w="1275" w:type="dxa"/>
            <w:tcBorders>
              <w:top w:val="single" w:color="000000" w:sz="4" w:space="0"/>
              <w:left w:val="nil"/>
              <w:bottom w:val="single" w:color="000000" w:sz="4" w:space="0"/>
              <w:right w:val="single" w:color="000000" w:sz="4" w:space="0"/>
            </w:tcBorders>
            <w:vAlign w:val="center"/>
          </w:tcPr>
          <w:p w14:paraId="22B4ACE6">
            <w:pPr>
              <w:pStyle w:val="24"/>
              <w:spacing w:line="200" w:lineRule="exact"/>
              <w:rPr>
                <w:rFonts w:ascii="Times New Roman" w:hAnsi="Times New Roman" w:cs="Times New Roman"/>
                <w:sz w:val="18"/>
                <w:szCs w:val="18"/>
              </w:rPr>
            </w:pPr>
          </w:p>
        </w:tc>
        <w:tc>
          <w:tcPr>
            <w:tcW w:w="1985" w:type="dxa"/>
            <w:tcBorders>
              <w:top w:val="single" w:color="000000" w:sz="4" w:space="0"/>
              <w:left w:val="nil"/>
              <w:bottom w:val="single" w:color="000000" w:sz="4" w:space="0"/>
              <w:right w:val="single" w:color="000000" w:sz="4" w:space="0"/>
            </w:tcBorders>
            <w:vAlign w:val="center"/>
          </w:tcPr>
          <w:p w14:paraId="05059476">
            <w:pPr>
              <w:pStyle w:val="24"/>
              <w:spacing w:line="200" w:lineRule="exact"/>
              <w:rPr>
                <w:rFonts w:ascii="Times New Roman" w:hAnsi="Times New Roman" w:cs="Times New Roman"/>
                <w:sz w:val="18"/>
                <w:szCs w:val="18"/>
              </w:rPr>
            </w:pPr>
          </w:p>
        </w:tc>
        <w:tc>
          <w:tcPr>
            <w:tcW w:w="1276" w:type="dxa"/>
            <w:tcBorders>
              <w:top w:val="single" w:color="000000" w:sz="4" w:space="0"/>
              <w:left w:val="nil"/>
              <w:bottom w:val="single" w:color="000000" w:sz="4" w:space="0"/>
              <w:right w:val="single" w:color="000000" w:sz="4" w:space="0"/>
            </w:tcBorders>
            <w:vAlign w:val="center"/>
          </w:tcPr>
          <w:p w14:paraId="4ACB5AC8">
            <w:pPr>
              <w:pStyle w:val="24"/>
              <w:spacing w:line="200" w:lineRule="exact"/>
              <w:rPr>
                <w:rFonts w:ascii="Times New Roman" w:hAnsi="Times New Roman" w:cs="Times New Roman"/>
                <w:sz w:val="18"/>
                <w:szCs w:val="18"/>
              </w:rPr>
            </w:pPr>
          </w:p>
        </w:tc>
      </w:tr>
      <w:tr w14:paraId="61B63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390" w:type="dxa"/>
            <w:tcBorders>
              <w:top w:val="single" w:color="000000" w:sz="4" w:space="0"/>
              <w:left w:val="single" w:color="000000" w:sz="4" w:space="0"/>
              <w:bottom w:val="single" w:color="000000" w:sz="4" w:space="0"/>
              <w:right w:val="single" w:color="000000" w:sz="4" w:space="0"/>
            </w:tcBorders>
            <w:vAlign w:val="center"/>
          </w:tcPr>
          <w:p w14:paraId="2EEC0565">
            <w:pPr>
              <w:pStyle w:val="24"/>
              <w:spacing w:before="77" w:line="200" w:lineRule="exact"/>
              <w:ind w:right="142" w:firstLine="360" w:firstLineChars="200"/>
              <w:jc w:val="left"/>
              <w:rPr>
                <w:rFonts w:ascii="Times New Roman" w:hAnsi="Times New Roman" w:cs="Times New Roman"/>
                <w:sz w:val="18"/>
                <w:szCs w:val="18"/>
              </w:rPr>
            </w:pPr>
            <w:r>
              <w:rPr>
                <w:rFonts w:ascii="Times New Roman" w:hAnsi="Times New Roman" w:cs="Times New Roman"/>
                <w:sz w:val="18"/>
                <w:szCs w:val="18"/>
              </w:rPr>
              <w:t>B111.预算</w:t>
            </w:r>
            <w:r>
              <w:rPr>
                <w:rFonts w:hint="eastAsia" w:ascii="Times New Roman" w:hAnsi="Times New Roman" w:cs="Times New Roman"/>
                <w:sz w:val="18"/>
                <w:szCs w:val="18"/>
              </w:rPr>
              <w:t>内容与项目内容匹配</w:t>
            </w:r>
          </w:p>
        </w:tc>
        <w:tc>
          <w:tcPr>
            <w:tcW w:w="1275" w:type="dxa"/>
            <w:tcBorders>
              <w:top w:val="single" w:color="000000" w:sz="4" w:space="0"/>
              <w:left w:val="nil"/>
              <w:bottom w:val="single" w:color="000000" w:sz="4" w:space="0"/>
              <w:right w:val="single" w:color="000000" w:sz="4" w:space="0"/>
            </w:tcBorders>
            <w:vAlign w:val="center"/>
          </w:tcPr>
          <w:p w14:paraId="68012AF0">
            <w:pPr>
              <w:pStyle w:val="24"/>
              <w:spacing w:before="1" w:line="200" w:lineRule="exact"/>
              <w:ind w:left="6"/>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.00</w:t>
            </w:r>
          </w:p>
        </w:tc>
        <w:tc>
          <w:tcPr>
            <w:tcW w:w="1985" w:type="dxa"/>
            <w:tcBorders>
              <w:top w:val="single" w:color="000000" w:sz="4" w:space="0"/>
              <w:left w:val="nil"/>
              <w:bottom w:val="single" w:color="000000" w:sz="4" w:space="0"/>
              <w:right w:val="single" w:color="000000" w:sz="4" w:space="0"/>
            </w:tcBorders>
            <w:vAlign w:val="center"/>
          </w:tcPr>
          <w:p w14:paraId="6A1AEB17">
            <w:pPr>
              <w:pStyle w:val="24"/>
              <w:spacing w:line="200" w:lineRule="exact"/>
              <w:ind w:left="252" w:right="242"/>
              <w:rPr>
                <w:rFonts w:ascii="Times New Roman" w:hAnsi="Times New Roman" w:cs="Times New Roman"/>
                <w:sz w:val="18"/>
                <w:szCs w:val="18"/>
              </w:rPr>
            </w:pPr>
            <w:r>
              <w:rPr>
                <w:rFonts w:hint="eastAsia" w:ascii="Times New Roman" w:hAnsi="Times New Roman" w:cs="Times New Roman"/>
                <w:sz w:val="18"/>
                <w:szCs w:val="18"/>
              </w:rPr>
              <w:t>匹配</w:t>
            </w:r>
          </w:p>
        </w:tc>
        <w:tc>
          <w:tcPr>
            <w:tcW w:w="1276" w:type="dxa"/>
            <w:tcBorders>
              <w:top w:val="single" w:color="000000" w:sz="4" w:space="0"/>
              <w:left w:val="nil"/>
              <w:bottom w:val="single" w:color="000000" w:sz="4" w:space="0"/>
              <w:right w:val="single" w:color="000000" w:sz="4" w:space="0"/>
            </w:tcBorders>
            <w:vAlign w:val="center"/>
          </w:tcPr>
          <w:p w14:paraId="6DDD68F7">
            <w:pPr>
              <w:pStyle w:val="24"/>
              <w:spacing w:before="1" w:line="200" w:lineRule="exact"/>
              <w:ind w:left="151" w:right="139"/>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.00</w:t>
            </w:r>
          </w:p>
        </w:tc>
      </w:tr>
      <w:tr w14:paraId="02444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390" w:type="dxa"/>
            <w:tcBorders>
              <w:top w:val="single" w:color="000000" w:sz="4" w:space="0"/>
              <w:left w:val="single" w:color="000000" w:sz="4" w:space="0"/>
              <w:bottom w:val="single" w:color="000000" w:sz="4" w:space="0"/>
              <w:right w:val="single" w:color="000000" w:sz="4" w:space="0"/>
            </w:tcBorders>
            <w:vAlign w:val="center"/>
          </w:tcPr>
          <w:p w14:paraId="1C641D86">
            <w:pPr>
              <w:pStyle w:val="24"/>
              <w:spacing w:before="95" w:line="200" w:lineRule="exact"/>
              <w:ind w:right="1821" w:rightChars="867"/>
              <w:jc w:val="both"/>
              <w:rPr>
                <w:rFonts w:ascii="Times New Roman" w:hAnsi="Times New Roman" w:cs="Times New Roman"/>
                <w:sz w:val="18"/>
                <w:szCs w:val="18"/>
              </w:rPr>
            </w:pPr>
            <w:bookmarkStart w:id="73" w:name="_Hlk47968489"/>
            <w:r>
              <w:rPr>
                <w:rFonts w:ascii="Times New Roman" w:hAnsi="Times New Roman" w:cs="Times New Roman"/>
                <w:sz w:val="18"/>
                <w:szCs w:val="18"/>
              </w:rPr>
              <w:t>B12.</w:t>
            </w:r>
            <w:r>
              <w:rPr>
                <w:rFonts w:hint="eastAsia" w:ascii="Times New Roman" w:hAnsi="Times New Roman" w:cs="Times New Roman"/>
                <w:sz w:val="18"/>
                <w:szCs w:val="18"/>
              </w:rPr>
              <w:t>预算调整规范性</w:t>
            </w:r>
            <w:bookmarkEnd w:id="73"/>
          </w:p>
        </w:tc>
        <w:tc>
          <w:tcPr>
            <w:tcW w:w="1275" w:type="dxa"/>
            <w:tcBorders>
              <w:top w:val="single" w:color="000000" w:sz="4" w:space="0"/>
              <w:left w:val="nil"/>
              <w:bottom w:val="single" w:color="000000" w:sz="4" w:space="0"/>
              <w:right w:val="single" w:color="000000" w:sz="4" w:space="0"/>
            </w:tcBorders>
            <w:vAlign w:val="center"/>
          </w:tcPr>
          <w:p w14:paraId="0936FE18">
            <w:pPr>
              <w:pStyle w:val="24"/>
              <w:spacing w:before="106" w:line="200" w:lineRule="exact"/>
              <w:ind w:left="6"/>
              <w:rPr>
                <w:rFonts w:ascii="Times New Roman" w:hAnsi="Times New Roman" w:cs="Times New Roman"/>
                <w:sz w:val="18"/>
                <w:szCs w:val="18"/>
              </w:rPr>
            </w:pPr>
          </w:p>
        </w:tc>
        <w:tc>
          <w:tcPr>
            <w:tcW w:w="1985" w:type="dxa"/>
            <w:tcBorders>
              <w:top w:val="single" w:color="000000" w:sz="4" w:space="0"/>
              <w:left w:val="nil"/>
              <w:bottom w:val="single" w:color="000000" w:sz="4" w:space="0"/>
              <w:right w:val="single" w:color="000000" w:sz="4" w:space="0"/>
            </w:tcBorders>
            <w:vAlign w:val="center"/>
          </w:tcPr>
          <w:p w14:paraId="577E951A">
            <w:pPr>
              <w:pStyle w:val="24"/>
              <w:spacing w:before="95" w:line="200" w:lineRule="exact"/>
              <w:ind w:left="252" w:right="242"/>
              <w:rPr>
                <w:rFonts w:ascii="Times New Roman" w:hAnsi="Times New Roman" w:cs="Times New Roman"/>
                <w:sz w:val="18"/>
                <w:szCs w:val="18"/>
              </w:rPr>
            </w:pPr>
          </w:p>
        </w:tc>
        <w:tc>
          <w:tcPr>
            <w:tcW w:w="1276" w:type="dxa"/>
            <w:tcBorders>
              <w:top w:val="single" w:color="000000" w:sz="4" w:space="0"/>
              <w:left w:val="nil"/>
              <w:bottom w:val="single" w:color="000000" w:sz="4" w:space="0"/>
              <w:right w:val="single" w:color="000000" w:sz="4" w:space="0"/>
            </w:tcBorders>
            <w:vAlign w:val="center"/>
          </w:tcPr>
          <w:p w14:paraId="2B946821">
            <w:pPr>
              <w:pStyle w:val="24"/>
              <w:spacing w:before="106" w:line="200" w:lineRule="exact"/>
              <w:ind w:left="151" w:right="139"/>
              <w:rPr>
                <w:rFonts w:ascii="Times New Roman" w:hAnsi="Times New Roman" w:cs="Times New Roman"/>
                <w:sz w:val="18"/>
                <w:szCs w:val="18"/>
              </w:rPr>
            </w:pPr>
          </w:p>
        </w:tc>
      </w:tr>
      <w:tr w14:paraId="1E681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390" w:type="dxa"/>
            <w:tcBorders>
              <w:top w:val="single" w:color="000000" w:sz="4" w:space="0"/>
              <w:left w:val="single" w:color="000000" w:sz="4" w:space="0"/>
              <w:bottom w:val="single" w:color="000000" w:sz="4" w:space="0"/>
              <w:right w:val="single" w:color="000000" w:sz="4" w:space="0"/>
            </w:tcBorders>
            <w:vAlign w:val="center"/>
          </w:tcPr>
          <w:p w14:paraId="1FEF8CE4">
            <w:pPr>
              <w:spacing w:line="200" w:lineRule="exact"/>
              <w:ind w:firstLine="360" w:firstLineChars="200"/>
              <w:rPr>
                <w:rFonts w:ascii="Times New Roman" w:hAnsi="Times New Roman" w:eastAsia="仿宋_GB2312"/>
                <w:sz w:val="18"/>
                <w:szCs w:val="18"/>
              </w:rPr>
            </w:pPr>
            <w:r>
              <w:rPr>
                <w:rFonts w:ascii="Times New Roman" w:hAnsi="Times New Roman" w:eastAsia="仿宋_GB2312"/>
                <w:sz w:val="18"/>
                <w:szCs w:val="18"/>
              </w:rPr>
              <w:t>B121.</w:t>
            </w:r>
            <w:r>
              <w:rPr>
                <w:rFonts w:hint="eastAsia" w:ascii="Times New Roman" w:hAnsi="Times New Roman" w:eastAsia="仿宋_GB2312"/>
                <w:sz w:val="18"/>
                <w:szCs w:val="18"/>
              </w:rPr>
              <w:t>预算调整均取得相应批复</w:t>
            </w:r>
          </w:p>
        </w:tc>
        <w:tc>
          <w:tcPr>
            <w:tcW w:w="1275" w:type="dxa"/>
            <w:tcBorders>
              <w:top w:val="single" w:color="000000" w:sz="4" w:space="0"/>
              <w:left w:val="nil"/>
              <w:bottom w:val="single" w:color="000000" w:sz="4" w:space="0"/>
              <w:right w:val="single" w:color="000000" w:sz="4" w:space="0"/>
            </w:tcBorders>
            <w:vAlign w:val="center"/>
          </w:tcPr>
          <w:p w14:paraId="72C5BAF3">
            <w:pPr>
              <w:pStyle w:val="24"/>
              <w:spacing w:line="200" w:lineRule="exact"/>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.00</w:t>
            </w:r>
          </w:p>
        </w:tc>
        <w:tc>
          <w:tcPr>
            <w:tcW w:w="1985" w:type="dxa"/>
            <w:tcBorders>
              <w:top w:val="single" w:color="000000" w:sz="4" w:space="0"/>
              <w:left w:val="nil"/>
              <w:bottom w:val="single" w:color="000000" w:sz="4" w:space="0"/>
              <w:right w:val="single" w:color="000000" w:sz="4" w:space="0"/>
            </w:tcBorders>
            <w:vAlign w:val="center"/>
          </w:tcPr>
          <w:p w14:paraId="2A37C66B">
            <w:pPr>
              <w:pStyle w:val="24"/>
              <w:spacing w:line="200" w:lineRule="exact"/>
              <w:rPr>
                <w:rFonts w:ascii="Times New Roman" w:hAnsi="Times New Roman" w:cs="Times New Roman"/>
                <w:sz w:val="18"/>
                <w:szCs w:val="18"/>
              </w:rPr>
            </w:pPr>
            <w:r>
              <w:rPr>
                <w:rFonts w:hint="eastAsia" w:ascii="Times New Roman" w:hAnsi="Times New Roman" w:cs="Times New Roman"/>
                <w:sz w:val="18"/>
                <w:szCs w:val="18"/>
              </w:rPr>
              <w:t>无调整</w:t>
            </w:r>
          </w:p>
        </w:tc>
        <w:tc>
          <w:tcPr>
            <w:tcW w:w="1276" w:type="dxa"/>
            <w:tcBorders>
              <w:top w:val="single" w:color="000000" w:sz="4" w:space="0"/>
              <w:left w:val="nil"/>
              <w:bottom w:val="single" w:color="000000" w:sz="4" w:space="0"/>
              <w:right w:val="single" w:color="000000" w:sz="4" w:space="0"/>
            </w:tcBorders>
            <w:vAlign w:val="center"/>
          </w:tcPr>
          <w:p w14:paraId="405B4408">
            <w:pPr>
              <w:pStyle w:val="24"/>
              <w:spacing w:line="200" w:lineRule="exact"/>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00</w:t>
            </w:r>
          </w:p>
        </w:tc>
      </w:tr>
      <w:tr w14:paraId="1A829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390" w:type="dxa"/>
            <w:tcBorders>
              <w:top w:val="single" w:color="000000" w:sz="4" w:space="0"/>
              <w:left w:val="single" w:color="000000" w:sz="4" w:space="0"/>
              <w:bottom w:val="single" w:color="000000" w:sz="4" w:space="0"/>
              <w:right w:val="single" w:color="000000" w:sz="4" w:space="0"/>
            </w:tcBorders>
            <w:vAlign w:val="center"/>
          </w:tcPr>
          <w:p w14:paraId="436EDFC3">
            <w:pPr>
              <w:pStyle w:val="24"/>
              <w:spacing w:before="94" w:line="200" w:lineRule="exact"/>
              <w:jc w:val="left"/>
              <w:rPr>
                <w:rFonts w:ascii="Times New Roman" w:hAnsi="Times New Roman" w:cs="Times New Roman"/>
                <w:sz w:val="18"/>
                <w:szCs w:val="18"/>
              </w:rPr>
            </w:pPr>
            <w:r>
              <w:rPr>
                <w:rFonts w:ascii="Times New Roman" w:hAnsi="Times New Roman" w:cs="Times New Roman"/>
                <w:sz w:val="18"/>
                <w:szCs w:val="18"/>
              </w:rPr>
              <w:t>B13.</w:t>
            </w:r>
            <w:r>
              <w:rPr>
                <w:rFonts w:hint="eastAsia" w:ascii="Times New Roman" w:hAnsi="Times New Roman" w:cs="Times New Roman"/>
                <w:sz w:val="18"/>
                <w:szCs w:val="18"/>
              </w:rPr>
              <w:t>预算执行率</w:t>
            </w:r>
          </w:p>
        </w:tc>
        <w:tc>
          <w:tcPr>
            <w:tcW w:w="1275" w:type="dxa"/>
            <w:tcBorders>
              <w:top w:val="single" w:color="000000" w:sz="4" w:space="0"/>
              <w:left w:val="nil"/>
              <w:bottom w:val="single" w:color="000000" w:sz="4" w:space="0"/>
              <w:right w:val="single" w:color="000000" w:sz="4" w:space="0"/>
            </w:tcBorders>
            <w:vAlign w:val="center"/>
          </w:tcPr>
          <w:p w14:paraId="51F633EB">
            <w:pPr>
              <w:pStyle w:val="24"/>
              <w:spacing w:line="200" w:lineRule="exact"/>
              <w:rPr>
                <w:rFonts w:ascii="Times New Roman" w:hAnsi="Times New Roman" w:cs="Times New Roman"/>
                <w:sz w:val="18"/>
                <w:szCs w:val="18"/>
              </w:rPr>
            </w:pPr>
          </w:p>
        </w:tc>
        <w:tc>
          <w:tcPr>
            <w:tcW w:w="1985" w:type="dxa"/>
            <w:tcBorders>
              <w:top w:val="single" w:color="000000" w:sz="4" w:space="0"/>
              <w:left w:val="nil"/>
              <w:bottom w:val="single" w:color="000000" w:sz="4" w:space="0"/>
              <w:right w:val="single" w:color="000000" w:sz="4" w:space="0"/>
            </w:tcBorders>
            <w:vAlign w:val="center"/>
          </w:tcPr>
          <w:p w14:paraId="260A8095">
            <w:pPr>
              <w:pStyle w:val="24"/>
              <w:spacing w:line="200" w:lineRule="exact"/>
              <w:rPr>
                <w:rFonts w:ascii="Times New Roman" w:hAnsi="Times New Roman" w:cs="Times New Roman"/>
                <w:sz w:val="18"/>
                <w:szCs w:val="18"/>
              </w:rPr>
            </w:pPr>
          </w:p>
        </w:tc>
        <w:tc>
          <w:tcPr>
            <w:tcW w:w="1276" w:type="dxa"/>
            <w:tcBorders>
              <w:top w:val="single" w:color="000000" w:sz="4" w:space="0"/>
              <w:left w:val="nil"/>
              <w:bottom w:val="single" w:color="000000" w:sz="4" w:space="0"/>
              <w:right w:val="single" w:color="000000" w:sz="4" w:space="0"/>
            </w:tcBorders>
            <w:vAlign w:val="center"/>
          </w:tcPr>
          <w:p w14:paraId="1E254972">
            <w:pPr>
              <w:pStyle w:val="24"/>
              <w:spacing w:line="200" w:lineRule="exact"/>
              <w:rPr>
                <w:rFonts w:ascii="Times New Roman" w:hAnsi="Times New Roman" w:cs="Times New Roman"/>
                <w:sz w:val="18"/>
                <w:szCs w:val="18"/>
              </w:rPr>
            </w:pPr>
          </w:p>
        </w:tc>
      </w:tr>
      <w:tr w14:paraId="4F22D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390" w:type="dxa"/>
            <w:tcBorders>
              <w:top w:val="single" w:color="000000" w:sz="4" w:space="0"/>
              <w:left w:val="single" w:color="000000" w:sz="4" w:space="0"/>
              <w:bottom w:val="single" w:color="000000" w:sz="4" w:space="0"/>
              <w:right w:val="single" w:color="000000" w:sz="4" w:space="0"/>
            </w:tcBorders>
            <w:vAlign w:val="center"/>
          </w:tcPr>
          <w:p w14:paraId="4DF9184E">
            <w:pPr>
              <w:pStyle w:val="24"/>
              <w:spacing w:before="94" w:line="200" w:lineRule="exact"/>
              <w:ind w:firstLine="360" w:firstLineChars="200"/>
              <w:jc w:val="left"/>
              <w:rPr>
                <w:rFonts w:ascii="Times New Roman" w:hAnsi="Times New Roman" w:cs="Times New Roman"/>
                <w:sz w:val="18"/>
                <w:szCs w:val="18"/>
              </w:rPr>
            </w:pPr>
            <w:r>
              <w:rPr>
                <w:rFonts w:hint="eastAsia" w:ascii="Times New Roman" w:hAnsi="Times New Roman" w:cs="Times New Roman"/>
                <w:sz w:val="18"/>
                <w:szCs w:val="18"/>
              </w:rPr>
              <w:t>B</w:t>
            </w:r>
            <w:r>
              <w:rPr>
                <w:rFonts w:ascii="Times New Roman" w:hAnsi="Times New Roman" w:cs="Times New Roman"/>
                <w:sz w:val="18"/>
                <w:szCs w:val="18"/>
              </w:rPr>
              <w:t>131.</w:t>
            </w:r>
            <w:r>
              <w:rPr>
                <w:rFonts w:hint="eastAsia" w:ascii="Times New Roman" w:hAnsi="Times New Roman" w:cs="Times New Roman"/>
                <w:sz w:val="18"/>
                <w:szCs w:val="18"/>
              </w:rPr>
              <w:t>实际资金投入对比预算投入情况</w:t>
            </w:r>
          </w:p>
        </w:tc>
        <w:tc>
          <w:tcPr>
            <w:tcW w:w="1275" w:type="dxa"/>
            <w:tcBorders>
              <w:top w:val="single" w:color="000000" w:sz="4" w:space="0"/>
              <w:left w:val="nil"/>
              <w:bottom w:val="single" w:color="000000" w:sz="4" w:space="0"/>
              <w:right w:val="single" w:color="000000" w:sz="4" w:space="0"/>
            </w:tcBorders>
            <w:vAlign w:val="center"/>
          </w:tcPr>
          <w:p w14:paraId="2C61E956">
            <w:pPr>
              <w:pStyle w:val="24"/>
              <w:spacing w:line="200" w:lineRule="exact"/>
              <w:rPr>
                <w:rFonts w:ascii="Times New Roman" w:hAnsi="Times New Roman" w:cs="Times New Roman"/>
                <w:sz w:val="18"/>
                <w:szCs w:val="18"/>
              </w:rPr>
            </w:pPr>
            <w:r>
              <w:rPr>
                <w:rFonts w:ascii="Times New Roman" w:hAnsi="Times New Roman" w:cs="Times New Roman"/>
                <w:sz w:val="18"/>
                <w:szCs w:val="18"/>
              </w:rPr>
              <w:t>2.00</w:t>
            </w:r>
          </w:p>
        </w:tc>
        <w:tc>
          <w:tcPr>
            <w:tcW w:w="1985" w:type="dxa"/>
            <w:tcBorders>
              <w:top w:val="single" w:color="000000" w:sz="4" w:space="0"/>
              <w:left w:val="nil"/>
              <w:bottom w:val="single" w:color="000000" w:sz="4" w:space="0"/>
              <w:right w:val="single" w:color="000000" w:sz="4" w:space="0"/>
            </w:tcBorders>
            <w:vAlign w:val="center"/>
          </w:tcPr>
          <w:p w14:paraId="32ED1A75">
            <w:pPr>
              <w:pStyle w:val="24"/>
              <w:spacing w:line="200" w:lineRule="exact"/>
              <w:rPr>
                <w:rFonts w:ascii="Times New Roman" w:hAnsi="Times New Roman" w:cs="Times New Roman"/>
                <w:sz w:val="18"/>
                <w:szCs w:val="18"/>
              </w:rPr>
            </w:pPr>
            <w:r>
              <w:rPr>
                <w:rFonts w:hint="eastAsia" w:ascii="Times New Roman" w:hAnsi="Times New Roman" w:cs="Times New Roman"/>
                <w:sz w:val="18"/>
                <w:szCs w:val="18"/>
              </w:rPr>
              <w:t>预算执行率100.00%</w:t>
            </w:r>
          </w:p>
        </w:tc>
        <w:tc>
          <w:tcPr>
            <w:tcW w:w="1276" w:type="dxa"/>
            <w:tcBorders>
              <w:top w:val="single" w:color="000000" w:sz="4" w:space="0"/>
              <w:left w:val="nil"/>
              <w:bottom w:val="single" w:color="000000" w:sz="4" w:space="0"/>
              <w:right w:val="single" w:color="000000" w:sz="4" w:space="0"/>
            </w:tcBorders>
            <w:vAlign w:val="center"/>
          </w:tcPr>
          <w:p w14:paraId="4F78D451">
            <w:pPr>
              <w:pStyle w:val="24"/>
              <w:spacing w:line="200" w:lineRule="exact"/>
              <w:rPr>
                <w:rFonts w:ascii="Times New Roman" w:hAnsi="Times New Roman" w:cs="Times New Roman"/>
                <w:sz w:val="18"/>
                <w:szCs w:val="18"/>
              </w:rPr>
            </w:pPr>
            <w:r>
              <w:rPr>
                <w:rFonts w:hint="eastAsia" w:ascii="Times New Roman" w:hAnsi="Times New Roman" w:cs="Times New Roman"/>
                <w:sz w:val="18"/>
                <w:szCs w:val="18"/>
              </w:rPr>
              <w:t>2.00</w:t>
            </w:r>
          </w:p>
        </w:tc>
      </w:tr>
      <w:tr w14:paraId="10243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390" w:type="dxa"/>
            <w:tcBorders>
              <w:top w:val="single" w:color="000000" w:sz="4" w:space="0"/>
              <w:left w:val="single" w:color="000000" w:sz="4" w:space="0"/>
              <w:bottom w:val="single" w:color="000000" w:sz="4" w:space="0"/>
              <w:right w:val="single" w:color="000000" w:sz="4" w:space="0"/>
            </w:tcBorders>
            <w:vAlign w:val="center"/>
          </w:tcPr>
          <w:p w14:paraId="503980EC">
            <w:pPr>
              <w:pStyle w:val="24"/>
              <w:spacing w:before="94" w:line="200" w:lineRule="exact"/>
              <w:jc w:val="both"/>
              <w:rPr>
                <w:rFonts w:ascii="Times New Roman" w:hAnsi="Times New Roman" w:cs="Times New Roman"/>
                <w:sz w:val="18"/>
                <w:szCs w:val="18"/>
              </w:rPr>
            </w:pPr>
            <w:r>
              <w:rPr>
                <w:rFonts w:ascii="Times New Roman" w:hAnsi="Times New Roman" w:cs="Times New Roman"/>
                <w:sz w:val="18"/>
                <w:szCs w:val="18"/>
              </w:rPr>
              <w:t>B21.资金使用情况</w:t>
            </w:r>
          </w:p>
        </w:tc>
        <w:tc>
          <w:tcPr>
            <w:tcW w:w="1275" w:type="dxa"/>
            <w:tcBorders>
              <w:top w:val="single" w:color="000000" w:sz="4" w:space="0"/>
              <w:left w:val="nil"/>
              <w:bottom w:val="single" w:color="000000" w:sz="4" w:space="0"/>
              <w:right w:val="single" w:color="000000" w:sz="4" w:space="0"/>
            </w:tcBorders>
            <w:vAlign w:val="center"/>
          </w:tcPr>
          <w:p w14:paraId="0952E804">
            <w:pPr>
              <w:pStyle w:val="24"/>
              <w:spacing w:line="200" w:lineRule="exact"/>
              <w:rPr>
                <w:rFonts w:ascii="Times New Roman" w:hAnsi="Times New Roman" w:cs="Times New Roman"/>
                <w:sz w:val="18"/>
                <w:szCs w:val="18"/>
              </w:rPr>
            </w:pPr>
          </w:p>
        </w:tc>
        <w:tc>
          <w:tcPr>
            <w:tcW w:w="1985" w:type="dxa"/>
            <w:tcBorders>
              <w:top w:val="single" w:color="000000" w:sz="4" w:space="0"/>
              <w:left w:val="nil"/>
              <w:bottom w:val="single" w:color="000000" w:sz="4" w:space="0"/>
              <w:right w:val="single" w:color="000000" w:sz="4" w:space="0"/>
            </w:tcBorders>
            <w:vAlign w:val="center"/>
          </w:tcPr>
          <w:p w14:paraId="1C84BE3C">
            <w:pPr>
              <w:pStyle w:val="24"/>
              <w:spacing w:line="200" w:lineRule="exact"/>
              <w:rPr>
                <w:rFonts w:ascii="Times New Roman" w:hAnsi="Times New Roman" w:cs="Times New Roman"/>
                <w:sz w:val="18"/>
                <w:szCs w:val="18"/>
              </w:rPr>
            </w:pPr>
          </w:p>
        </w:tc>
        <w:tc>
          <w:tcPr>
            <w:tcW w:w="1276" w:type="dxa"/>
            <w:tcBorders>
              <w:top w:val="single" w:color="000000" w:sz="4" w:space="0"/>
              <w:left w:val="nil"/>
              <w:bottom w:val="single" w:color="000000" w:sz="4" w:space="0"/>
              <w:right w:val="single" w:color="000000" w:sz="4" w:space="0"/>
            </w:tcBorders>
            <w:vAlign w:val="center"/>
          </w:tcPr>
          <w:p w14:paraId="0362344E">
            <w:pPr>
              <w:pStyle w:val="24"/>
              <w:spacing w:line="200" w:lineRule="exact"/>
              <w:rPr>
                <w:rFonts w:ascii="Times New Roman" w:hAnsi="Times New Roman" w:cs="Times New Roman"/>
                <w:sz w:val="18"/>
                <w:szCs w:val="18"/>
              </w:rPr>
            </w:pPr>
          </w:p>
        </w:tc>
      </w:tr>
      <w:tr w14:paraId="24402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390" w:type="dxa"/>
            <w:tcBorders>
              <w:top w:val="single" w:color="000000" w:sz="4" w:space="0"/>
              <w:left w:val="single" w:color="000000" w:sz="4" w:space="0"/>
              <w:bottom w:val="single" w:color="000000" w:sz="4" w:space="0"/>
              <w:right w:val="single" w:color="000000" w:sz="4" w:space="0"/>
            </w:tcBorders>
            <w:vAlign w:val="center"/>
          </w:tcPr>
          <w:p w14:paraId="75D2DCD3">
            <w:pPr>
              <w:pStyle w:val="24"/>
              <w:spacing w:before="94" w:line="200" w:lineRule="exact"/>
              <w:ind w:firstLine="360" w:firstLineChars="200"/>
              <w:jc w:val="both"/>
              <w:rPr>
                <w:rFonts w:ascii="Times New Roman" w:hAnsi="Times New Roman" w:cs="Times New Roman"/>
                <w:sz w:val="18"/>
                <w:szCs w:val="18"/>
              </w:rPr>
            </w:pPr>
            <w:r>
              <w:rPr>
                <w:rFonts w:hint="eastAsia" w:ascii="Times New Roman" w:hAnsi="Times New Roman" w:cs="Times New Roman"/>
                <w:sz w:val="18"/>
                <w:szCs w:val="18"/>
              </w:rPr>
              <w:t>B211.资金使用的合规情况</w:t>
            </w:r>
          </w:p>
        </w:tc>
        <w:tc>
          <w:tcPr>
            <w:tcW w:w="1275" w:type="dxa"/>
            <w:tcBorders>
              <w:top w:val="single" w:color="000000" w:sz="4" w:space="0"/>
              <w:left w:val="nil"/>
              <w:bottom w:val="single" w:color="000000" w:sz="4" w:space="0"/>
              <w:right w:val="single" w:color="000000" w:sz="4" w:space="0"/>
            </w:tcBorders>
            <w:vAlign w:val="center"/>
          </w:tcPr>
          <w:p w14:paraId="305541B0">
            <w:pPr>
              <w:pStyle w:val="24"/>
              <w:spacing w:line="200" w:lineRule="exact"/>
              <w:rPr>
                <w:rFonts w:ascii="Times New Roman" w:hAnsi="Times New Roman" w:cs="Times New Roman"/>
                <w:sz w:val="18"/>
                <w:szCs w:val="18"/>
              </w:rPr>
            </w:pPr>
            <w:r>
              <w:rPr>
                <w:rFonts w:hint="eastAsia" w:ascii="Times New Roman" w:hAnsi="Times New Roman" w:cs="Times New Roman"/>
                <w:sz w:val="18"/>
                <w:szCs w:val="18"/>
              </w:rPr>
              <w:t>1.00</w:t>
            </w:r>
          </w:p>
        </w:tc>
        <w:tc>
          <w:tcPr>
            <w:tcW w:w="1985" w:type="dxa"/>
            <w:tcBorders>
              <w:top w:val="single" w:color="000000" w:sz="4" w:space="0"/>
              <w:left w:val="nil"/>
              <w:bottom w:val="single" w:color="000000" w:sz="4" w:space="0"/>
              <w:right w:val="single" w:color="000000" w:sz="4" w:space="0"/>
            </w:tcBorders>
            <w:vAlign w:val="center"/>
          </w:tcPr>
          <w:p w14:paraId="2328BF9A">
            <w:pPr>
              <w:pStyle w:val="24"/>
              <w:spacing w:line="200" w:lineRule="exact"/>
              <w:rPr>
                <w:rFonts w:ascii="Times New Roman" w:hAnsi="Times New Roman" w:cs="Times New Roman"/>
                <w:sz w:val="18"/>
                <w:szCs w:val="18"/>
              </w:rPr>
            </w:pPr>
            <w:r>
              <w:rPr>
                <w:rFonts w:hint="eastAsia" w:ascii="Times New Roman" w:hAnsi="Times New Roman" w:cs="Times New Roman"/>
                <w:sz w:val="18"/>
                <w:szCs w:val="18"/>
              </w:rPr>
              <w:t>合规</w:t>
            </w:r>
          </w:p>
        </w:tc>
        <w:tc>
          <w:tcPr>
            <w:tcW w:w="1276" w:type="dxa"/>
            <w:tcBorders>
              <w:top w:val="single" w:color="000000" w:sz="4" w:space="0"/>
              <w:left w:val="nil"/>
              <w:bottom w:val="single" w:color="000000" w:sz="4" w:space="0"/>
              <w:right w:val="single" w:color="000000" w:sz="4" w:space="0"/>
            </w:tcBorders>
            <w:vAlign w:val="center"/>
          </w:tcPr>
          <w:p w14:paraId="491EE47F">
            <w:pPr>
              <w:pStyle w:val="24"/>
              <w:spacing w:line="200" w:lineRule="exact"/>
              <w:rPr>
                <w:rFonts w:ascii="Times New Roman" w:hAnsi="Times New Roman" w:cs="Times New Roman"/>
                <w:sz w:val="18"/>
                <w:szCs w:val="18"/>
              </w:rPr>
            </w:pPr>
            <w:r>
              <w:rPr>
                <w:rFonts w:hint="eastAsia" w:ascii="Times New Roman" w:hAnsi="Times New Roman" w:cs="Times New Roman"/>
                <w:sz w:val="18"/>
                <w:szCs w:val="18"/>
              </w:rPr>
              <w:t>1.00</w:t>
            </w:r>
          </w:p>
        </w:tc>
      </w:tr>
      <w:tr w14:paraId="61073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390" w:type="dxa"/>
            <w:tcBorders>
              <w:top w:val="single" w:color="000000" w:sz="4" w:space="0"/>
              <w:left w:val="single" w:color="000000" w:sz="4" w:space="0"/>
              <w:bottom w:val="single" w:color="000000" w:sz="4" w:space="0"/>
              <w:right w:val="single" w:color="000000" w:sz="4" w:space="0"/>
            </w:tcBorders>
            <w:vAlign w:val="center"/>
          </w:tcPr>
          <w:p w14:paraId="5E389C65">
            <w:pPr>
              <w:pStyle w:val="24"/>
              <w:spacing w:before="94" w:line="200" w:lineRule="exact"/>
              <w:jc w:val="both"/>
              <w:rPr>
                <w:rFonts w:ascii="Times New Roman" w:hAnsi="Times New Roman" w:cs="Times New Roman"/>
                <w:sz w:val="18"/>
                <w:szCs w:val="18"/>
              </w:rPr>
            </w:pPr>
            <w:r>
              <w:rPr>
                <w:rFonts w:ascii="Times New Roman" w:hAnsi="Times New Roman" w:cs="Times New Roman"/>
                <w:sz w:val="18"/>
                <w:szCs w:val="18"/>
              </w:rPr>
              <w:t>B22.财务管理制度</w:t>
            </w:r>
            <w:r>
              <w:rPr>
                <w:rFonts w:hint="eastAsia" w:ascii="Times New Roman" w:hAnsi="Times New Roman" w:cs="Times New Roman"/>
                <w:sz w:val="18"/>
                <w:szCs w:val="18"/>
              </w:rPr>
              <w:t>健全性</w:t>
            </w:r>
          </w:p>
        </w:tc>
        <w:tc>
          <w:tcPr>
            <w:tcW w:w="1275" w:type="dxa"/>
            <w:tcBorders>
              <w:top w:val="single" w:color="000000" w:sz="4" w:space="0"/>
              <w:left w:val="nil"/>
              <w:bottom w:val="single" w:color="000000" w:sz="4" w:space="0"/>
              <w:right w:val="single" w:color="000000" w:sz="4" w:space="0"/>
            </w:tcBorders>
            <w:vAlign w:val="center"/>
          </w:tcPr>
          <w:p w14:paraId="0D944183">
            <w:pPr>
              <w:pStyle w:val="24"/>
              <w:spacing w:line="200" w:lineRule="exact"/>
              <w:rPr>
                <w:rFonts w:ascii="Times New Roman" w:hAnsi="Times New Roman" w:cs="Times New Roman"/>
                <w:sz w:val="18"/>
                <w:szCs w:val="18"/>
              </w:rPr>
            </w:pPr>
          </w:p>
        </w:tc>
        <w:tc>
          <w:tcPr>
            <w:tcW w:w="1985" w:type="dxa"/>
            <w:tcBorders>
              <w:top w:val="single" w:color="000000" w:sz="4" w:space="0"/>
              <w:left w:val="nil"/>
              <w:bottom w:val="single" w:color="000000" w:sz="4" w:space="0"/>
              <w:right w:val="single" w:color="000000" w:sz="4" w:space="0"/>
            </w:tcBorders>
            <w:vAlign w:val="center"/>
          </w:tcPr>
          <w:p w14:paraId="2F3E1884">
            <w:pPr>
              <w:pStyle w:val="24"/>
              <w:spacing w:line="200" w:lineRule="exact"/>
              <w:rPr>
                <w:rFonts w:ascii="Times New Roman" w:hAnsi="Times New Roman" w:cs="Times New Roman"/>
                <w:sz w:val="18"/>
                <w:szCs w:val="18"/>
              </w:rPr>
            </w:pPr>
          </w:p>
        </w:tc>
        <w:tc>
          <w:tcPr>
            <w:tcW w:w="1276" w:type="dxa"/>
            <w:tcBorders>
              <w:top w:val="single" w:color="000000" w:sz="4" w:space="0"/>
              <w:left w:val="nil"/>
              <w:bottom w:val="single" w:color="000000" w:sz="4" w:space="0"/>
              <w:right w:val="single" w:color="000000" w:sz="4" w:space="0"/>
            </w:tcBorders>
            <w:vAlign w:val="center"/>
          </w:tcPr>
          <w:p w14:paraId="0415835A">
            <w:pPr>
              <w:pStyle w:val="24"/>
              <w:spacing w:line="200" w:lineRule="exact"/>
              <w:rPr>
                <w:rFonts w:ascii="Times New Roman" w:hAnsi="Times New Roman" w:cs="Times New Roman"/>
                <w:sz w:val="18"/>
                <w:szCs w:val="18"/>
              </w:rPr>
            </w:pPr>
          </w:p>
        </w:tc>
      </w:tr>
      <w:tr w14:paraId="00F8E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0" w:hRule="exact"/>
          <w:jc w:val="center"/>
        </w:trPr>
        <w:tc>
          <w:tcPr>
            <w:tcW w:w="4390" w:type="dxa"/>
            <w:tcBorders>
              <w:top w:val="single" w:color="000000" w:sz="4" w:space="0"/>
              <w:left w:val="single" w:color="000000" w:sz="4" w:space="0"/>
              <w:bottom w:val="single" w:color="000000" w:sz="4" w:space="0"/>
              <w:right w:val="single" w:color="000000" w:sz="4" w:space="0"/>
            </w:tcBorders>
            <w:vAlign w:val="center"/>
          </w:tcPr>
          <w:p w14:paraId="320EC51A">
            <w:pPr>
              <w:pStyle w:val="24"/>
              <w:spacing w:before="94" w:line="200" w:lineRule="exact"/>
              <w:ind w:firstLine="360" w:firstLineChars="200"/>
              <w:jc w:val="left"/>
              <w:rPr>
                <w:rFonts w:ascii="Times New Roman" w:hAnsi="Times New Roman" w:cs="Times New Roman"/>
                <w:sz w:val="18"/>
                <w:szCs w:val="18"/>
              </w:rPr>
            </w:pPr>
            <w:r>
              <w:rPr>
                <w:rFonts w:hint="eastAsia" w:ascii="Times New Roman" w:hAnsi="Times New Roman" w:cs="Times New Roman"/>
                <w:sz w:val="18"/>
                <w:szCs w:val="18"/>
              </w:rPr>
              <w:t>B221.财务制度及财务监管制度的健全、完善、有效完善、有效</w:t>
            </w:r>
          </w:p>
        </w:tc>
        <w:tc>
          <w:tcPr>
            <w:tcW w:w="1275" w:type="dxa"/>
            <w:tcBorders>
              <w:top w:val="single" w:color="000000" w:sz="4" w:space="0"/>
              <w:left w:val="nil"/>
              <w:bottom w:val="single" w:color="000000" w:sz="4" w:space="0"/>
              <w:right w:val="single" w:color="000000" w:sz="4" w:space="0"/>
            </w:tcBorders>
            <w:vAlign w:val="center"/>
          </w:tcPr>
          <w:p w14:paraId="1E52613C">
            <w:pPr>
              <w:pStyle w:val="24"/>
              <w:spacing w:line="200" w:lineRule="exact"/>
              <w:rPr>
                <w:rFonts w:ascii="Times New Roman" w:hAnsi="Times New Roman" w:cs="Times New Roman"/>
                <w:sz w:val="18"/>
                <w:szCs w:val="18"/>
              </w:rPr>
            </w:pPr>
            <w:r>
              <w:rPr>
                <w:rFonts w:hint="eastAsia" w:ascii="Times New Roman" w:hAnsi="Times New Roman" w:cs="Times New Roman"/>
                <w:sz w:val="18"/>
                <w:szCs w:val="18"/>
              </w:rPr>
              <w:t>2</w:t>
            </w:r>
            <w:r>
              <w:rPr>
                <w:rFonts w:ascii="Times New Roman" w:hAnsi="Times New Roman" w:cs="Times New Roman"/>
                <w:sz w:val="18"/>
                <w:szCs w:val="18"/>
              </w:rPr>
              <w:t>.00</w:t>
            </w:r>
          </w:p>
        </w:tc>
        <w:tc>
          <w:tcPr>
            <w:tcW w:w="1985" w:type="dxa"/>
            <w:tcBorders>
              <w:top w:val="single" w:color="000000" w:sz="4" w:space="0"/>
              <w:left w:val="nil"/>
              <w:bottom w:val="single" w:color="000000" w:sz="4" w:space="0"/>
              <w:right w:val="single" w:color="000000" w:sz="4" w:space="0"/>
            </w:tcBorders>
            <w:vAlign w:val="center"/>
          </w:tcPr>
          <w:p w14:paraId="51BF37BF">
            <w:pPr>
              <w:pStyle w:val="24"/>
              <w:spacing w:line="200" w:lineRule="exact"/>
              <w:rPr>
                <w:rFonts w:ascii="Times New Roman" w:hAnsi="Times New Roman" w:cs="Times New Roman"/>
                <w:sz w:val="18"/>
                <w:szCs w:val="18"/>
              </w:rPr>
            </w:pPr>
            <w:r>
              <w:rPr>
                <w:rFonts w:hint="eastAsia" w:ascii="Times New Roman" w:hAnsi="Times New Roman" w:cs="Times New Roman"/>
                <w:sz w:val="18"/>
                <w:szCs w:val="18"/>
              </w:rPr>
              <w:t>建立</w:t>
            </w:r>
          </w:p>
        </w:tc>
        <w:tc>
          <w:tcPr>
            <w:tcW w:w="1276" w:type="dxa"/>
            <w:tcBorders>
              <w:top w:val="single" w:color="000000" w:sz="4" w:space="0"/>
              <w:left w:val="nil"/>
              <w:bottom w:val="single" w:color="000000" w:sz="4" w:space="0"/>
              <w:right w:val="single" w:color="000000" w:sz="4" w:space="0"/>
            </w:tcBorders>
            <w:vAlign w:val="center"/>
          </w:tcPr>
          <w:p w14:paraId="18B0FF1F">
            <w:pPr>
              <w:pStyle w:val="24"/>
              <w:spacing w:line="200" w:lineRule="exact"/>
              <w:rPr>
                <w:rFonts w:ascii="Times New Roman" w:hAnsi="Times New Roman" w:cs="Times New Roman"/>
                <w:sz w:val="18"/>
                <w:szCs w:val="18"/>
              </w:rPr>
            </w:pPr>
            <w:r>
              <w:rPr>
                <w:rFonts w:hint="eastAsia" w:ascii="Times New Roman" w:hAnsi="Times New Roman" w:cs="Times New Roman"/>
                <w:sz w:val="18"/>
                <w:szCs w:val="18"/>
              </w:rPr>
              <w:t>2.00</w:t>
            </w:r>
          </w:p>
        </w:tc>
      </w:tr>
      <w:tr w14:paraId="05F7F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390" w:type="dxa"/>
            <w:tcBorders>
              <w:top w:val="single" w:color="000000" w:sz="4" w:space="0"/>
              <w:left w:val="single" w:color="000000" w:sz="4" w:space="0"/>
              <w:bottom w:val="single" w:color="000000" w:sz="4" w:space="0"/>
              <w:right w:val="single" w:color="000000" w:sz="4" w:space="0"/>
            </w:tcBorders>
            <w:vAlign w:val="center"/>
          </w:tcPr>
          <w:p w14:paraId="0755A4EB">
            <w:pPr>
              <w:pStyle w:val="24"/>
              <w:spacing w:before="94" w:line="200" w:lineRule="exact"/>
              <w:jc w:val="both"/>
              <w:rPr>
                <w:rFonts w:ascii="Times New Roman" w:hAnsi="Times New Roman" w:cs="Times New Roman"/>
                <w:sz w:val="18"/>
                <w:szCs w:val="18"/>
              </w:rPr>
            </w:pPr>
            <w:r>
              <w:rPr>
                <w:rFonts w:ascii="Times New Roman" w:hAnsi="Times New Roman" w:cs="Times New Roman"/>
                <w:sz w:val="18"/>
                <w:szCs w:val="18"/>
              </w:rPr>
              <w:t>B23.财务监控有效性</w:t>
            </w:r>
          </w:p>
        </w:tc>
        <w:tc>
          <w:tcPr>
            <w:tcW w:w="1275" w:type="dxa"/>
            <w:tcBorders>
              <w:top w:val="single" w:color="000000" w:sz="4" w:space="0"/>
              <w:left w:val="nil"/>
              <w:bottom w:val="single" w:color="000000" w:sz="4" w:space="0"/>
              <w:right w:val="single" w:color="000000" w:sz="4" w:space="0"/>
            </w:tcBorders>
            <w:vAlign w:val="center"/>
          </w:tcPr>
          <w:p w14:paraId="2E56E5F7">
            <w:pPr>
              <w:pStyle w:val="24"/>
              <w:spacing w:line="200" w:lineRule="exact"/>
              <w:rPr>
                <w:rFonts w:ascii="Times New Roman" w:hAnsi="Times New Roman" w:cs="Times New Roman"/>
                <w:sz w:val="18"/>
                <w:szCs w:val="18"/>
              </w:rPr>
            </w:pPr>
          </w:p>
        </w:tc>
        <w:tc>
          <w:tcPr>
            <w:tcW w:w="1985" w:type="dxa"/>
            <w:tcBorders>
              <w:top w:val="single" w:color="000000" w:sz="4" w:space="0"/>
              <w:left w:val="nil"/>
              <w:bottom w:val="single" w:color="000000" w:sz="4" w:space="0"/>
              <w:right w:val="single" w:color="000000" w:sz="4" w:space="0"/>
            </w:tcBorders>
            <w:vAlign w:val="center"/>
          </w:tcPr>
          <w:p w14:paraId="53423728">
            <w:pPr>
              <w:pStyle w:val="24"/>
              <w:spacing w:line="200" w:lineRule="exact"/>
              <w:rPr>
                <w:rFonts w:ascii="Times New Roman" w:hAnsi="Times New Roman" w:cs="Times New Roman"/>
                <w:sz w:val="18"/>
                <w:szCs w:val="18"/>
              </w:rPr>
            </w:pPr>
          </w:p>
        </w:tc>
        <w:tc>
          <w:tcPr>
            <w:tcW w:w="1276" w:type="dxa"/>
            <w:tcBorders>
              <w:top w:val="single" w:color="000000" w:sz="4" w:space="0"/>
              <w:left w:val="nil"/>
              <w:bottom w:val="single" w:color="000000" w:sz="4" w:space="0"/>
              <w:right w:val="single" w:color="000000" w:sz="4" w:space="0"/>
            </w:tcBorders>
            <w:vAlign w:val="center"/>
          </w:tcPr>
          <w:p w14:paraId="451A2776">
            <w:pPr>
              <w:pStyle w:val="24"/>
              <w:spacing w:line="200" w:lineRule="exact"/>
              <w:rPr>
                <w:rFonts w:ascii="Times New Roman" w:hAnsi="Times New Roman" w:cs="Times New Roman"/>
                <w:sz w:val="18"/>
                <w:szCs w:val="18"/>
              </w:rPr>
            </w:pPr>
          </w:p>
        </w:tc>
      </w:tr>
      <w:tr w14:paraId="0BED1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390" w:type="dxa"/>
            <w:tcBorders>
              <w:top w:val="single" w:color="000000" w:sz="4" w:space="0"/>
              <w:left w:val="single" w:color="000000" w:sz="4" w:space="0"/>
              <w:bottom w:val="single" w:color="000000" w:sz="4" w:space="0"/>
              <w:right w:val="single" w:color="000000" w:sz="4" w:space="0"/>
            </w:tcBorders>
            <w:vAlign w:val="center"/>
          </w:tcPr>
          <w:p w14:paraId="34E158CD">
            <w:pPr>
              <w:pStyle w:val="24"/>
              <w:spacing w:before="94" w:line="200" w:lineRule="exact"/>
              <w:ind w:left="108" w:firstLine="270" w:firstLineChars="150"/>
              <w:jc w:val="both"/>
              <w:rPr>
                <w:rFonts w:ascii="Times New Roman" w:hAnsi="Times New Roman" w:cs="Times New Roman"/>
                <w:sz w:val="18"/>
                <w:szCs w:val="18"/>
              </w:rPr>
            </w:pPr>
            <w:r>
              <w:rPr>
                <w:rFonts w:ascii="Times New Roman" w:hAnsi="Times New Roman" w:cs="Times New Roman"/>
                <w:sz w:val="18"/>
                <w:szCs w:val="18"/>
              </w:rPr>
              <w:t>B231.资金拨付程序完整性</w:t>
            </w:r>
          </w:p>
        </w:tc>
        <w:tc>
          <w:tcPr>
            <w:tcW w:w="1275" w:type="dxa"/>
            <w:tcBorders>
              <w:top w:val="single" w:color="000000" w:sz="4" w:space="0"/>
              <w:left w:val="nil"/>
              <w:bottom w:val="single" w:color="000000" w:sz="4" w:space="0"/>
              <w:right w:val="single" w:color="000000" w:sz="4" w:space="0"/>
            </w:tcBorders>
            <w:vAlign w:val="center"/>
          </w:tcPr>
          <w:p w14:paraId="7BD5C561">
            <w:pPr>
              <w:pStyle w:val="24"/>
              <w:spacing w:line="200" w:lineRule="exact"/>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.00</w:t>
            </w:r>
          </w:p>
        </w:tc>
        <w:tc>
          <w:tcPr>
            <w:tcW w:w="1985" w:type="dxa"/>
            <w:tcBorders>
              <w:top w:val="single" w:color="000000" w:sz="4" w:space="0"/>
              <w:left w:val="nil"/>
              <w:bottom w:val="single" w:color="000000" w:sz="4" w:space="0"/>
              <w:right w:val="single" w:color="000000" w:sz="4" w:space="0"/>
            </w:tcBorders>
            <w:vAlign w:val="center"/>
          </w:tcPr>
          <w:p w14:paraId="107E28AB">
            <w:pPr>
              <w:pStyle w:val="24"/>
              <w:spacing w:line="200" w:lineRule="exact"/>
              <w:rPr>
                <w:rFonts w:ascii="Times New Roman" w:hAnsi="Times New Roman" w:cs="Times New Roman"/>
                <w:sz w:val="18"/>
                <w:szCs w:val="18"/>
              </w:rPr>
            </w:pPr>
            <w:r>
              <w:rPr>
                <w:rFonts w:ascii="Times New Roman" w:hAnsi="Times New Roman" w:cs="Times New Roman"/>
                <w:sz w:val="18"/>
                <w:szCs w:val="18"/>
              </w:rPr>
              <w:t>完整</w:t>
            </w:r>
          </w:p>
        </w:tc>
        <w:tc>
          <w:tcPr>
            <w:tcW w:w="1276" w:type="dxa"/>
            <w:tcBorders>
              <w:top w:val="single" w:color="000000" w:sz="4" w:space="0"/>
              <w:left w:val="nil"/>
              <w:bottom w:val="single" w:color="000000" w:sz="4" w:space="0"/>
              <w:right w:val="single" w:color="000000" w:sz="4" w:space="0"/>
            </w:tcBorders>
            <w:vAlign w:val="center"/>
          </w:tcPr>
          <w:p w14:paraId="41436B66">
            <w:pPr>
              <w:pStyle w:val="24"/>
              <w:spacing w:line="200" w:lineRule="exact"/>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.00</w:t>
            </w:r>
          </w:p>
        </w:tc>
      </w:tr>
      <w:tr w14:paraId="6726D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390" w:type="dxa"/>
            <w:tcBorders>
              <w:top w:val="single" w:color="000000" w:sz="4" w:space="0"/>
              <w:left w:val="single" w:color="000000" w:sz="4" w:space="0"/>
              <w:bottom w:val="single" w:color="000000" w:sz="4" w:space="0"/>
              <w:right w:val="single" w:color="000000" w:sz="4" w:space="0"/>
            </w:tcBorders>
            <w:vAlign w:val="center"/>
          </w:tcPr>
          <w:p w14:paraId="65A15AB3">
            <w:pPr>
              <w:pStyle w:val="24"/>
              <w:spacing w:before="94" w:line="200" w:lineRule="exact"/>
              <w:ind w:left="108" w:firstLine="270" w:firstLineChars="150"/>
              <w:jc w:val="both"/>
              <w:rPr>
                <w:rFonts w:ascii="Times New Roman" w:hAnsi="Times New Roman" w:cs="Times New Roman"/>
                <w:sz w:val="18"/>
                <w:szCs w:val="18"/>
              </w:rPr>
            </w:pPr>
            <w:r>
              <w:rPr>
                <w:rFonts w:ascii="Times New Roman" w:hAnsi="Times New Roman" w:cs="Times New Roman"/>
                <w:sz w:val="18"/>
                <w:szCs w:val="18"/>
              </w:rPr>
              <w:t>B232.财务制度执行有效性</w:t>
            </w:r>
          </w:p>
        </w:tc>
        <w:tc>
          <w:tcPr>
            <w:tcW w:w="1275" w:type="dxa"/>
            <w:tcBorders>
              <w:top w:val="single" w:color="000000" w:sz="4" w:space="0"/>
              <w:left w:val="nil"/>
              <w:bottom w:val="single" w:color="000000" w:sz="4" w:space="0"/>
              <w:right w:val="single" w:color="000000" w:sz="4" w:space="0"/>
            </w:tcBorders>
            <w:vAlign w:val="center"/>
          </w:tcPr>
          <w:p w14:paraId="48697A96">
            <w:pPr>
              <w:pStyle w:val="24"/>
              <w:spacing w:line="200" w:lineRule="exact"/>
              <w:rPr>
                <w:rFonts w:ascii="Times New Roman" w:hAnsi="Times New Roman" w:cs="Times New Roman"/>
                <w:sz w:val="18"/>
                <w:szCs w:val="18"/>
              </w:rPr>
            </w:pPr>
            <w:r>
              <w:rPr>
                <w:rFonts w:hint="eastAsia" w:ascii="Times New Roman" w:hAnsi="Times New Roman" w:cs="Times New Roman"/>
                <w:sz w:val="18"/>
                <w:szCs w:val="18"/>
              </w:rPr>
              <w:t>2</w:t>
            </w:r>
            <w:r>
              <w:rPr>
                <w:rFonts w:ascii="Times New Roman" w:hAnsi="Times New Roman" w:cs="Times New Roman"/>
                <w:sz w:val="18"/>
                <w:szCs w:val="18"/>
              </w:rPr>
              <w:t>.00</w:t>
            </w:r>
          </w:p>
        </w:tc>
        <w:tc>
          <w:tcPr>
            <w:tcW w:w="1985" w:type="dxa"/>
            <w:tcBorders>
              <w:top w:val="single" w:color="000000" w:sz="4" w:space="0"/>
              <w:left w:val="nil"/>
              <w:bottom w:val="single" w:color="000000" w:sz="4" w:space="0"/>
              <w:right w:val="single" w:color="000000" w:sz="4" w:space="0"/>
            </w:tcBorders>
            <w:vAlign w:val="center"/>
          </w:tcPr>
          <w:p w14:paraId="24C1958F">
            <w:pPr>
              <w:pStyle w:val="24"/>
              <w:spacing w:line="200" w:lineRule="exact"/>
              <w:rPr>
                <w:rFonts w:ascii="Times New Roman" w:hAnsi="Times New Roman" w:cs="Times New Roman"/>
                <w:sz w:val="18"/>
                <w:szCs w:val="18"/>
              </w:rPr>
            </w:pPr>
            <w:r>
              <w:rPr>
                <w:rFonts w:ascii="Times New Roman" w:hAnsi="Times New Roman" w:cs="Times New Roman"/>
                <w:sz w:val="18"/>
                <w:szCs w:val="18"/>
              </w:rPr>
              <w:t>有效</w:t>
            </w:r>
          </w:p>
        </w:tc>
        <w:tc>
          <w:tcPr>
            <w:tcW w:w="1276" w:type="dxa"/>
            <w:tcBorders>
              <w:top w:val="single" w:color="000000" w:sz="4" w:space="0"/>
              <w:left w:val="nil"/>
              <w:bottom w:val="single" w:color="000000" w:sz="4" w:space="0"/>
              <w:right w:val="single" w:color="000000" w:sz="4" w:space="0"/>
            </w:tcBorders>
            <w:vAlign w:val="center"/>
          </w:tcPr>
          <w:p w14:paraId="6AA55BD7">
            <w:pPr>
              <w:pStyle w:val="24"/>
              <w:spacing w:line="200" w:lineRule="exact"/>
              <w:rPr>
                <w:rFonts w:ascii="Times New Roman" w:hAnsi="Times New Roman" w:cs="Times New Roman"/>
                <w:sz w:val="18"/>
                <w:szCs w:val="18"/>
              </w:rPr>
            </w:pPr>
            <w:r>
              <w:rPr>
                <w:rFonts w:hint="eastAsia" w:ascii="Times New Roman" w:hAnsi="Times New Roman" w:cs="Times New Roman"/>
                <w:sz w:val="18"/>
                <w:szCs w:val="18"/>
              </w:rPr>
              <w:t>2</w:t>
            </w:r>
            <w:r>
              <w:rPr>
                <w:rFonts w:ascii="Times New Roman" w:hAnsi="Times New Roman" w:cs="Times New Roman"/>
                <w:sz w:val="18"/>
                <w:szCs w:val="18"/>
              </w:rPr>
              <w:t>.00</w:t>
            </w:r>
          </w:p>
        </w:tc>
      </w:tr>
      <w:tr w14:paraId="33DE2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390" w:type="dxa"/>
            <w:tcBorders>
              <w:top w:val="single" w:color="000000" w:sz="4" w:space="0"/>
              <w:left w:val="single" w:color="000000" w:sz="4" w:space="0"/>
              <w:bottom w:val="single" w:color="000000" w:sz="4" w:space="0"/>
              <w:right w:val="single" w:color="000000" w:sz="4" w:space="0"/>
            </w:tcBorders>
            <w:vAlign w:val="center"/>
          </w:tcPr>
          <w:p w14:paraId="1189F47D">
            <w:pPr>
              <w:pStyle w:val="24"/>
              <w:spacing w:before="94" w:line="200" w:lineRule="exact"/>
              <w:jc w:val="both"/>
              <w:rPr>
                <w:rFonts w:ascii="Times New Roman" w:hAnsi="Times New Roman" w:cs="Times New Roman"/>
                <w:sz w:val="18"/>
                <w:szCs w:val="18"/>
              </w:rPr>
            </w:pPr>
            <w:r>
              <w:rPr>
                <w:rFonts w:ascii="Times New Roman" w:hAnsi="Times New Roman" w:cs="Times New Roman"/>
                <w:sz w:val="18"/>
                <w:szCs w:val="18"/>
              </w:rPr>
              <w:t>B31.项目管理制度健全性</w:t>
            </w:r>
          </w:p>
        </w:tc>
        <w:tc>
          <w:tcPr>
            <w:tcW w:w="1275" w:type="dxa"/>
            <w:tcBorders>
              <w:top w:val="single" w:color="000000" w:sz="4" w:space="0"/>
              <w:left w:val="nil"/>
              <w:bottom w:val="single" w:color="000000" w:sz="4" w:space="0"/>
              <w:right w:val="single" w:color="000000" w:sz="4" w:space="0"/>
            </w:tcBorders>
            <w:vAlign w:val="center"/>
          </w:tcPr>
          <w:p w14:paraId="08D339A4">
            <w:pPr>
              <w:pStyle w:val="24"/>
              <w:spacing w:line="200" w:lineRule="exact"/>
              <w:rPr>
                <w:rFonts w:ascii="Times New Roman" w:hAnsi="Times New Roman" w:cs="Times New Roman"/>
                <w:sz w:val="18"/>
                <w:szCs w:val="18"/>
              </w:rPr>
            </w:pPr>
          </w:p>
        </w:tc>
        <w:tc>
          <w:tcPr>
            <w:tcW w:w="1985" w:type="dxa"/>
            <w:tcBorders>
              <w:top w:val="single" w:color="000000" w:sz="4" w:space="0"/>
              <w:left w:val="nil"/>
              <w:bottom w:val="single" w:color="000000" w:sz="4" w:space="0"/>
              <w:right w:val="single" w:color="000000" w:sz="4" w:space="0"/>
            </w:tcBorders>
            <w:vAlign w:val="center"/>
          </w:tcPr>
          <w:p w14:paraId="0A249601">
            <w:pPr>
              <w:pStyle w:val="24"/>
              <w:spacing w:line="200" w:lineRule="exact"/>
              <w:rPr>
                <w:rFonts w:ascii="Times New Roman" w:hAnsi="Times New Roman" w:cs="Times New Roman"/>
                <w:sz w:val="18"/>
                <w:szCs w:val="18"/>
              </w:rPr>
            </w:pPr>
          </w:p>
        </w:tc>
        <w:tc>
          <w:tcPr>
            <w:tcW w:w="1276" w:type="dxa"/>
            <w:tcBorders>
              <w:top w:val="single" w:color="000000" w:sz="4" w:space="0"/>
              <w:left w:val="nil"/>
              <w:bottom w:val="single" w:color="000000" w:sz="4" w:space="0"/>
              <w:right w:val="single" w:color="000000" w:sz="4" w:space="0"/>
            </w:tcBorders>
            <w:vAlign w:val="center"/>
          </w:tcPr>
          <w:p w14:paraId="54030DB9">
            <w:pPr>
              <w:pStyle w:val="24"/>
              <w:spacing w:line="200" w:lineRule="exact"/>
              <w:rPr>
                <w:rFonts w:ascii="Times New Roman" w:hAnsi="Times New Roman" w:cs="Times New Roman"/>
                <w:sz w:val="18"/>
                <w:szCs w:val="18"/>
              </w:rPr>
            </w:pPr>
          </w:p>
        </w:tc>
      </w:tr>
      <w:tr w14:paraId="1BC4E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390" w:type="dxa"/>
            <w:tcBorders>
              <w:top w:val="single" w:color="000000" w:sz="4" w:space="0"/>
              <w:left w:val="single" w:color="000000" w:sz="4" w:space="0"/>
              <w:bottom w:val="single" w:color="000000" w:sz="4" w:space="0"/>
              <w:right w:val="single" w:color="000000" w:sz="4" w:space="0"/>
            </w:tcBorders>
            <w:vAlign w:val="center"/>
          </w:tcPr>
          <w:p w14:paraId="596375D2">
            <w:pPr>
              <w:pStyle w:val="24"/>
              <w:spacing w:before="94" w:line="200" w:lineRule="exact"/>
              <w:ind w:left="108" w:firstLine="270" w:firstLineChars="150"/>
              <w:jc w:val="both"/>
              <w:rPr>
                <w:rFonts w:ascii="Times New Roman" w:hAnsi="Times New Roman" w:cs="Times New Roman"/>
                <w:sz w:val="18"/>
                <w:szCs w:val="18"/>
              </w:rPr>
            </w:pPr>
            <w:r>
              <w:rPr>
                <w:rFonts w:ascii="Times New Roman" w:hAnsi="Times New Roman" w:cs="Times New Roman"/>
                <w:sz w:val="18"/>
                <w:szCs w:val="18"/>
              </w:rPr>
              <w:t>B311.项目实施单位管理制度健全性</w:t>
            </w:r>
          </w:p>
        </w:tc>
        <w:tc>
          <w:tcPr>
            <w:tcW w:w="1275" w:type="dxa"/>
            <w:tcBorders>
              <w:top w:val="single" w:color="000000" w:sz="4" w:space="0"/>
              <w:left w:val="nil"/>
              <w:bottom w:val="single" w:color="000000" w:sz="4" w:space="0"/>
              <w:right w:val="single" w:color="000000" w:sz="4" w:space="0"/>
            </w:tcBorders>
            <w:vAlign w:val="center"/>
          </w:tcPr>
          <w:p w14:paraId="0AD5ACF9">
            <w:pPr>
              <w:pStyle w:val="24"/>
              <w:spacing w:line="200" w:lineRule="exact"/>
              <w:rPr>
                <w:rFonts w:ascii="Times New Roman" w:hAnsi="Times New Roman" w:cs="Times New Roman"/>
                <w:sz w:val="18"/>
                <w:szCs w:val="18"/>
              </w:rPr>
            </w:pPr>
            <w:r>
              <w:rPr>
                <w:rFonts w:hint="eastAsia" w:ascii="Times New Roman" w:hAnsi="Times New Roman" w:cs="Times New Roman"/>
                <w:sz w:val="18"/>
                <w:szCs w:val="18"/>
              </w:rPr>
              <w:t>2</w:t>
            </w:r>
            <w:r>
              <w:rPr>
                <w:rFonts w:ascii="Times New Roman" w:hAnsi="Times New Roman" w:cs="Times New Roman"/>
                <w:sz w:val="18"/>
                <w:szCs w:val="18"/>
              </w:rPr>
              <w:t>.00</w:t>
            </w:r>
          </w:p>
        </w:tc>
        <w:tc>
          <w:tcPr>
            <w:tcW w:w="1985" w:type="dxa"/>
            <w:tcBorders>
              <w:top w:val="single" w:color="000000" w:sz="4" w:space="0"/>
              <w:left w:val="nil"/>
              <w:bottom w:val="single" w:color="000000" w:sz="4" w:space="0"/>
              <w:right w:val="single" w:color="000000" w:sz="4" w:space="0"/>
            </w:tcBorders>
            <w:vAlign w:val="center"/>
          </w:tcPr>
          <w:p w14:paraId="492CB851">
            <w:pPr>
              <w:pStyle w:val="24"/>
              <w:spacing w:line="200" w:lineRule="exact"/>
              <w:rPr>
                <w:rFonts w:ascii="Times New Roman" w:hAnsi="Times New Roman" w:cs="Times New Roman"/>
                <w:sz w:val="18"/>
                <w:szCs w:val="18"/>
              </w:rPr>
            </w:pPr>
            <w:r>
              <w:rPr>
                <w:rFonts w:hint="eastAsia" w:ascii="Times New Roman" w:hAnsi="Times New Roman" w:cs="Times New Roman"/>
                <w:sz w:val="18"/>
                <w:szCs w:val="18"/>
              </w:rPr>
              <w:t>不健全</w:t>
            </w:r>
          </w:p>
        </w:tc>
        <w:tc>
          <w:tcPr>
            <w:tcW w:w="1276" w:type="dxa"/>
            <w:tcBorders>
              <w:top w:val="single" w:color="000000" w:sz="4" w:space="0"/>
              <w:left w:val="nil"/>
              <w:bottom w:val="single" w:color="000000" w:sz="4" w:space="0"/>
              <w:right w:val="single" w:color="000000" w:sz="4" w:space="0"/>
            </w:tcBorders>
            <w:vAlign w:val="center"/>
          </w:tcPr>
          <w:p w14:paraId="7DC2DD24">
            <w:pPr>
              <w:pStyle w:val="24"/>
              <w:spacing w:line="200" w:lineRule="exact"/>
              <w:rPr>
                <w:rFonts w:ascii="Times New Roman" w:hAnsi="Times New Roman" w:cs="Times New Roman"/>
                <w:sz w:val="18"/>
                <w:szCs w:val="18"/>
              </w:rPr>
            </w:pPr>
            <w:r>
              <w:rPr>
                <w:rFonts w:ascii="Times New Roman" w:hAnsi="Times New Roman" w:cs="Times New Roman"/>
                <w:sz w:val="18"/>
                <w:szCs w:val="18"/>
              </w:rPr>
              <w:t>1.00</w:t>
            </w:r>
          </w:p>
        </w:tc>
      </w:tr>
      <w:tr w14:paraId="7A9BA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390" w:type="dxa"/>
            <w:tcBorders>
              <w:top w:val="single" w:color="000000" w:sz="4" w:space="0"/>
              <w:left w:val="single" w:color="000000" w:sz="4" w:space="0"/>
              <w:bottom w:val="single" w:color="000000" w:sz="4" w:space="0"/>
              <w:right w:val="single" w:color="000000" w:sz="4" w:space="0"/>
            </w:tcBorders>
            <w:vAlign w:val="center"/>
          </w:tcPr>
          <w:p w14:paraId="7878197C">
            <w:pPr>
              <w:pStyle w:val="24"/>
              <w:spacing w:before="94" w:line="200" w:lineRule="exact"/>
              <w:ind w:left="108" w:firstLine="270" w:firstLineChars="150"/>
              <w:jc w:val="both"/>
              <w:rPr>
                <w:rFonts w:ascii="Times New Roman" w:hAnsi="Times New Roman" w:cs="Times New Roman"/>
                <w:sz w:val="18"/>
                <w:szCs w:val="18"/>
              </w:rPr>
            </w:pPr>
            <w:r>
              <w:rPr>
                <w:rFonts w:ascii="Times New Roman" w:hAnsi="Times New Roman" w:cs="Times New Roman"/>
                <w:sz w:val="18"/>
                <w:szCs w:val="18"/>
              </w:rPr>
              <w:t>B312.管理方监管措施健全性</w:t>
            </w:r>
          </w:p>
        </w:tc>
        <w:tc>
          <w:tcPr>
            <w:tcW w:w="1275" w:type="dxa"/>
            <w:tcBorders>
              <w:top w:val="single" w:color="000000" w:sz="4" w:space="0"/>
              <w:left w:val="nil"/>
              <w:bottom w:val="single" w:color="000000" w:sz="4" w:space="0"/>
              <w:right w:val="single" w:color="000000" w:sz="4" w:space="0"/>
            </w:tcBorders>
            <w:vAlign w:val="center"/>
          </w:tcPr>
          <w:p w14:paraId="2C8DE639">
            <w:pPr>
              <w:pStyle w:val="24"/>
              <w:spacing w:line="200" w:lineRule="exact"/>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.00</w:t>
            </w:r>
          </w:p>
        </w:tc>
        <w:tc>
          <w:tcPr>
            <w:tcW w:w="1985" w:type="dxa"/>
            <w:tcBorders>
              <w:top w:val="single" w:color="000000" w:sz="4" w:space="0"/>
              <w:left w:val="nil"/>
              <w:bottom w:val="single" w:color="000000" w:sz="4" w:space="0"/>
              <w:right w:val="single" w:color="000000" w:sz="4" w:space="0"/>
            </w:tcBorders>
            <w:vAlign w:val="center"/>
          </w:tcPr>
          <w:p w14:paraId="33F246C2">
            <w:pPr>
              <w:pStyle w:val="24"/>
              <w:spacing w:line="200" w:lineRule="exact"/>
              <w:rPr>
                <w:rFonts w:ascii="Times New Roman" w:hAnsi="Times New Roman" w:cs="Times New Roman"/>
                <w:sz w:val="18"/>
                <w:szCs w:val="18"/>
              </w:rPr>
            </w:pPr>
            <w:r>
              <w:rPr>
                <w:rFonts w:hint="eastAsia" w:ascii="Times New Roman" w:hAnsi="Times New Roman" w:cs="Times New Roman"/>
                <w:sz w:val="18"/>
                <w:szCs w:val="18"/>
              </w:rPr>
              <w:t>不健全</w:t>
            </w:r>
          </w:p>
        </w:tc>
        <w:tc>
          <w:tcPr>
            <w:tcW w:w="1276" w:type="dxa"/>
            <w:tcBorders>
              <w:top w:val="single" w:color="000000" w:sz="4" w:space="0"/>
              <w:left w:val="nil"/>
              <w:bottom w:val="single" w:color="000000" w:sz="4" w:space="0"/>
              <w:right w:val="single" w:color="000000" w:sz="4" w:space="0"/>
            </w:tcBorders>
            <w:vAlign w:val="center"/>
          </w:tcPr>
          <w:p w14:paraId="131FE8AF">
            <w:pPr>
              <w:pStyle w:val="24"/>
              <w:spacing w:line="200" w:lineRule="exact"/>
              <w:rPr>
                <w:rFonts w:ascii="Times New Roman" w:hAnsi="Times New Roman" w:cs="Times New Roman"/>
                <w:sz w:val="18"/>
                <w:szCs w:val="18"/>
              </w:rPr>
            </w:pPr>
            <w:r>
              <w:rPr>
                <w:rFonts w:hint="eastAsia" w:ascii="Times New Roman" w:hAnsi="Times New Roman" w:cs="Times New Roman"/>
                <w:sz w:val="18"/>
                <w:szCs w:val="18"/>
              </w:rPr>
              <w:t>0.50</w:t>
            </w:r>
          </w:p>
        </w:tc>
      </w:tr>
      <w:tr w14:paraId="4CAE9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390" w:type="dxa"/>
            <w:tcBorders>
              <w:top w:val="single" w:color="000000" w:sz="4" w:space="0"/>
              <w:left w:val="single" w:color="000000" w:sz="4" w:space="0"/>
              <w:bottom w:val="single" w:color="000000" w:sz="4" w:space="0"/>
              <w:right w:val="single" w:color="000000" w:sz="4" w:space="0"/>
            </w:tcBorders>
            <w:vAlign w:val="center"/>
          </w:tcPr>
          <w:p w14:paraId="0AC939DE">
            <w:pPr>
              <w:pStyle w:val="24"/>
              <w:spacing w:before="94" w:line="200" w:lineRule="exact"/>
              <w:jc w:val="both"/>
              <w:rPr>
                <w:rFonts w:ascii="Times New Roman" w:hAnsi="Times New Roman" w:cs="Times New Roman"/>
                <w:sz w:val="18"/>
                <w:szCs w:val="18"/>
              </w:rPr>
            </w:pPr>
            <w:r>
              <w:rPr>
                <w:rFonts w:ascii="Times New Roman" w:hAnsi="Times New Roman" w:cs="Times New Roman"/>
                <w:sz w:val="18"/>
                <w:szCs w:val="18"/>
              </w:rPr>
              <w:t>B32.项目管理制度执行有效性</w:t>
            </w:r>
          </w:p>
        </w:tc>
        <w:tc>
          <w:tcPr>
            <w:tcW w:w="1275" w:type="dxa"/>
            <w:tcBorders>
              <w:top w:val="single" w:color="000000" w:sz="4" w:space="0"/>
              <w:left w:val="nil"/>
              <w:bottom w:val="single" w:color="000000" w:sz="4" w:space="0"/>
              <w:right w:val="single" w:color="000000" w:sz="4" w:space="0"/>
            </w:tcBorders>
            <w:vAlign w:val="center"/>
          </w:tcPr>
          <w:p w14:paraId="539F4FA3">
            <w:pPr>
              <w:pStyle w:val="24"/>
              <w:spacing w:line="200" w:lineRule="exact"/>
              <w:rPr>
                <w:rFonts w:ascii="Times New Roman" w:hAnsi="Times New Roman" w:cs="Times New Roman"/>
                <w:sz w:val="18"/>
                <w:szCs w:val="18"/>
              </w:rPr>
            </w:pPr>
          </w:p>
        </w:tc>
        <w:tc>
          <w:tcPr>
            <w:tcW w:w="1985" w:type="dxa"/>
            <w:tcBorders>
              <w:top w:val="single" w:color="000000" w:sz="4" w:space="0"/>
              <w:left w:val="nil"/>
              <w:bottom w:val="single" w:color="000000" w:sz="4" w:space="0"/>
              <w:right w:val="single" w:color="000000" w:sz="4" w:space="0"/>
            </w:tcBorders>
            <w:vAlign w:val="center"/>
          </w:tcPr>
          <w:p w14:paraId="6BBFA531">
            <w:pPr>
              <w:pStyle w:val="24"/>
              <w:spacing w:line="200" w:lineRule="exact"/>
              <w:rPr>
                <w:rFonts w:ascii="Times New Roman" w:hAnsi="Times New Roman" w:cs="Times New Roman"/>
                <w:sz w:val="18"/>
                <w:szCs w:val="18"/>
              </w:rPr>
            </w:pPr>
          </w:p>
        </w:tc>
        <w:tc>
          <w:tcPr>
            <w:tcW w:w="1276" w:type="dxa"/>
            <w:tcBorders>
              <w:top w:val="single" w:color="000000" w:sz="4" w:space="0"/>
              <w:left w:val="nil"/>
              <w:bottom w:val="single" w:color="000000" w:sz="4" w:space="0"/>
              <w:right w:val="single" w:color="000000" w:sz="4" w:space="0"/>
            </w:tcBorders>
            <w:vAlign w:val="center"/>
          </w:tcPr>
          <w:p w14:paraId="5BFA6A6D">
            <w:pPr>
              <w:pStyle w:val="24"/>
              <w:spacing w:line="200" w:lineRule="exact"/>
              <w:rPr>
                <w:rFonts w:ascii="Times New Roman" w:hAnsi="Times New Roman" w:cs="Times New Roman"/>
                <w:sz w:val="18"/>
                <w:szCs w:val="18"/>
              </w:rPr>
            </w:pPr>
          </w:p>
        </w:tc>
      </w:tr>
      <w:tr w14:paraId="6DB3E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390" w:type="dxa"/>
            <w:tcBorders>
              <w:top w:val="single" w:color="000000" w:sz="4" w:space="0"/>
              <w:left w:val="single" w:color="000000" w:sz="4" w:space="0"/>
              <w:bottom w:val="single" w:color="000000" w:sz="4" w:space="0"/>
              <w:right w:val="single" w:color="000000" w:sz="4" w:space="0"/>
            </w:tcBorders>
            <w:vAlign w:val="center"/>
          </w:tcPr>
          <w:p w14:paraId="2595626E">
            <w:pPr>
              <w:pStyle w:val="24"/>
              <w:spacing w:before="94" w:line="200" w:lineRule="exact"/>
              <w:ind w:left="108" w:firstLine="270" w:firstLineChars="150"/>
              <w:jc w:val="both"/>
              <w:rPr>
                <w:rFonts w:ascii="Times New Roman" w:hAnsi="Times New Roman" w:cs="Times New Roman"/>
                <w:sz w:val="18"/>
                <w:szCs w:val="18"/>
              </w:rPr>
            </w:pPr>
            <w:r>
              <w:rPr>
                <w:rFonts w:ascii="Times New Roman" w:hAnsi="Times New Roman" w:cs="Times New Roman"/>
                <w:sz w:val="18"/>
                <w:szCs w:val="18"/>
              </w:rPr>
              <w:t>B321.</w:t>
            </w:r>
            <w:r>
              <w:rPr>
                <w:rFonts w:hint="eastAsia" w:ascii="Times New Roman" w:hAnsi="Times New Roman" w:cs="Times New Roman"/>
                <w:sz w:val="18"/>
                <w:szCs w:val="18"/>
              </w:rPr>
              <w:t>项目实施单位管理制度执行情况</w:t>
            </w:r>
          </w:p>
        </w:tc>
        <w:tc>
          <w:tcPr>
            <w:tcW w:w="1275" w:type="dxa"/>
            <w:tcBorders>
              <w:top w:val="single" w:color="000000" w:sz="4" w:space="0"/>
              <w:left w:val="nil"/>
              <w:bottom w:val="single" w:color="000000" w:sz="4" w:space="0"/>
              <w:right w:val="single" w:color="000000" w:sz="4" w:space="0"/>
            </w:tcBorders>
            <w:vAlign w:val="center"/>
          </w:tcPr>
          <w:p w14:paraId="63C34C7E">
            <w:pPr>
              <w:pStyle w:val="24"/>
              <w:spacing w:line="200" w:lineRule="exact"/>
              <w:rPr>
                <w:rFonts w:ascii="Times New Roman" w:hAnsi="Times New Roman" w:cs="Times New Roman"/>
                <w:sz w:val="18"/>
                <w:szCs w:val="18"/>
              </w:rPr>
            </w:pPr>
            <w:r>
              <w:rPr>
                <w:rFonts w:hint="eastAsia" w:ascii="Times New Roman" w:hAnsi="Times New Roman" w:cs="Times New Roman"/>
                <w:sz w:val="18"/>
                <w:szCs w:val="18"/>
              </w:rPr>
              <w:t>2</w:t>
            </w:r>
            <w:r>
              <w:rPr>
                <w:rFonts w:ascii="Times New Roman" w:hAnsi="Times New Roman" w:cs="Times New Roman"/>
                <w:sz w:val="18"/>
                <w:szCs w:val="18"/>
              </w:rPr>
              <w:t>.00</w:t>
            </w:r>
          </w:p>
        </w:tc>
        <w:tc>
          <w:tcPr>
            <w:tcW w:w="1985" w:type="dxa"/>
            <w:tcBorders>
              <w:top w:val="single" w:color="000000" w:sz="4" w:space="0"/>
              <w:left w:val="nil"/>
              <w:bottom w:val="single" w:color="000000" w:sz="4" w:space="0"/>
              <w:right w:val="single" w:color="000000" w:sz="4" w:space="0"/>
            </w:tcBorders>
            <w:vAlign w:val="center"/>
          </w:tcPr>
          <w:p w14:paraId="73759A8D">
            <w:pPr>
              <w:pStyle w:val="24"/>
              <w:spacing w:line="200" w:lineRule="exact"/>
              <w:rPr>
                <w:rFonts w:ascii="Times New Roman" w:hAnsi="Times New Roman" w:cs="Times New Roman"/>
                <w:sz w:val="18"/>
                <w:szCs w:val="18"/>
              </w:rPr>
            </w:pPr>
            <w:r>
              <w:rPr>
                <w:rFonts w:hint="eastAsia" w:ascii="Times New Roman" w:hAnsi="Times New Roman" w:cs="Times New Roman"/>
                <w:sz w:val="18"/>
                <w:szCs w:val="18"/>
              </w:rPr>
              <w:t>不健全</w:t>
            </w:r>
          </w:p>
        </w:tc>
        <w:tc>
          <w:tcPr>
            <w:tcW w:w="1276" w:type="dxa"/>
            <w:tcBorders>
              <w:top w:val="single" w:color="000000" w:sz="4" w:space="0"/>
              <w:left w:val="nil"/>
              <w:bottom w:val="single" w:color="000000" w:sz="4" w:space="0"/>
              <w:right w:val="single" w:color="000000" w:sz="4" w:space="0"/>
            </w:tcBorders>
            <w:vAlign w:val="center"/>
          </w:tcPr>
          <w:p w14:paraId="792E92FF">
            <w:pPr>
              <w:pStyle w:val="24"/>
              <w:spacing w:line="200" w:lineRule="exact"/>
              <w:rPr>
                <w:rFonts w:ascii="Times New Roman" w:hAnsi="Times New Roman" w:cs="Times New Roman"/>
                <w:sz w:val="18"/>
                <w:szCs w:val="18"/>
              </w:rPr>
            </w:pPr>
            <w:r>
              <w:rPr>
                <w:rFonts w:ascii="Times New Roman" w:hAnsi="Times New Roman" w:cs="Times New Roman"/>
                <w:sz w:val="18"/>
                <w:szCs w:val="18"/>
              </w:rPr>
              <w:t>1.00</w:t>
            </w:r>
          </w:p>
        </w:tc>
      </w:tr>
      <w:tr w14:paraId="47D58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390" w:type="dxa"/>
            <w:tcBorders>
              <w:top w:val="single" w:color="000000" w:sz="4" w:space="0"/>
              <w:left w:val="single" w:color="000000" w:sz="4" w:space="0"/>
              <w:bottom w:val="single" w:color="000000" w:sz="4" w:space="0"/>
              <w:right w:val="single" w:color="000000" w:sz="4" w:space="0"/>
            </w:tcBorders>
            <w:vAlign w:val="center"/>
          </w:tcPr>
          <w:p w14:paraId="235178D3">
            <w:pPr>
              <w:pStyle w:val="24"/>
              <w:spacing w:before="94" w:line="200" w:lineRule="exact"/>
              <w:ind w:left="108" w:firstLine="270" w:firstLineChars="150"/>
              <w:jc w:val="both"/>
              <w:rPr>
                <w:rFonts w:ascii="Times New Roman" w:hAnsi="Times New Roman" w:cs="Times New Roman"/>
                <w:sz w:val="18"/>
                <w:szCs w:val="18"/>
              </w:rPr>
            </w:pPr>
            <w:r>
              <w:rPr>
                <w:rFonts w:ascii="Times New Roman" w:hAnsi="Times New Roman" w:cs="Times New Roman"/>
                <w:sz w:val="18"/>
                <w:szCs w:val="18"/>
              </w:rPr>
              <w:t>B322.监管措施执行情况</w:t>
            </w:r>
          </w:p>
        </w:tc>
        <w:tc>
          <w:tcPr>
            <w:tcW w:w="1275" w:type="dxa"/>
            <w:tcBorders>
              <w:top w:val="single" w:color="000000" w:sz="4" w:space="0"/>
              <w:left w:val="nil"/>
              <w:bottom w:val="single" w:color="000000" w:sz="4" w:space="0"/>
              <w:right w:val="single" w:color="000000" w:sz="4" w:space="0"/>
            </w:tcBorders>
            <w:vAlign w:val="center"/>
          </w:tcPr>
          <w:p w14:paraId="6B4A6645">
            <w:pPr>
              <w:pStyle w:val="24"/>
              <w:spacing w:line="200" w:lineRule="exact"/>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.00</w:t>
            </w:r>
          </w:p>
        </w:tc>
        <w:tc>
          <w:tcPr>
            <w:tcW w:w="1985" w:type="dxa"/>
            <w:tcBorders>
              <w:top w:val="single" w:color="000000" w:sz="4" w:space="0"/>
              <w:left w:val="nil"/>
              <w:bottom w:val="single" w:color="000000" w:sz="4" w:space="0"/>
              <w:right w:val="single" w:color="000000" w:sz="4" w:space="0"/>
            </w:tcBorders>
            <w:vAlign w:val="center"/>
          </w:tcPr>
          <w:p w14:paraId="05D3275F">
            <w:pPr>
              <w:pStyle w:val="24"/>
              <w:spacing w:line="200" w:lineRule="exact"/>
              <w:rPr>
                <w:rFonts w:ascii="Times New Roman" w:hAnsi="Times New Roman" w:cs="Times New Roman"/>
                <w:sz w:val="18"/>
                <w:szCs w:val="18"/>
              </w:rPr>
            </w:pPr>
            <w:r>
              <w:rPr>
                <w:rFonts w:hint="eastAsia" w:ascii="Times New Roman" w:hAnsi="Times New Roman" w:cs="Times New Roman"/>
                <w:sz w:val="18"/>
                <w:szCs w:val="18"/>
              </w:rPr>
              <w:t>实施监管</w:t>
            </w:r>
          </w:p>
        </w:tc>
        <w:tc>
          <w:tcPr>
            <w:tcW w:w="1276" w:type="dxa"/>
            <w:tcBorders>
              <w:top w:val="single" w:color="000000" w:sz="4" w:space="0"/>
              <w:left w:val="nil"/>
              <w:bottom w:val="single" w:color="000000" w:sz="4" w:space="0"/>
              <w:right w:val="single" w:color="000000" w:sz="4" w:space="0"/>
            </w:tcBorders>
            <w:vAlign w:val="center"/>
          </w:tcPr>
          <w:p w14:paraId="74578F21">
            <w:pPr>
              <w:pStyle w:val="24"/>
              <w:spacing w:line="200" w:lineRule="exact"/>
              <w:rPr>
                <w:rFonts w:ascii="Times New Roman" w:hAnsi="Times New Roman" w:cs="Times New Roman"/>
                <w:sz w:val="18"/>
                <w:szCs w:val="18"/>
              </w:rPr>
            </w:pPr>
            <w:r>
              <w:rPr>
                <w:rFonts w:hint="eastAsia" w:ascii="Times New Roman" w:hAnsi="Times New Roman" w:cs="Times New Roman"/>
                <w:sz w:val="18"/>
                <w:szCs w:val="18"/>
              </w:rPr>
              <w:t>1.00</w:t>
            </w:r>
          </w:p>
        </w:tc>
      </w:tr>
      <w:tr w14:paraId="6365F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390" w:type="dxa"/>
            <w:tcBorders>
              <w:top w:val="single" w:color="000000" w:sz="4" w:space="0"/>
              <w:left w:val="single" w:color="000000" w:sz="4" w:space="0"/>
              <w:bottom w:val="single" w:color="000000" w:sz="4" w:space="0"/>
              <w:right w:val="single" w:color="000000" w:sz="4" w:space="0"/>
            </w:tcBorders>
            <w:vAlign w:val="center"/>
          </w:tcPr>
          <w:p w14:paraId="4A00E400">
            <w:pPr>
              <w:pStyle w:val="24"/>
              <w:spacing w:before="94" w:line="200" w:lineRule="exact"/>
              <w:jc w:val="both"/>
              <w:rPr>
                <w:rFonts w:ascii="Times New Roman" w:hAnsi="Times New Roman" w:cs="Times New Roman"/>
                <w:sz w:val="18"/>
                <w:szCs w:val="18"/>
              </w:rPr>
            </w:pPr>
            <w:r>
              <w:rPr>
                <w:rFonts w:ascii="Times New Roman" w:hAnsi="Times New Roman" w:cs="Times New Roman"/>
                <w:sz w:val="18"/>
                <w:szCs w:val="18"/>
              </w:rPr>
              <w:t>B33.</w:t>
            </w:r>
            <w:r>
              <w:rPr>
                <w:rFonts w:hint="eastAsia" w:ascii="Times New Roman" w:hAnsi="Times New Roman" w:cs="Times New Roman"/>
                <w:sz w:val="18"/>
                <w:szCs w:val="18"/>
              </w:rPr>
              <w:t>项目实施规范性</w:t>
            </w:r>
          </w:p>
        </w:tc>
        <w:tc>
          <w:tcPr>
            <w:tcW w:w="1275" w:type="dxa"/>
            <w:tcBorders>
              <w:top w:val="single" w:color="000000" w:sz="4" w:space="0"/>
              <w:left w:val="nil"/>
              <w:bottom w:val="single" w:color="000000" w:sz="4" w:space="0"/>
              <w:right w:val="single" w:color="000000" w:sz="4" w:space="0"/>
            </w:tcBorders>
            <w:vAlign w:val="center"/>
          </w:tcPr>
          <w:p w14:paraId="3022314E">
            <w:pPr>
              <w:pStyle w:val="24"/>
              <w:spacing w:line="200" w:lineRule="exact"/>
              <w:rPr>
                <w:rFonts w:ascii="Times New Roman" w:hAnsi="Times New Roman" w:cs="Times New Roman"/>
                <w:sz w:val="18"/>
                <w:szCs w:val="18"/>
              </w:rPr>
            </w:pPr>
          </w:p>
        </w:tc>
        <w:tc>
          <w:tcPr>
            <w:tcW w:w="1985" w:type="dxa"/>
            <w:tcBorders>
              <w:top w:val="single" w:color="000000" w:sz="4" w:space="0"/>
              <w:left w:val="nil"/>
              <w:bottom w:val="single" w:color="000000" w:sz="4" w:space="0"/>
              <w:right w:val="single" w:color="000000" w:sz="4" w:space="0"/>
            </w:tcBorders>
            <w:vAlign w:val="center"/>
          </w:tcPr>
          <w:p w14:paraId="4AB9E74B">
            <w:pPr>
              <w:pStyle w:val="24"/>
              <w:spacing w:line="200" w:lineRule="exact"/>
              <w:rPr>
                <w:rFonts w:ascii="Times New Roman" w:hAnsi="Times New Roman" w:cs="Times New Roman"/>
                <w:sz w:val="18"/>
                <w:szCs w:val="18"/>
              </w:rPr>
            </w:pPr>
          </w:p>
        </w:tc>
        <w:tc>
          <w:tcPr>
            <w:tcW w:w="1276" w:type="dxa"/>
            <w:tcBorders>
              <w:top w:val="single" w:color="000000" w:sz="4" w:space="0"/>
              <w:left w:val="nil"/>
              <w:bottom w:val="single" w:color="000000" w:sz="4" w:space="0"/>
              <w:right w:val="single" w:color="000000" w:sz="4" w:space="0"/>
            </w:tcBorders>
            <w:vAlign w:val="center"/>
          </w:tcPr>
          <w:p w14:paraId="365847CA">
            <w:pPr>
              <w:pStyle w:val="24"/>
              <w:spacing w:line="200" w:lineRule="exact"/>
              <w:rPr>
                <w:rFonts w:ascii="Times New Roman" w:hAnsi="Times New Roman" w:cs="Times New Roman"/>
                <w:sz w:val="18"/>
                <w:szCs w:val="18"/>
              </w:rPr>
            </w:pPr>
          </w:p>
        </w:tc>
      </w:tr>
      <w:tr w14:paraId="78C1C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390" w:type="dxa"/>
            <w:tcBorders>
              <w:top w:val="single" w:color="000000" w:sz="4" w:space="0"/>
              <w:left w:val="single" w:color="000000" w:sz="4" w:space="0"/>
              <w:bottom w:val="single" w:color="000000" w:sz="4" w:space="0"/>
              <w:right w:val="single" w:color="000000" w:sz="4" w:space="0"/>
            </w:tcBorders>
            <w:vAlign w:val="center"/>
          </w:tcPr>
          <w:p w14:paraId="7A2D15C8">
            <w:pPr>
              <w:pStyle w:val="24"/>
              <w:spacing w:before="94" w:line="200" w:lineRule="exact"/>
              <w:ind w:left="108" w:firstLine="270" w:firstLineChars="150"/>
              <w:jc w:val="both"/>
              <w:rPr>
                <w:rFonts w:ascii="Times New Roman" w:hAnsi="Times New Roman" w:cs="Times New Roman"/>
                <w:sz w:val="18"/>
                <w:szCs w:val="18"/>
              </w:rPr>
            </w:pPr>
            <w:r>
              <w:rPr>
                <w:rFonts w:ascii="Times New Roman" w:hAnsi="Times New Roman" w:cs="Times New Roman"/>
                <w:sz w:val="18"/>
                <w:szCs w:val="18"/>
              </w:rPr>
              <w:t>B331.</w:t>
            </w:r>
            <w:r>
              <w:rPr>
                <w:rFonts w:hint="eastAsia" w:ascii="Times New Roman" w:hAnsi="Times New Roman" w:cs="Times New Roman"/>
                <w:sz w:val="18"/>
                <w:szCs w:val="18"/>
              </w:rPr>
              <w:t>实施方式合规性</w:t>
            </w:r>
          </w:p>
        </w:tc>
        <w:tc>
          <w:tcPr>
            <w:tcW w:w="1275" w:type="dxa"/>
            <w:tcBorders>
              <w:top w:val="single" w:color="000000" w:sz="4" w:space="0"/>
              <w:left w:val="nil"/>
              <w:bottom w:val="single" w:color="000000" w:sz="4" w:space="0"/>
              <w:right w:val="single" w:color="000000" w:sz="4" w:space="0"/>
            </w:tcBorders>
            <w:vAlign w:val="center"/>
          </w:tcPr>
          <w:p w14:paraId="68C6C25D">
            <w:pPr>
              <w:pStyle w:val="24"/>
              <w:spacing w:line="200" w:lineRule="exact"/>
              <w:rPr>
                <w:rFonts w:ascii="Times New Roman" w:hAnsi="Times New Roman" w:cs="Times New Roman"/>
                <w:sz w:val="18"/>
                <w:szCs w:val="18"/>
              </w:rPr>
            </w:pPr>
            <w:r>
              <w:rPr>
                <w:rFonts w:ascii="Times New Roman" w:hAnsi="Times New Roman" w:cs="Times New Roman"/>
                <w:sz w:val="18"/>
                <w:szCs w:val="18"/>
              </w:rPr>
              <w:t>1.00</w:t>
            </w:r>
          </w:p>
        </w:tc>
        <w:tc>
          <w:tcPr>
            <w:tcW w:w="1985" w:type="dxa"/>
            <w:tcBorders>
              <w:top w:val="single" w:color="000000" w:sz="4" w:space="0"/>
              <w:left w:val="nil"/>
              <w:bottom w:val="single" w:color="000000" w:sz="4" w:space="0"/>
              <w:right w:val="single" w:color="000000" w:sz="4" w:space="0"/>
            </w:tcBorders>
            <w:vAlign w:val="center"/>
          </w:tcPr>
          <w:p w14:paraId="533BCFF0">
            <w:pPr>
              <w:pStyle w:val="24"/>
              <w:spacing w:line="200" w:lineRule="exact"/>
              <w:rPr>
                <w:rFonts w:ascii="Times New Roman" w:hAnsi="Times New Roman" w:cs="Times New Roman"/>
                <w:sz w:val="18"/>
                <w:szCs w:val="18"/>
              </w:rPr>
            </w:pPr>
            <w:r>
              <w:rPr>
                <w:rFonts w:hint="eastAsia" w:ascii="Times New Roman" w:hAnsi="Times New Roman" w:cs="Times New Roman"/>
                <w:sz w:val="18"/>
                <w:szCs w:val="18"/>
              </w:rPr>
              <w:t>合规</w:t>
            </w:r>
          </w:p>
        </w:tc>
        <w:tc>
          <w:tcPr>
            <w:tcW w:w="1276" w:type="dxa"/>
            <w:tcBorders>
              <w:top w:val="single" w:color="000000" w:sz="4" w:space="0"/>
              <w:left w:val="nil"/>
              <w:bottom w:val="single" w:color="000000" w:sz="4" w:space="0"/>
              <w:right w:val="single" w:color="000000" w:sz="4" w:space="0"/>
            </w:tcBorders>
            <w:vAlign w:val="center"/>
          </w:tcPr>
          <w:p w14:paraId="3862120B">
            <w:pPr>
              <w:pStyle w:val="24"/>
              <w:spacing w:line="200" w:lineRule="exact"/>
              <w:rPr>
                <w:rFonts w:ascii="Times New Roman" w:hAnsi="Times New Roman" w:cs="Times New Roman"/>
                <w:sz w:val="18"/>
                <w:szCs w:val="18"/>
              </w:rPr>
            </w:pPr>
            <w:r>
              <w:rPr>
                <w:rFonts w:ascii="Times New Roman" w:hAnsi="Times New Roman" w:cs="Times New Roman"/>
                <w:sz w:val="18"/>
                <w:szCs w:val="18"/>
              </w:rPr>
              <w:t>1.00</w:t>
            </w:r>
          </w:p>
        </w:tc>
      </w:tr>
      <w:tr w14:paraId="4AE5A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390" w:type="dxa"/>
            <w:tcBorders>
              <w:top w:val="single" w:color="000000" w:sz="4" w:space="0"/>
              <w:left w:val="single" w:color="000000" w:sz="4" w:space="0"/>
              <w:bottom w:val="single" w:color="000000" w:sz="4" w:space="0"/>
              <w:right w:val="single" w:color="000000" w:sz="4" w:space="0"/>
            </w:tcBorders>
            <w:vAlign w:val="center"/>
          </w:tcPr>
          <w:p w14:paraId="5F659F6A">
            <w:pPr>
              <w:pStyle w:val="24"/>
              <w:spacing w:before="94" w:line="200" w:lineRule="exact"/>
              <w:ind w:firstLine="360" w:firstLineChars="200"/>
              <w:jc w:val="both"/>
              <w:rPr>
                <w:rFonts w:ascii="Times New Roman" w:hAnsi="Times New Roman" w:cs="Times New Roman"/>
                <w:sz w:val="18"/>
                <w:szCs w:val="18"/>
              </w:rPr>
            </w:pPr>
            <w:r>
              <w:rPr>
                <w:rFonts w:hint="eastAsia" w:ascii="Times New Roman" w:hAnsi="Times New Roman" w:cs="Times New Roman"/>
                <w:sz w:val="18"/>
                <w:szCs w:val="18"/>
              </w:rPr>
              <w:t>B</w:t>
            </w:r>
            <w:r>
              <w:rPr>
                <w:rFonts w:ascii="Times New Roman" w:hAnsi="Times New Roman" w:cs="Times New Roman"/>
                <w:sz w:val="18"/>
                <w:szCs w:val="18"/>
              </w:rPr>
              <w:t>332.</w:t>
            </w:r>
            <w:r>
              <w:rPr>
                <w:rFonts w:hint="eastAsia" w:ascii="Times New Roman" w:hAnsi="Times New Roman" w:cs="Times New Roman"/>
                <w:sz w:val="18"/>
                <w:szCs w:val="18"/>
              </w:rPr>
              <w:t>实施流程规范性</w:t>
            </w:r>
          </w:p>
        </w:tc>
        <w:tc>
          <w:tcPr>
            <w:tcW w:w="1275" w:type="dxa"/>
            <w:tcBorders>
              <w:top w:val="single" w:color="000000" w:sz="4" w:space="0"/>
              <w:left w:val="nil"/>
              <w:bottom w:val="single" w:color="000000" w:sz="4" w:space="0"/>
              <w:right w:val="single" w:color="000000" w:sz="4" w:space="0"/>
            </w:tcBorders>
            <w:vAlign w:val="center"/>
          </w:tcPr>
          <w:p w14:paraId="274FD2D9">
            <w:pPr>
              <w:pStyle w:val="24"/>
              <w:spacing w:line="200" w:lineRule="exact"/>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.00</w:t>
            </w:r>
          </w:p>
        </w:tc>
        <w:tc>
          <w:tcPr>
            <w:tcW w:w="1985" w:type="dxa"/>
            <w:tcBorders>
              <w:top w:val="single" w:color="000000" w:sz="4" w:space="0"/>
              <w:left w:val="nil"/>
              <w:bottom w:val="single" w:color="000000" w:sz="4" w:space="0"/>
              <w:right w:val="single" w:color="000000" w:sz="4" w:space="0"/>
            </w:tcBorders>
            <w:vAlign w:val="center"/>
          </w:tcPr>
          <w:p w14:paraId="44EE1AA9">
            <w:pPr>
              <w:pStyle w:val="24"/>
              <w:spacing w:line="200" w:lineRule="exact"/>
              <w:rPr>
                <w:rFonts w:ascii="Times New Roman" w:hAnsi="Times New Roman" w:cs="Times New Roman"/>
                <w:sz w:val="18"/>
                <w:szCs w:val="18"/>
              </w:rPr>
            </w:pPr>
            <w:r>
              <w:rPr>
                <w:rFonts w:hint="eastAsia" w:ascii="Times New Roman" w:hAnsi="Times New Roman" w:cs="Times New Roman"/>
                <w:sz w:val="18"/>
                <w:szCs w:val="18"/>
              </w:rPr>
              <w:t>规范</w:t>
            </w:r>
          </w:p>
        </w:tc>
        <w:tc>
          <w:tcPr>
            <w:tcW w:w="1276" w:type="dxa"/>
            <w:tcBorders>
              <w:top w:val="single" w:color="000000" w:sz="4" w:space="0"/>
              <w:left w:val="nil"/>
              <w:bottom w:val="single" w:color="000000" w:sz="4" w:space="0"/>
              <w:right w:val="single" w:color="000000" w:sz="4" w:space="0"/>
            </w:tcBorders>
            <w:vAlign w:val="center"/>
          </w:tcPr>
          <w:p w14:paraId="7E3697B8">
            <w:pPr>
              <w:pStyle w:val="24"/>
              <w:spacing w:line="200" w:lineRule="exact"/>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.00</w:t>
            </w:r>
          </w:p>
        </w:tc>
      </w:tr>
      <w:tr w14:paraId="12D40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390" w:type="dxa"/>
            <w:tcBorders>
              <w:top w:val="single" w:color="000000" w:sz="4" w:space="0"/>
              <w:left w:val="single" w:color="000000" w:sz="4" w:space="0"/>
              <w:bottom w:val="single" w:color="000000" w:sz="4" w:space="0"/>
              <w:right w:val="single" w:color="000000" w:sz="4" w:space="0"/>
            </w:tcBorders>
            <w:vAlign w:val="center"/>
          </w:tcPr>
          <w:p w14:paraId="56287183">
            <w:pPr>
              <w:pStyle w:val="24"/>
              <w:spacing w:before="94" w:line="200" w:lineRule="exact"/>
              <w:jc w:val="both"/>
              <w:rPr>
                <w:rFonts w:ascii="Times New Roman" w:hAnsi="Times New Roman" w:cs="Times New Roman"/>
                <w:sz w:val="18"/>
                <w:szCs w:val="18"/>
              </w:rPr>
            </w:pPr>
            <w:r>
              <w:rPr>
                <w:rFonts w:ascii="Times New Roman" w:hAnsi="Times New Roman" w:cs="Times New Roman"/>
                <w:sz w:val="18"/>
                <w:szCs w:val="18"/>
              </w:rPr>
              <w:t>B34.</w:t>
            </w:r>
            <w:r>
              <w:rPr>
                <w:rFonts w:hint="eastAsia" w:ascii="Times New Roman" w:hAnsi="Times New Roman" w:cs="Times New Roman"/>
                <w:sz w:val="18"/>
                <w:szCs w:val="18"/>
              </w:rPr>
              <w:t>项目后期</w:t>
            </w:r>
          </w:p>
        </w:tc>
        <w:tc>
          <w:tcPr>
            <w:tcW w:w="1275" w:type="dxa"/>
            <w:tcBorders>
              <w:top w:val="single" w:color="000000" w:sz="4" w:space="0"/>
              <w:left w:val="nil"/>
              <w:bottom w:val="single" w:color="000000" w:sz="4" w:space="0"/>
              <w:right w:val="single" w:color="000000" w:sz="4" w:space="0"/>
            </w:tcBorders>
            <w:vAlign w:val="center"/>
          </w:tcPr>
          <w:p w14:paraId="1AAB70DB">
            <w:pPr>
              <w:pStyle w:val="24"/>
              <w:spacing w:line="200" w:lineRule="exact"/>
              <w:rPr>
                <w:rFonts w:ascii="Times New Roman" w:hAnsi="Times New Roman" w:cs="Times New Roman"/>
                <w:sz w:val="18"/>
                <w:szCs w:val="18"/>
              </w:rPr>
            </w:pPr>
          </w:p>
        </w:tc>
        <w:tc>
          <w:tcPr>
            <w:tcW w:w="1985" w:type="dxa"/>
            <w:tcBorders>
              <w:top w:val="single" w:color="000000" w:sz="4" w:space="0"/>
              <w:left w:val="nil"/>
              <w:bottom w:val="single" w:color="000000" w:sz="4" w:space="0"/>
              <w:right w:val="single" w:color="000000" w:sz="4" w:space="0"/>
            </w:tcBorders>
            <w:vAlign w:val="center"/>
          </w:tcPr>
          <w:p w14:paraId="0F3D1085">
            <w:pPr>
              <w:pStyle w:val="24"/>
              <w:spacing w:line="200" w:lineRule="exact"/>
              <w:rPr>
                <w:rFonts w:ascii="Times New Roman" w:hAnsi="Times New Roman" w:cs="Times New Roman"/>
                <w:sz w:val="18"/>
                <w:szCs w:val="18"/>
              </w:rPr>
            </w:pPr>
          </w:p>
        </w:tc>
        <w:tc>
          <w:tcPr>
            <w:tcW w:w="1276" w:type="dxa"/>
            <w:tcBorders>
              <w:top w:val="single" w:color="000000" w:sz="4" w:space="0"/>
              <w:left w:val="nil"/>
              <w:bottom w:val="single" w:color="000000" w:sz="4" w:space="0"/>
              <w:right w:val="single" w:color="000000" w:sz="4" w:space="0"/>
            </w:tcBorders>
            <w:vAlign w:val="center"/>
          </w:tcPr>
          <w:p w14:paraId="2E948526">
            <w:pPr>
              <w:pStyle w:val="24"/>
              <w:spacing w:line="200" w:lineRule="exact"/>
              <w:rPr>
                <w:rFonts w:ascii="Times New Roman" w:hAnsi="Times New Roman" w:cs="Times New Roman"/>
                <w:sz w:val="18"/>
                <w:szCs w:val="18"/>
              </w:rPr>
            </w:pPr>
          </w:p>
        </w:tc>
      </w:tr>
      <w:tr w14:paraId="6A12F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390" w:type="dxa"/>
            <w:tcBorders>
              <w:top w:val="single" w:color="000000" w:sz="4" w:space="0"/>
              <w:left w:val="single" w:color="000000" w:sz="4" w:space="0"/>
              <w:bottom w:val="single" w:color="000000" w:sz="4" w:space="0"/>
              <w:right w:val="single" w:color="000000" w:sz="4" w:space="0"/>
            </w:tcBorders>
            <w:vAlign w:val="center"/>
          </w:tcPr>
          <w:p w14:paraId="3125BEA1">
            <w:pPr>
              <w:pStyle w:val="24"/>
              <w:spacing w:before="94" w:line="200" w:lineRule="exact"/>
              <w:ind w:left="108" w:firstLine="270" w:firstLineChars="150"/>
              <w:jc w:val="both"/>
              <w:rPr>
                <w:rFonts w:ascii="Times New Roman" w:hAnsi="Times New Roman" w:cs="Times New Roman"/>
                <w:sz w:val="18"/>
                <w:szCs w:val="18"/>
              </w:rPr>
            </w:pPr>
            <w:r>
              <w:rPr>
                <w:rFonts w:ascii="Times New Roman" w:hAnsi="Times New Roman" w:cs="Times New Roman"/>
                <w:sz w:val="18"/>
                <w:szCs w:val="18"/>
              </w:rPr>
              <w:t>B341.</w:t>
            </w:r>
            <w:r>
              <w:rPr>
                <w:rFonts w:hint="eastAsia" w:ascii="Times New Roman" w:hAnsi="Times New Roman" w:cs="Times New Roman"/>
                <w:sz w:val="18"/>
                <w:szCs w:val="18"/>
              </w:rPr>
              <w:t>项目履行验收</w:t>
            </w:r>
          </w:p>
        </w:tc>
        <w:tc>
          <w:tcPr>
            <w:tcW w:w="1275" w:type="dxa"/>
            <w:tcBorders>
              <w:top w:val="single" w:color="000000" w:sz="4" w:space="0"/>
              <w:left w:val="nil"/>
              <w:bottom w:val="single" w:color="000000" w:sz="4" w:space="0"/>
              <w:right w:val="single" w:color="000000" w:sz="4" w:space="0"/>
            </w:tcBorders>
            <w:vAlign w:val="center"/>
          </w:tcPr>
          <w:p w14:paraId="32EB9649">
            <w:pPr>
              <w:pStyle w:val="24"/>
              <w:spacing w:line="200" w:lineRule="exact"/>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.00</w:t>
            </w:r>
          </w:p>
        </w:tc>
        <w:tc>
          <w:tcPr>
            <w:tcW w:w="1985" w:type="dxa"/>
            <w:tcBorders>
              <w:top w:val="single" w:color="000000" w:sz="4" w:space="0"/>
              <w:left w:val="nil"/>
              <w:bottom w:val="single" w:color="000000" w:sz="4" w:space="0"/>
              <w:right w:val="single" w:color="000000" w:sz="4" w:space="0"/>
            </w:tcBorders>
            <w:vAlign w:val="center"/>
          </w:tcPr>
          <w:p w14:paraId="3F9ECFC3">
            <w:pPr>
              <w:pStyle w:val="24"/>
              <w:spacing w:line="200" w:lineRule="exact"/>
              <w:rPr>
                <w:rFonts w:ascii="Times New Roman" w:hAnsi="Times New Roman" w:cs="Times New Roman"/>
                <w:sz w:val="18"/>
                <w:szCs w:val="18"/>
              </w:rPr>
            </w:pPr>
            <w:r>
              <w:rPr>
                <w:rFonts w:hint="eastAsia" w:ascii="Times New Roman" w:hAnsi="Times New Roman" w:cs="Times New Roman"/>
                <w:sz w:val="18"/>
                <w:szCs w:val="18"/>
              </w:rPr>
              <w:t>履行</w:t>
            </w:r>
          </w:p>
        </w:tc>
        <w:tc>
          <w:tcPr>
            <w:tcW w:w="1276" w:type="dxa"/>
            <w:tcBorders>
              <w:top w:val="single" w:color="000000" w:sz="4" w:space="0"/>
              <w:left w:val="nil"/>
              <w:bottom w:val="single" w:color="000000" w:sz="4" w:space="0"/>
              <w:right w:val="single" w:color="000000" w:sz="4" w:space="0"/>
            </w:tcBorders>
            <w:vAlign w:val="center"/>
          </w:tcPr>
          <w:p w14:paraId="05CA6814">
            <w:pPr>
              <w:pStyle w:val="24"/>
              <w:spacing w:line="200" w:lineRule="exact"/>
              <w:rPr>
                <w:rFonts w:ascii="Times New Roman" w:hAnsi="Times New Roman" w:cs="Times New Roman"/>
                <w:sz w:val="18"/>
                <w:szCs w:val="18"/>
              </w:rPr>
            </w:pPr>
            <w:r>
              <w:rPr>
                <w:rFonts w:ascii="Times New Roman" w:hAnsi="Times New Roman" w:cs="Times New Roman"/>
                <w:sz w:val="18"/>
                <w:szCs w:val="18"/>
              </w:rPr>
              <w:t>1.00</w:t>
            </w:r>
          </w:p>
        </w:tc>
      </w:tr>
      <w:tr w14:paraId="7D6BE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390" w:type="dxa"/>
            <w:tcBorders>
              <w:top w:val="single" w:color="000000" w:sz="4" w:space="0"/>
              <w:left w:val="single" w:color="000000" w:sz="4" w:space="0"/>
              <w:bottom w:val="single" w:color="000000" w:sz="4" w:space="0"/>
              <w:right w:val="single" w:color="000000" w:sz="4" w:space="0"/>
            </w:tcBorders>
            <w:vAlign w:val="center"/>
          </w:tcPr>
          <w:p w14:paraId="61C6C1AE">
            <w:pPr>
              <w:pStyle w:val="24"/>
              <w:spacing w:before="94" w:line="200" w:lineRule="exact"/>
              <w:ind w:left="108" w:firstLine="270" w:firstLineChars="150"/>
              <w:jc w:val="both"/>
              <w:rPr>
                <w:rFonts w:ascii="Times New Roman" w:hAnsi="Times New Roman" w:cs="Times New Roman"/>
                <w:sz w:val="18"/>
                <w:szCs w:val="18"/>
              </w:rPr>
            </w:pPr>
            <w:r>
              <w:rPr>
                <w:rFonts w:ascii="Times New Roman" w:hAnsi="Times New Roman" w:cs="Times New Roman"/>
                <w:sz w:val="18"/>
                <w:szCs w:val="18"/>
              </w:rPr>
              <w:t>B342.</w:t>
            </w:r>
            <w:r>
              <w:rPr>
                <w:rFonts w:hint="eastAsia" w:ascii="Times New Roman" w:hAnsi="Times New Roman" w:cs="Times New Roman"/>
                <w:sz w:val="18"/>
                <w:szCs w:val="18"/>
              </w:rPr>
              <w:t>项目后续管理</w:t>
            </w:r>
          </w:p>
        </w:tc>
        <w:tc>
          <w:tcPr>
            <w:tcW w:w="1275" w:type="dxa"/>
            <w:tcBorders>
              <w:top w:val="single" w:color="000000" w:sz="4" w:space="0"/>
              <w:left w:val="nil"/>
              <w:bottom w:val="single" w:color="000000" w:sz="4" w:space="0"/>
              <w:right w:val="single" w:color="000000" w:sz="4" w:space="0"/>
            </w:tcBorders>
            <w:vAlign w:val="center"/>
          </w:tcPr>
          <w:p w14:paraId="5F21D89C">
            <w:pPr>
              <w:pStyle w:val="24"/>
              <w:spacing w:line="200" w:lineRule="exact"/>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.00</w:t>
            </w:r>
          </w:p>
        </w:tc>
        <w:tc>
          <w:tcPr>
            <w:tcW w:w="1985" w:type="dxa"/>
            <w:tcBorders>
              <w:top w:val="single" w:color="000000" w:sz="4" w:space="0"/>
              <w:left w:val="nil"/>
              <w:bottom w:val="single" w:color="000000" w:sz="4" w:space="0"/>
              <w:right w:val="single" w:color="000000" w:sz="4" w:space="0"/>
            </w:tcBorders>
            <w:vAlign w:val="center"/>
          </w:tcPr>
          <w:p w14:paraId="1BC048BF">
            <w:pPr>
              <w:pStyle w:val="24"/>
              <w:spacing w:line="200" w:lineRule="exact"/>
              <w:rPr>
                <w:rFonts w:ascii="Times New Roman" w:hAnsi="Times New Roman" w:cs="Times New Roman"/>
                <w:sz w:val="18"/>
                <w:szCs w:val="18"/>
              </w:rPr>
            </w:pPr>
            <w:r>
              <w:rPr>
                <w:rFonts w:hint="eastAsia" w:ascii="Times New Roman" w:hAnsi="Times New Roman" w:cs="Times New Roman"/>
                <w:sz w:val="18"/>
                <w:szCs w:val="18"/>
              </w:rPr>
              <w:t>执行</w:t>
            </w:r>
          </w:p>
        </w:tc>
        <w:tc>
          <w:tcPr>
            <w:tcW w:w="1276" w:type="dxa"/>
            <w:tcBorders>
              <w:top w:val="single" w:color="000000" w:sz="4" w:space="0"/>
              <w:left w:val="nil"/>
              <w:bottom w:val="single" w:color="000000" w:sz="4" w:space="0"/>
              <w:right w:val="single" w:color="000000" w:sz="4" w:space="0"/>
            </w:tcBorders>
            <w:vAlign w:val="center"/>
          </w:tcPr>
          <w:p w14:paraId="4BF4FA9E">
            <w:pPr>
              <w:pStyle w:val="24"/>
              <w:spacing w:line="200" w:lineRule="exact"/>
              <w:rPr>
                <w:rFonts w:ascii="Times New Roman" w:hAnsi="Times New Roman" w:cs="Times New Roman"/>
                <w:sz w:val="18"/>
                <w:szCs w:val="18"/>
              </w:rPr>
            </w:pPr>
            <w:r>
              <w:rPr>
                <w:rFonts w:ascii="Times New Roman" w:hAnsi="Times New Roman" w:cs="Times New Roman"/>
                <w:sz w:val="18"/>
                <w:szCs w:val="18"/>
              </w:rPr>
              <w:t>1.00</w:t>
            </w:r>
          </w:p>
        </w:tc>
      </w:tr>
      <w:tr w14:paraId="5D0E9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390" w:type="dxa"/>
            <w:tcBorders>
              <w:top w:val="single" w:color="000000" w:sz="4" w:space="0"/>
              <w:left w:val="single" w:color="000000" w:sz="4" w:space="0"/>
              <w:bottom w:val="single" w:color="000000" w:sz="4" w:space="0"/>
              <w:right w:val="single" w:color="000000" w:sz="4" w:space="0"/>
            </w:tcBorders>
            <w:vAlign w:val="center"/>
          </w:tcPr>
          <w:p w14:paraId="5116183E">
            <w:pPr>
              <w:pStyle w:val="24"/>
              <w:spacing w:before="94" w:line="200" w:lineRule="exact"/>
              <w:ind w:left="108" w:firstLine="270" w:firstLineChars="150"/>
              <w:rPr>
                <w:rFonts w:ascii="Times New Roman" w:hAnsi="Times New Roman" w:cs="Times New Roman"/>
                <w:sz w:val="18"/>
                <w:szCs w:val="18"/>
              </w:rPr>
            </w:pPr>
            <w:r>
              <w:rPr>
                <w:rFonts w:ascii="Times New Roman" w:hAnsi="Times New Roman" w:cs="Times New Roman"/>
                <w:sz w:val="18"/>
                <w:szCs w:val="18"/>
              </w:rPr>
              <w:t>合计</w:t>
            </w:r>
          </w:p>
        </w:tc>
        <w:tc>
          <w:tcPr>
            <w:tcW w:w="1275" w:type="dxa"/>
            <w:tcBorders>
              <w:top w:val="single" w:color="000000" w:sz="4" w:space="0"/>
              <w:left w:val="nil"/>
              <w:bottom w:val="single" w:color="000000" w:sz="4" w:space="0"/>
              <w:right w:val="single" w:color="000000" w:sz="4" w:space="0"/>
            </w:tcBorders>
            <w:vAlign w:val="center"/>
          </w:tcPr>
          <w:p w14:paraId="63288ADF">
            <w:pPr>
              <w:pStyle w:val="24"/>
              <w:spacing w:line="200" w:lineRule="exact"/>
              <w:rPr>
                <w:rFonts w:ascii="Times New Roman" w:hAnsi="Times New Roman" w:cs="Times New Roman"/>
                <w:sz w:val="18"/>
                <w:szCs w:val="18"/>
              </w:rPr>
            </w:pPr>
            <w:r>
              <w:rPr>
                <w:rFonts w:ascii="Times New Roman" w:hAnsi="Times New Roman" w:cs="Times New Roman"/>
                <w:sz w:val="18"/>
                <w:szCs w:val="18"/>
              </w:rPr>
              <w:t>20.00</w:t>
            </w:r>
          </w:p>
        </w:tc>
        <w:tc>
          <w:tcPr>
            <w:tcW w:w="1985" w:type="dxa"/>
            <w:tcBorders>
              <w:top w:val="single" w:color="000000" w:sz="4" w:space="0"/>
              <w:left w:val="nil"/>
              <w:bottom w:val="single" w:color="000000" w:sz="4" w:space="0"/>
              <w:right w:val="single" w:color="000000" w:sz="4" w:space="0"/>
            </w:tcBorders>
            <w:vAlign w:val="center"/>
          </w:tcPr>
          <w:p w14:paraId="5B4009FD">
            <w:pPr>
              <w:pStyle w:val="24"/>
              <w:spacing w:line="200" w:lineRule="exact"/>
              <w:rPr>
                <w:rFonts w:ascii="Times New Roman" w:hAnsi="Times New Roman" w:cs="Times New Roman"/>
                <w:sz w:val="18"/>
                <w:szCs w:val="18"/>
              </w:rPr>
            </w:pPr>
          </w:p>
        </w:tc>
        <w:tc>
          <w:tcPr>
            <w:tcW w:w="1276" w:type="dxa"/>
            <w:tcBorders>
              <w:top w:val="single" w:color="000000" w:sz="4" w:space="0"/>
              <w:left w:val="nil"/>
              <w:bottom w:val="single" w:color="000000" w:sz="4" w:space="0"/>
              <w:right w:val="single" w:color="000000" w:sz="4" w:space="0"/>
            </w:tcBorders>
            <w:vAlign w:val="center"/>
          </w:tcPr>
          <w:p w14:paraId="4643DEFD">
            <w:pPr>
              <w:pStyle w:val="24"/>
              <w:spacing w:line="200" w:lineRule="exact"/>
              <w:rPr>
                <w:rFonts w:ascii="Times New Roman" w:hAnsi="Times New Roman" w:cs="Times New Roman"/>
                <w:sz w:val="18"/>
                <w:szCs w:val="18"/>
              </w:rPr>
            </w:pPr>
            <w:r>
              <w:rPr>
                <w:rFonts w:hint="eastAsia" w:ascii="Times New Roman" w:hAnsi="Times New Roman" w:cs="Times New Roman"/>
                <w:sz w:val="18"/>
                <w:szCs w:val="18"/>
              </w:rPr>
              <w:t>17.50</w:t>
            </w:r>
          </w:p>
        </w:tc>
      </w:tr>
    </w:tbl>
    <w:p w14:paraId="2BB598E1">
      <w:pPr>
        <w:spacing w:line="600" w:lineRule="exact"/>
        <w:ind w:firstLine="640" w:firstLineChars="200"/>
        <w:rPr>
          <w:rFonts w:ascii="Times New Roman" w:hAnsi="Times New Roman" w:eastAsia="仿宋_GB2312"/>
          <w:sz w:val="32"/>
        </w:rPr>
      </w:pPr>
      <w:r>
        <w:rPr>
          <w:rFonts w:ascii="Times New Roman" w:hAnsi="Times New Roman" w:eastAsia="仿宋_GB2312"/>
          <w:sz w:val="32"/>
        </w:rPr>
        <w:t>B1.投入管理</w:t>
      </w:r>
    </w:p>
    <w:p w14:paraId="2DB9B394">
      <w:pPr>
        <w:spacing w:line="600" w:lineRule="exact"/>
        <w:ind w:firstLine="640" w:firstLineChars="200"/>
        <w:rPr>
          <w:rFonts w:ascii="Times New Roman" w:hAnsi="Times New Roman" w:eastAsia="仿宋_GB2312"/>
          <w:sz w:val="32"/>
        </w:rPr>
      </w:pPr>
      <w:r>
        <w:rPr>
          <w:rFonts w:ascii="Times New Roman" w:hAnsi="Times New Roman" w:eastAsia="仿宋_GB2312"/>
          <w:sz w:val="32"/>
        </w:rPr>
        <w:t>反映项目预算编制的合理性、规范性，并考察项目预算执行的进度及完整性。</w:t>
      </w:r>
    </w:p>
    <w:p w14:paraId="4671261B">
      <w:pPr>
        <w:spacing w:line="600" w:lineRule="exact"/>
        <w:ind w:firstLine="640" w:firstLineChars="200"/>
        <w:rPr>
          <w:rFonts w:ascii="Times New Roman" w:hAnsi="Times New Roman" w:eastAsia="仿宋_GB2312"/>
          <w:sz w:val="32"/>
        </w:rPr>
      </w:pPr>
      <w:r>
        <w:rPr>
          <w:rFonts w:ascii="Times New Roman" w:hAnsi="Times New Roman" w:eastAsia="仿宋_GB2312"/>
          <w:sz w:val="32"/>
        </w:rPr>
        <w:t>B11.预算编制合理性</w:t>
      </w:r>
    </w:p>
    <w:p w14:paraId="03452815">
      <w:pPr>
        <w:spacing w:line="600" w:lineRule="exact"/>
        <w:ind w:firstLine="640" w:firstLineChars="200"/>
        <w:rPr>
          <w:rFonts w:ascii="Times New Roman" w:hAnsi="Times New Roman" w:eastAsia="仿宋_GB2312"/>
          <w:sz w:val="32"/>
        </w:rPr>
      </w:pPr>
      <w:r>
        <w:rPr>
          <w:rFonts w:ascii="Times New Roman" w:hAnsi="Times New Roman" w:eastAsia="仿宋_GB2312"/>
          <w:sz w:val="32"/>
        </w:rPr>
        <w:t>B111.预算内容与项目内容匹配：根据资金预算文件、项目实施计划分析项目预算编制充分、合理并且能够与项目内容相匹配。</w:t>
      </w:r>
    </w:p>
    <w:p w14:paraId="2C1E1CAF">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该项目指标满分为1分，根据评分标准得1分。</w:t>
      </w:r>
    </w:p>
    <w:p w14:paraId="14BC64BF">
      <w:pPr>
        <w:spacing w:line="600" w:lineRule="exact"/>
        <w:ind w:firstLine="640" w:firstLineChars="200"/>
        <w:rPr>
          <w:rFonts w:ascii="Times New Roman" w:hAnsi="Times New Roman" w:eastAsia="仿宋_GB2312"/>
          <w:sz w:val="32"/>
        </w:rPr>
      </w:pPr>
      <w:r>
        <w:rPr>
          <w:rFonts w:ascii="Times New Roman" w:hAnsi="Times New Roman" w:eastAsia="仿宋_GB2312"/>
          <w:sz w:val="32"/>
        </w:rPr>
        <w:t>B12.预算调整规范性</w:t>
      </w:r>
    </w:p>
    <w:p w14:paraId="2255F6A7">
      <w:pPr>
        <w:spacing w:line="600" w:lineRule="exact"/>
        <w:ind w:firstLine="640" w:firstLineChars="200"/>
        <w:rPr>
          <w:rFonts w:ascii="Times New Roman" w:hAnsi="Times New Roman" w:eastAsia="仿宋_GB2312"/>
          <w:sz w:val="32"/>
        </w:rPr>
      </w:pPr>
      <w:r>
        <w:rPr>
          <w:rFonts w:ascii="Times New Roman" w:hAnsi="Times New Roman" w:eastAsia="仿宋_GB2312"/>
          <w:sz w:val="32"/>
        </w:rPr>
        <w:t>B121.预算调整均取得相应批复：考察是否按照相关规定执行调整程序，项目未实施预算调整。</w:t>
      </w:r>
    </w:p>
    <w:p w14:paraId="0F5328B8">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该项目指标满分为1分，根据评分标准得1分。</w:t>
      </w:r>
    </w:p>
    <w:p w14:paraId="55671B39">
      <w:pPr>
        <w:spacing w:line="600" w:lineRule="exact"/>
        <w:ind w:firstLine="640" w:firstLineChars="200"/>
        <w:rPr>
          <w:rFonts w:ascii="Times New Roman" w:hAnsi="Times New Roman" w:eastAsia="仿宋_GB2312"/>
          <w:sz w:val="32"/>
        </w:rPr>
      </w:pPr>
      <w:r>
        <w:rPr>
          <w:rFonts w:ascii="Times New Roman" w:hAnsi="Times New Roman" w:eastAsia="仿宋_GB2312"/>
          <w:sz w:val="32"/>
        </w:rPr>
        <w:t>B13.预算执行率</w:t>
      </w:r>
    </w:p>
    <w:p w14:paraId="5586A281">
      <w:pPr>
        <w:spacing w:line="600" w:lineRule="exact"/>
        <w:ind w:firstLine="640" w:firstLineChars="200"/>
        <w:rPr>
          <w:rFonts w:ascii="Times New Roman" w:hAnsi="Times New Roman" w:eastAsia="仿宋_GB2312"/>
          <w:sz w:val="32"/>
        </w:rPr>
      </w:pPr>
      <w:r>
        <w:rPr>
          <w:rFonts w:ascii="Times New Roman" w:hAnsi="Times New Roman" w:eastAsia="仿宋_GB2312"/>
          <w:sz w:val="32"/>
        </w:rPr>
        <w:t>B131.实际资金投入对比预算投入情况：根据资金预算</w:t>
      </w:r>
      <w:r>
        <w:rPr>
          <w:rFonts w:hint="eastAsia" w:ascii="仿宋_GB2312" w:eastAsia="仿宋_GB2312"/>
          <w:sz w:val="32"/>
        </w:rPr>
        <w:t>文</w:t>
      </w:r>
      <w:r>
        <w:rPr>
          <w:rFonts w:ascii="Times New Roman" w:hAnsi="Times New Roman" w:eastAsia="仿宋_GB2312"/>
          <w:sz w:val="32"/>
        </w:rPr>
        <w:t>件、项目实施计划，项目总投入49.88万元，已使用49.88万元，通过公式:预算执行率=实际支出金额/项目预算金额×100%=49.88/49.88×100.00%=100.00%。</w:t>
      </w:r>
    </w:p>
    <w:p w14:paraId="67C041BF">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该项目指标满分为2分，根据评分标准得2分。</w:t>
      </w:r>
    </w:p>
    <w:p w14:paraId="1F29375C">
      <w:pPr>
        <w:spacing w:line="600" w:lineRule="exact"/>
        <w:ind w:firstLine="640" w:firstLineChars="200"/>
        <w:rPr>
          <w:rFonts w:ascii="Times New Roman" w:hAnsi="Times New Roman" w:eastAsia="仿宋_GB2312"/>
          <w:sz w:val="32"/>
        </w:rPr>
      </w:pPr>
      <w:r>
        <w:rPr>
          <w:rFonts w:ascii="Times New Roman" w:hAnsi="Times New Roman" w:eastAsia="仿宋_GB2312"/>
          <w:sz w:val="32"/>
        </w:rPr>
        <w:t>B2.财务管理</w:t>
      </w:r>
    </w:p>
    <w:p w14:paraId="5B3D7EB9">
      <w:pPr>
        <w:spacing w:line="600" w:lineRule="exact"/>
        <w:ind w:firstLine="640" w:firstLineChars="200"/>
        <w:rPr>
          <w:rFonts w:ascii="Times New Roman" w:hAnsi="Times New Roman" w:eastAsia="仿宋_GB2312"/>
          <w:sz w:val="32"/>
        </w:rPr>
      </w:pPr>
      <w:r>
        <w:rPr>
          <w:rFonts w:ascii="Times New Roman" w:hAnsi="Times New Roman" w:eastAsia="仿宋_GB2312"/>
          <w:sz w:val="32"/>
        </w:rPr>
        <w:t>反映项目资金使用是否符合国家、昆明市、县（区）的相关规定，财务制度是否健全，资金拨付程序是否完整、符合制度规定。</w:t>
      </w:r>
    </w:p>
    <w:p w14:paraId="10828CEE">
      <w:pPr>
        <w:spacing w:line="600" w:lineRule="exact"/>
        <w:ind w:firstLine="640" w:firstLineChars="200"/>
        <w:rPr>
          <w:rFonts w:ascii="Times New Roman" w:hAnsi="Times New Roman" w:eastAsia="仿宋_GB2312"/>
          <w:sz w:val="32"/>
        </w:rPr>
      </w:pPr>
      <w:r>
        <w:rPr>
          <w:rFonts w:ascii="Times New Roman" w:hAnsi="Times New Roman" w:eastAsia="仿宋_GB2312"/>
          <w:sz w:val="32"/>
        </w:rPr>
        <w:t>B21.资金使用情况</w:t>
      </w:r>
    </w:p>
    <w:p w14:paraId="46CE8EE1">
      <w:pPr>
        <w:spacing w:line="600" w:lineRule="exact"/>
        <w:ind w:firstLine="640" w:firstLineChars="200"/>
        <w:rPr>
          <w:rFonts w:ascii="Times New Roman" w:hAnsi="Times New Roman" w:eastAsia="仿宋_GB2312"/>
          <w:sz w:val="32"/>
        </w:rPr>
      </w:pPr>
      <w:r>
        <w:rPr>
          <w:rFonts w:ascii="Times New Roman" w:hAnsi="Times New Roman" w:eastAsia="仿宋_GB2312"/>
          <w:sz w:val="32"/>
        </w:rPr>
        <w:t>B211.资金使用的合规情况：资金使用合规，资金未超范围，使用符合财务管理办法。</w:t>
      </w:r>
    </w:p>
    <w:p w14:paraId="4B12F36E">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该项指标满分为1分，根据评分标准得1分。</w:t>
      </w:r>
    </w:p>
    <w:p w14:paraId="04A18780">
      <w:pPr>
        <w:spacing w:line="600" w:lineRule="exact"/>
        <w:ind w:firstLine="640" w:firstLineChars="200"/>
        <w:rPr>
          <w:rFonts w:ascii="Times New Roman" w:hAnsi="Times New Roman" w:eastAsia="仿宋_GB2312"/>
          <w:sz w:val="32"/>
        </w:rPr>
      </w:pPr>
      <w:r>
        <w:rPr>
          <w:rFonts w:ascii="Times New Roman" w:hAnsi="Times New Roman" w:eastAsia="仿宋_GB2312"/>
          <w:sz w:val="32"/>
        </w:rPr>
        <w:t>B22.财务管理制度健全性</w:t>
      </w:r>
    </w:p>
    <w:p w14:paraId="115019B4">
      <w:pPr>
        <w:spacing w:line="600" w:lineRule="exact"/>
        <w:ind w:firstLine="640" w:firstLineChars="200"/>
        <w:rPr>
          <w:rFonts w:ascii="Times New Roman" w:hAnsi="Times New Roman" w:eastAsia="仿宋_GB2312"/>
          <w:sz w:val="32"/>
        </w:rPr>
      </w:pPr>
      <w:r>
        <w:rPr>
          <w:rFonts w:ascii="Times New Roman" w:hAnsi="Times New Roman" w:eastAsia="仿宋_GB2312"/>
          <w:sz w:val="32"/>
        </w:rPr>
        <w:t>B221.财务制度及财务监管制度的健全、完善、有效：根据财务监督文件及实际执行情况，项目建立专项资金管理办法。</w:t>
      </w:r>
    </w:p>
    <w:p w14:paraId="668C9C53">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该项指标满分为2分，根据评分标准得2分。</w:t>
      </w:r>
    </w:p>
    <w:p w14:paraId="24DF227E">
      <w:pPr>
        <w:spacing w:line="600" w:lineRule="exact"/>
        <w:ind w:firstLine="640" w:firstLineChars="200"/>
        <w:rPr>
          <w:rFonts w:ascii="Times New Roman" w:hAnsi="Times New Roman" w:eastAsia="仿宋_GB2312"/>
          <w:sz w:val="32"/>
        </w:rPr>
      </w:pPr>
      <w:r>
        <w:rPr>
          <w:rFonts w:ascii="Times New Roman" w:hAnsi="Times New Roman" w:eastAsia="仿宋_GB2312"/>
          <w:sz w:val="32"/>
        </w:rPr>
        <w:t>B23.财务监控有效性</w:t>
      </w:r>
    </w:p>
    <w:p w14:paraId="2533F8A2">
      <w:pPr>
        <w:spacing w:line="600" w:lineRule="exact"/>
        <w:ind w:firstLine="640" w:firstLineChars="200"/>
        <w:rPr>
          <w:rFonts w:ascii="Times New Roman" w:hAnsi="Times New Roman" w:eastAsia="仿宋_GB2312"/>
          <w:sz w:val="32"/>
        </w:rPr>
      </w:pPr>
      <w:r>
        <w:rPr>
          <w:rFonts w:ascii="Times New Roman" w:hAnsi="Times New Roman" w:eastAsia="仿宋_GB2312"/>
          <w:sz w:val="32"/>
        </w:rPr>
        <w:t>B231.资金拨付程序完整性：通过对财务监控监督相关办法及条款、执行资料的查看，确定资金拨付能够按照审批程序和手续完整齐全。</w:t>
      </w:r>
    </w:p>
    <w:p w14:paraId="56E474D8">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该项指标满分为1分，根据评分标准得1分。</w:t>
      </w:r>
    </w:p>
    <w:p w14:paraId="262715FA">
      <w:pPr>
        <w:spacing w:line="600" w:lineRule="exact"/>
        <w:ind w:firstLine="640" w:firstLineChars="200"/>
        <w:rPr>
          <w:rFonts w:ascii="Times New Roman" w:hAnsi="Times New Roman" w:eastAsia="仿宋_GB2312"/>
          <w:sz w:val="32"/>
        </w:rPr>
      </w:pPr>
      <w:r>
        <w:rPr>
          <w:rFonts w:ascii="Times New Roman" w:hAnsi="Times New Roman" w:eastAsia="仿宋_GB2312"/>
          <w:sz w:val="32"/>
        </w:rPr>
        <w:t>B232.财务制度执行有效性：通过街道（社区）已建立的财务监控制度，各街道（社区）资金支出符合财务管理制度要求。</w:t>
      </w:r>
    </w:p>
    <w:p w14:paraId="37C002A7">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该项指标满分为2分，根据评分标准得2分。</w:t>
      </w:r>
    </w:p>
    <w:p w14:paraId="7DDAE1B5">
      <w:pPr>
        <w:spacing w:line="600" w:lineRule="exact"/>
        <w:ind w:firstLine="640" w:firstLineChars="200"/>
        <w:rPr>
          <w:rFonts w:ascii="Times New Roman" w:hAnsi="Times New Roman" w:eastAsia="仿宋_GB2312"/>
          <w:sz w:val="32"/>
        </w:rPr>
      </w:pPr>
      <w:r>
        <w:rPr>
          <w:rFonts w:ascii="Times New Roman" w:hAnsi="Times New Roman" w:eastAsia="仿宋_GB2312"/>
          <w:sz w:val="32"/>
        </w:rPr>
        <w:t>B3.项目实施</w:t>
      </w:r>
    </w:p>
    <w:p w14:paraId="194022A5">
      <w:pPr>
        <w:spacing w:line="600" w:lineRule="exact"/>
        <w:ind w:firstLine="640" w:firstLineChars="200"/>
        <w:rPr>
          <w:rFonts w:ascii="Times New Roman" w:hAnsi="Times New Roman" w:eastAsia="仿宋_GB2312"/>
          <w:sz w:val="32"/>
        </w:rPr>
      </w:pPr>
      <w:r>
        <w:rPr>
          <w:rFonts w:ascii="Times New Roman" w:hAnsi="Times New Roman" w:eastAsia="仿宋_GB2312"/>
          <w:sz w:val="32"/>
        </w:rPr>
        <w:t>反映项目监督、管理等制度是否健全，是否有效执行，实施过程是否公开透明，是否存在需要完善</w:t>
      </w:r>
      <w:r>
        <w:rPr>
          <w:rFonts w:hint="eastAsia" w:ascii="Times New Roman" w:hAnsi="Times New Roman" w:eastAsia="仿宋_GB2312"/>
          <w:sz w:val="32"/>
        </w:rPr>
        <w:t>地</w:t>
      </w:r>
      <w:r>
        <w:rPr>
          <w:rFonts w:ascii="Times New Roman" w:hAnsi="Times New Roman" w:eastAsia="仿宋_GB2312"/>
          <w:sz w:val="32"/>
        </w:rPr>
        <w:t>风险控制环节。</w:t>
      </w:r>
    </w:p>
    <w:p w14:paraId="524A4D0B">
      <w:pPr>
        <w:spacing w:line="600" w:lineRule="exact"/>
        <w:ind w:firstLine="640" w:firstLineChars="200"/>
        <w:rPr>
          <w:rFonts w:ascii="Times New Roman" w:hAnsi="Times New Roman" w:eastAsia="仿宋_GB2312"/>
          <w:sz w:val="32"/>
        </w:rPr>
      </w:pPr>
      <w:r>
        <w:rPr>
          <w:rFonts w:ascii="Times New Roman" w:hAnsi="Times New Roman" w:eastAsia="仿宋_GB2312"/>
          <w:sz w:val="32"/>
        </w:rPr>
        <w:t>B31.项目管理制度健全性</w:t>
      </w:r>
    </w:p>
    <w:p w14:paraId="0B09B551">
      <w:pPr>
        <w:spacing w:line="600" w:lineRule="exact"/>
        <w:ind w:firstLine="640" w:firstLineChars="200"/>
        <w:rPr>
          <w:rFonts w:ascii="Times New Roman" w:hAnsi="Times New Roman" w:eastAsia="仿宋_GB2312"/>
          <w:sz w:val="32"/>
        </w:rPr>
      </w:pPr>
      <w:r>
        <w:rPr>
          <w:rFonts w:ascii="Times New Roman" w:hAnsi="Times New Roman" w:eastAsia="仿宋_GB2312"/>
          <w:sz w:val="32"/>
        </w:rPr>
        <w:t>B311.项目实施单位管理制度健全性：项目实施单位为保障项目顺利实施，制订项目相关的业务管理制度，经检查</w:t>
      </w:r>
      <w:r>
        <w:rPr>
          <w:rFonts w:hint="eastAsia" w:ascii="仿宋_GB2312" w:eastAsia="仿宋_GB2312"/>
          <w:sz w:val="32"/>
        </w:rPr>
        <w:t>发</w:t>
      </w:r>
      <w:r>
        <w:rPr>
          <w:rFonts w:ascii="Times New Roman" w:hAnsi="Times New Roman" w:eastAsia="仿宋_GB2312"/>
          <w:sz w:val="32"/>
        </w:rPr>
        <w:t>现未针对项目建立有效的监督管理制度，管理制度不健全，根据评价</w:t>
      </w:r>
      <w:r>
        <w:rPr>
          <w:rFonts w:hint="eastAsia" w:ascii="Times New Roman" w:hAnsi="Times New Roman" w:eastAsia="仿宋_GB2312"/>
          <w:sz w:val="32"/>
        </w:rPr>
        <w:t>原则</w:t>
      </w:r>
      <w:r>
        <w:rPr>
          <w:rFonts w:ascii="Times New Roman" w:hAnsi="Times New Roman" w:eastAsia="仿宋_GB2312"/>
          <w:sz w:val="32"/>
        </w:rPr>
        <w:t>欠缺一项扣</w:t>
      </w:r>
      <w:r>
        <w:rPr>
          <w:rFonts w:hint="eastAsia" w:ascii="Times New Roman" w:hAnsi="Times New Roman" w:eastAsia="仿宋_GB2312"/>
          <w:sz w:val="32"/>
        </w:rPr>
        <w:t>1分的，本项扣1分</w:t>
      </w:r>
      <w:r>
        <w:rPr>
          <w:rFonts w:ascii="Times New Roman" w:hAnsi="Times New Roman" w:eastAsia="仿宋_GB2312"/>
          <w:sz w:val="32"/>
        </w:rPr>
        <w:t>。</w:t>
      </w:r>
    </w:p>
    <w:p w14:paraId="7B236A1C">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该项指标满分为2分，根据评分标准得1分。</w:t>
      </w:r>
    </w:p>
    <w:p w14:paraId="03BDD08F">
      <w:pPr>
        <w:spacing w:line="600" w:lineRule="exact"/>
        <w:ind w:firstLine="640" w:firstLineChars="200"/>
        <w:rPr>
          <w:rFonts w:ascii="Times New Roman" w:hAnsi="Times New Roman" w:eastAsia="仿宋_GB2312"/>
          <w:sz w:val="32"/>
        </w:rPr>
      </w:pPr>
      <w:r>
        <w:rPr>
          <w:rFonts w:ascii="Times New Roman" w:hAnsi="Times New Roman" w:eastAsia="仿宋_GB2312"/>
          <w:sz w:val="32"/>
        </w:rPr>
        <w:t>B312.管理方监管措施健全性：通过对主管部门和项目实施方监督管理制度的收集和检查情况相结合，未专门针对项目建立监管措施，监管制度不健全。</w:t>
      </w:r>
    </w:p>
    <w:p w14:paraId="4C3A239B">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该项指标满分为1分，根据评分标准得0.5分。</w:t>
      </w:r>
    </w:p>
    <w:p w14:paraId="73B682EE">
      <w:pPr>
        <w:spacing w:line="600" w:lineRule="exact"/>
        <w:ind w:firstLine="640" w:firstLineChars="200"/>
        <w:rPr>
          <w:rFonts w:ascii="Times New Roman" w:hAnsi="Times New Roman" w:eastAsia="仿宋_GB2312"/>
          <w:sz w:val="32"/>
        </w:rPr>
      </w:pPr>
      <w:r>
        <w:rPr>
          <w:rFonts w:ascii="Times New Roman" w:hAnsi="Times New Roman" w:eastAsia="仿宋_GB2312"/>
          <w:sz w:val="32"/>
        </w:rPr>
        <w:t>B32.项目管理制度执行有效性</w:t>
      </w:r>
    </w:p>
    <w:p w14:paraId="2CB62406">
      <w:pPr>
        <w:spacing w:line="600" w:lineRule="exact"/>
        <w:ind w:firstLine="640" w:firstLineChars="200"/>
        <w:rPr>
          <w:rFonts w:ascii="Times New Roman" w:hAnsi="Times New Roman" w:eastAsia="仿宋_GB2312"/>
          <w:sz w:val="32"/>
        </w:rPr>
      </w:pPr>
      <w:r>
        <w:rPr>
          <w:rFonts w:ascii="Times New Roman" w:hAnsi="Times New Roman" w:eastAsia="仿宋_GB2312"/>
          <w:sz w:val="32"/>
        </w:rPr>
        <w:t>B321.项目实施单位管理制度执行情况：通过对项目实施单位管理制度的检查及日常工作落实情况发现，均按要求执行监管措施，但未单独针对项目建立有效的管理制度，管理制度不健全。</w:t>
      </w:r>
    </w:p>
    <w:p w14:paraId="46503E40">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该项指标满分为2分，根据评分标准得1分。</w:t>
      </w:r>
    </w:p>
    <w:p w14:paraId="0904EB81">
      <w:pPr>
        <w:spacing w:line="600" w:lineRule="exact"/>
        <w:ind w:firstLine="640" w:firstLineChars="200"/>
        <w:rPr>
          <w:rFonts w:ascii="Times New Roman" w:hAnsi="Times New Roman" w:eastAsia="仿宋_GB2312"/>
          <w:sz w:val="32"/>
        </w:rPr>
      </w:pPr>
      <w:r>
        <w:rPr>
          <w:rFonts w:ascii="Times New Roman" w:hAnsi="Times New Roman" w:eastAsia="仿宋_GB2312"/>
          <w:sz w:val="32"/>
        </w:rPr>
        <w:t>B322.监管措施执行情况：通过项目主管部门监督考核记录等资料，项目主管部门均对下发的补助资金用途进行监督管理。</w:t>
      </w:r>
    </w:p>
    <w:p w14:paraId="6D3152C2">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该项指标满分为1分，根据评分标准得1分。</w:t>
      </w:r>
    </w:p>
    <w:p w14:paraId="09832798">
      <w:pPr>
        <w:spacing w:line="600" w:lineRule="exact"/>
        <w:ind w:firstLine="640" w:firstLineChars="200"/>
        <w:rPr>
          <w:rFonts w:ascii="Times New Roman" w:hAnsi="Times New Roman" w:eastAsia="仿宋_GB2312"/>
          <w:sz w:val="32"/>
        </w:rPr>
      </w:pPr>
      <w:r>
        <w:rPr>
          <w:rFonts w:ascii="Times New Roman" w:hAnsi="Times New Roman" w:eastAsia="仿宋_GB2312"/>
          <w:sz w:val="32"/>
        </w:rPr>
        <w:t>B33.项目实施规范性</w:t>
      </w:r>
    </w:p>
    <w:p w14:paraId="3CE4BB45">
      <w:pPr>
        <w:spacing w:line="600" w:lineRule="exact"/>
        <w:ind w:firstLine="640" w:firstLineChars="200"/>
        <w:rPr>
          <w:rFonts w:ascii="仿宋_GB2312" w:eastAsia="仿宋_GB2312"/>
          <w:sz w:val="32"/>
        </w:rPr>
      </w:pPr>
      <w:r>
        <w:rPr>
          <w:rFonts w:ascii="Times New Roman" w:hAnsi="Times New Roman" w:eastAsia="仿宋_GB2312"/>
          <w:sz w:val="32"/>
        </w:rPr>
        <w:t>B331.实施方式合规性:主管部门及实施单位实施方式符合中央、省、市的相关要求，项目方式实施符合项目管理制度。</w:t>
      </w:r>
    </w:p>
    <w:p w14:paraId="60E82320">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该项指标满分1分，根据评分标准得1分。</w:t>
      </w:r>
    </w:p>
    <w:p w14:paraId="55E1A4C4">
      <w:pPr>
        <w:spacing w:line="600" w:lineRule="exact"/>
        <w:ind w:firstLine="640" w:firstLineChars="200"/>
        <w:rPr>
          <w:rFonts w:ascii="Times New Roman" w:hAnsi="Times New Roman" w:eastAsia="仿宋_GB2312"/>
          <w:sz w:val="32"/>
        </w:rPr>
      </w:pPr>
      <w:r>
        <w:rPr>
          <w:rFonts w:ascii="Times New Roman" w:hAnsi="Times New Roman" w:eastAsia="仿宋_GB2312"/>
          <w:sz w:val="32"/>
        </w:rPr>
        <w:t>B332.实施流程规范性：通过收集实施项目实施情况资料，该项目已按照规定履行相关程序。</w:t>
      </w:r>
    </w:p>
    <w:p w14:paraId="594C1CBC">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该项指标满分为1分，根据评分标准得1分。</w:t>
      </w:r>
    </w:p>
    <w:p w14:paraId="18E9FFB9">
      <w:pPr>
        <w:spacing w:line="600" w:lineRule="exact"/>
        <w:ind w:firstLine="640" w:firstLineChars="200"/>
        <w:rPr>
          <w:rFonts w:ascii="Times New Roman" w:hAnsi="Times New Roman" w:eastAsia="仿宋_GB2312"/>
          <w:sz w:val="32"/>
        </w:rPr>
      </w:pPr>
      <w:r>
        <w:rPr>
          <w:rFonts w:ascii="Times New Roman" w:hAnsi="Times New Roman" w:eastAsia="仿宋_GB2312"/>
          <w:sz w:val="32"/>
        </w:rPr>
        <w:t>B34.项目后期</w:t>
      </w:r>
    </w:p>
    <w:p w14:paraId="2AC4D770">
      <w:pPr>
        <w:spacing w:line="600" w:lineRule="exact"/>
        <w:ind w:firstLine="640" w:firstLineChars="200"/>
        <w:rPr>
          <w:rFonts w:ascii="Times New Roman" w:hAnsi="Times New Roman" w:eastAsia="仿宋_GB2312"/>
          <w:sz w:val="32"/>
        </w:rPr>
      </w:pPr>
      <w:r>
        <w:rPr>
          <w:rFonts w:ascii="Times New Roman" w:hAnsi="Times New Roman" w:eastAsia="仿宋_GB2312"/>
          <w:sz w:val="32"/>
        </w:rPr>
        <w:t>B341.项目履行验收:通过对项目验收资料、明细表、竣工决算的检查，完成项目已进行验收。</w:t>
      </w:r>
    </w:p>
    <w:p w14:paraId="0781C66D">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该项指标满分为1分，根据评分标准得1分。</w:t>
      </w:r>
    </w:p>
    <w:p w14:paraId="2F2A9611">
      <w:pPr>
        <w:spacing w:line="600" w:lineRule="exact"/>
        <w:ind w:firstLine="640" w:firstLineChars="200"/>
        <w:rPr>
          <w:rFonts w:ascii="Times New Roman" w:hAnsi="Times New Roman" w:eastAsia="仿宋_GB2312"/>
          <w:sz w:val="32"/>
        </w:rPr>
      </w:pPr>
      <w:r>
        <w:rPr>
          <w:rFonts w:ascii="Times New Roman" w:hAnsi="Times New Roman" w:eastAsia="仿宋_GB2312"/>
          <w:sz w:val="32"/>
        </w:rPr>
        <w:t>B342.项目后期管护:项目已明确移交管护主体后，管理主体能够按照实际情况对已验收交付的资产进行后续管护并制定资产管理制度。</w:t>
      </w:r>
    </w:p>
    <w:p w14:paraId="3557011E">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该项指标满分为1分，根据评分标准得1分。</w:t>
      </w:r>
    </w:p>
    <w:p w14:paraId="572739D3">
      <w:pPr>
        <w:spacing w:line="600" w:lineRule="exact"/>
        <w:ind w:firstLine="640" w:firstLineChars="200"/>
        <w:rPr>
          <w:rFonts w:ascii="Times New Roman" w:hAnsi="Times New Roman" w:eastAsia="仿宋_GB2312"/>
          <w:sz w:val="32"/>
        </w:rPr>
      </w:pPr>
      <w:r>
        <w:rPr>
          <w:rFonts w:ascii="Times New Roman" w:hAnsi="Times New Roman" w:eastAsia="仿宋_GB2312"/>
          <w:sz w:val="32"/>
        </w:rPr>
        <w:t>C.项目绩效</w:t>
      </w:r>
    </w:p>
    <w:p w14:paraId="0A577596">
      <w:pPr>
        <w:spacing w:line="600" w:lineRule="exact"/>
        <w:ind w:firstLine="640" w:firstLineChars="200"/>
        <w:rPr>
          <w:rFonts w:ascii="Times New Roman" w:hAnsi="Times New Roman" w:eastAsia="仿宋_GB2312"/>
          <w:sz w:val="32"/>
        </w:rPr>
      </w:pPr>
      <w:r>
        <w:rPr>
          <w:rFonts w:ascii="Times New Roman" w:hAnsi="Times New Roman" w:eastAsia="仿宋_GB2312"/>
          <w:sz w:val="32"/>
        </w:rPr>
        <w:t>项目绩效包括项目产出和项目效益两方面内容。本次评价用</w:t>
      </w:r>
      <w:r>
        <w:rPr>
          <w:rFonts w:hint="eastAsia" w:ascii="Times New Roman" w:hAnsi="Times New Roman" w:eastAsia="仿宋_GB2312"/>
          <w:sz w:val="32"/>
        </w:rPr>
        <w:t>六</w:t>
      </w:r>
      <w:r>
        <w:rPr>
          <w:rFonts w:ascii="Times New Roman" w:hAnsi="Times New Roman" w:eastAsia="仿宋_GB2312"/>
          <w:sz w:val="32"/>
        </w:rPr>
        <w:t>个三级指标从13个方面进行考察，权重分值60.00分，实际得分57.98分，得分率96.63%。指标值、业绩值及实际得分详见下表。</w:t>
      </w:r>
    </w:p>
    <w:tbl>
      <w:tblPr>
        <w:tblStyle w:val="11"/>
        <w:tblW w:w="89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48"/>
        <w:gridCol w:w="1417"/>
        <w:gridCol w:w="1985"/>
        <w:gridCol w:w="1276"/>
      </w:tblGrid>
      <w:tr w14:paraId="2D8D9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248" w:type="dxa"/>
            <w:tcBorders>
              <w:top w:val="single" w:color="000000" w:sz="4" w:space="0"/>
              <w:left w:val="single" w:color="000000" w:sz="4" w:space="0"/>
              <w:bottom w:val="single" w:color="000000" w:sz="4" w:space="0"/>
              <w:right w:val="single" w:color="000000" w:sz="4" w:space="0"/>
            </w:tcBorders>
            <w:vAlign w:val="center"/>
          </w:tcPr>
          <w:p w14:paraId="1983A10B">
            <w:pPr>
              <w:pStyle w:val="24"/>
              <w:spacing w:before="94" w:line="180" w:lineRule="exact"/>
              <w:ind w:left="1420" w:right="1409"/>
              <w:rPr>
                <w:rFonts w:ascii="Times New Roman" w:hAnsi="Times New Roman" w:cs="Times New Roman"/>
                <w:b/>
                <w:bCs/>
                <w:sz w:val="18"/>
                <w:szCs w:val="18"/>
              </w:rPr>
            </w:pPr>
            <w:r>
              <w:rPr>
                <w:rFonts w:ascii="Times New Roman" w:hAnsi="Times New Roman" w:cs="Times New Roman"/>
                <w:b/>
                <w:bCs/>
                <w:sz w:val="18"/>
                <w:szCs w:val="18"/>
              </w:rPr>
              <w:t>指标名称</w:t>
            </w:r>
          </w:p>
        </w:tc>
        <w:tc>
          <w:tcPr>
            <w:tcW w:w="1417" w:type="dxa"/>
            <w:tcBorders>
              <w:top w:val="single" w:color="000000" w:sz="4" w:space="0"/>
              <w:left w:val="nil"/>
              <w:bottom w:val="single" w:color="000000" w:sz="4" w:space="0"/>
              <w:right w:val="single" w:color="000000" w:sz="4" w:space="0"/>
            </w:tcBorders>
            <w:vAlign w:val="center"/>
          </w:tcPr>
          <w:p w14:paraId="19887A3A">
            <w:pPr>
              <w:pStyle w:val="24"/>
              <w:spacing w:before="94" w:line="180" w:lineRule="exact"/>
              <w:ind w:left="150" w:right="139"/>
              <w:rPr>
                <w:rFonts w:ascii="Times New Roman" w:hAnsi="Times New Roman" w:cs="Times New Roman"/>
                <w:b/>
                <w:bCs/>
                <w:sz w:val="18"/>
                <w:szCs w:val="18"/>
              </w:rPr>
            </w:pPr>
            <w:r>
              <w:rPr>
                <w:rFonts w:ascii="Times New Roman" w:hAnsi="Times New Roman" w:cs="Times New Roman"/>
                <w:b/>
                <w:bCs/>
                <w:sz w:val="18"/>
                <w:szCs w:val="18"/>
              </w:rPr>
              <w:t>指标分值</w:t>
            </w:r>
          </w:p>
        </w:tc>
        <w:tc>
          <w:tcPr>
            <w:tcW w:w="1985" w:type="dxa"/>
            <w:tcBorders>
              <w:top w:val="single" w:color="000000" w:sz="4" w:space="0"/>
              <w:left w:val="nil"/>
              <w:bottom w:val="single" w:color="000000" w:sz="4" w:space="0"/>
              <w:right w:val="single" w:color="000000" w:sz="4" w:space="0"/>
            </w:tcBorders>
            <w:vAlign w:val="center"/>
          </w:tcPr>
          <w:p w14:paraId="3CBC5713">
            <w:pPr>
              <w:pStyle w:val="24"/>
              <w:spacing w:before="94" w:line="180" w:lineRule="exact"/>
              <w:ind w:left="250" w:right="245"/>
              <w:rPr>
                <w:rFonts w:ascii="Times New Roman" w:hAnsi="Times New Roman" w:cs="Times New Roman"/>
                <w:b/>
                <w:bCs/>
                <w:sz w:val="18"/>
                <w:szCs w:val="18"/>
              </w:rPr>
            </w:pPr>
            <w:r>
              <w:rPr>
                <w:rFonts w:ascii="Times New Roman" w:hAnsi="Times New Roman" w:cs="Times New Roman"/>
                <w:b/>
                <w:bCs/>
                <w:sz w:val="18"/>
                <w:szCs w:val="18"/>
              </w:rPr>
              <w:t>业绩值</w:t>
            </w:r>
          </w:p>
        </w:tc>
        <w:tc>
          <w:tcPr>
            <w:tcW w:w="1276" w:type="dxa"/>
            <w:tcBorders>
              <w:top w:val="single" w:color="000000" w:sz="4" w:space="0"/>
              <w:left w:val="nil"/>
              <w:bottom w:val="single" w:color="000000" w:sz="4" w:space="0"/>
              <w:right w:val="single" w:color="000000" w:sz="4" w:space="0"/>
            </w:tcBorders>
            <w:vAlign w:val="center"/>
          </w:tcPr>
          <w:p w14:paraId="38264EA5">
            <w:pPr>
              <w:pStyle w:val="24"/>
              <w:spacing w:before="94" w:line="180" w:lineRule="exact"/>
              <w:ind w:left="151" w:right="139"/>
              <w:rPr>
                <w:rFonts w:ascii="Times New Roman" w:hAnsi="Times New Roman" w:cs="Times New Roman"/>
                <w:b/>
                <w:bCs/>
                <w:sz w:val="18"/>
                <w:szCs w:val="18"/>
              </w:rPr>
            </w:pPr>
            <w:r>
              <w:rPr>
                <w:rFonts w:ascii="Times New Roman" w:hAnsi="Times New Roman" w:cs="Times New Roman"/>
                <w:b/>
                <w:bCs/>
                <w:sz w:val="18"/>
                <w:szCs w:val="18"/>
              </w:rPr>
              <w:t>实际得分</w:t>
            </w:r>
          </w:p>
        </w:tc>
      </w:tr>
      <w:tr w14:paraId="2D20D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248" w:type="dxa"/>
            <w:tcBorders>
              <w:top w:val="single" w:color="000000" w:sz="4" w:space="0"/>
              <w:left w:val="single" w:color="000000" w:sz="4" w:space="0"/>
              <w:bottom w:val="single" w:color="000000" w:sz="4" w:space="0"/>
              <w:right w:val="single" w:color="000000" w:sz="4" w:space="0"/>
            </w:tcBorders>
            <w:vAlign w:val="center"/>
          </w:tcPr>
          <w:p w14:paraId="48AF7AAE">
            <w:pPr>
              <w:pStyle w:val="24"/>
              <w:spacing w:before="94" w:line="180" w:lineRule="exact"/>
              <w:ind w:right="1409"/>
              <w:jc w:val="both"/>
              <w:rPr>
                <w:rFonts w:ascii="Times New Roman" w:hAnsi="Times New Roman" w:cs="Times New Roman"/>
                <w:b/>
                <w:bCs/>
                <w:sz w:val="18"/>
                <w:szCs w:val="18"/>
              </w:rPr>
            </w:pPr>
            <w:r>
              <w:rPr>
                <w:rFonts w:hint="eastAsia" w:ascii="Times New Roman" w:hAnsi="Times New Roman" w:cs="Times New Roman"/>
                <w:kern w:val="2"/>
                <w:sz w:val="18"/>
                <w:szCs w:val="18"/>
              </w:rPr>
              <w:t>C1.项目产出</w:t>
            </w:r>
          </w:p>
        </w:tc>
        <w:tc>
          <w:tcPr>
            <w:tcW w:w="1417" w:type="dxa"/>
            <w:tcBorders>
              <w:top w:val="single" w:color="000000" w:sz="4" w:space="0"/>
              <w:left w:val="nil"/>
              <w:bottom w:val="single" w:color="000000" w:sz="4" w:space="0"/>
              <w:right w:val="single" w:color="000000" w:sz="4" w:space="0"/>
            </w:tcBorders>
            <w:vAlign w:val="center"/>
          </w:tcPr>
          <w:p w14:paraId="0C194888">
            <w:pPr>
              <w:pStyle w:val="24"/>
              <w:spacing w:before="94" w:line="180" w:lineRule="exact"/>
              <w:ind w:left="150" w:right="139"/>
              <w:rPr>
                <w:rFonts w:ascii="Times New Roman" w:hAnsi="Times New Roman" w:cs="Times New Roman"/>
                <w:b/>
                <w:bCs/>
                <w:sz w:val="18"/>
                <w:szCs w:val="18"/>
              </w:rPr>
            </w:pPr>
          </w:p>
        </w:tc>
        <w:tc>
          <w:tcPr>
            <w:tcW w:w="1985" w:type="dxa"/>
            <w:tcBorders>
              <w:top w:val="single" w:color="000000" w:sz="4" w:space="0"/>
              <w:left w:val="nil"/>
              <w:bottom w:val="single" w:color="000000" w:sz="4" w:space="0"/>
              <w:right w:val="single" w:color="000000" w:sz="4" w:space="0"/>
            </w:tcBorders>
            <w:vAlign w:val="center"/>
          </w:tcPr>
          <w:p w14:paraId="2B89178C">
            <w:pPr>
              <w:pStyle w:val="24"/>
              <w:spacing w:before="94" w:line="180" w:lineRule="exact"/>
              <w:ind w:left="250" w:right="245"/>
              <w:rPr>
                <w:rFonts w:ascii="Times New Roman" w:hAnsi="Times New Roman" w:cs="Times New Roman"/>
                <w:b/>
                <w:bCs/>
                <w:sz w:val="18"/>
                <w:szCs w:val="18"/>
              </w:rPr>
            </w:pPr>
          </w:p>
        </w:tc>
        <w:tc>
          <w:tcPr>
            <w:tcW w:w="1276" w:type="dxa"/>
            <w:tcBorders>
              <w:top w:val="single" w:color="000000" w:sz="4" w:space="0"/>
              <w:left w:val="nil"/>
              <w:bottom w:val="single" w:color="000000" w:sz="4" w:space="0"/>
              <w:right w:val="single" w:color="000000" w:sz="4" w:space="0"/>
            </w:tcBorders>
            <w:vAlign w:val="center"/>
          </w:tcPr>
          <w:p w14:paraId="3CDC46BD">
            <w:pPr>
              <w:pStyle w:val="24"/>
              <w:spacing w:before="94" w:line="180" w:lineRule="exact"/>
              <w:ind w:left="151" w:right="139"/>
              <w:rPr>
                <w:rFonts w:ascii="Times New Roman" w:hAnsi="Times New Roman" w:cs="Times New Roman"/>
                <w:b/>
                <w:bCs/>
                <w:sz w:val="18"/>
                <w:szCs w:val="18"/>
              </w:rPr>
            </w:pPr>
          </w:p>
        </w:tc>
      </w:tr>
      <w:tr w14:paraId="3B98A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248" w:type="dxa"/>
            <w:tcBorders>
              <w:top w:val="single" w:color="000000" w:sz="4" w:space="0"/>
              <w:left w:val="single" w:color="000000" w:sz="4" w:space="0"/>
              <w:bottom w:val="single" w:color="000000" w:sz="4" w:space="0"/>
              <w:right w:val="single" w:color="000000" w:sz="4" w:space="0"/>
            </w:tcBorders>
            <w:vAlign w:val="center"/>
          </w:tcPr>
          <w:p w14:paraId="6C75C837">
            <w:pPr>
              <w:spacing w:line="180" w:lineRule="exact"/>
              <w:rPr>
                <w:rFonts w:ascii="Times New Roman" w:hAnsi="Times New Roman" w:eastAsia="仿宋_GB2312"/>
                <w:sz w:val="18"/>
                <w:szCs w:val="18"/>
              </w:rPr>
            </w:pPr>
            <w:r>
              <w:rPr>
                <w:rFonts w:hint="eastAsia" w:ascii="Times New Roman" w:hAnsi="Times New Roman" w:eastAsia="仿宋_GB2312"/>
                <w:sz w:val="18"/>
                <w:szCs w:val="18"/>
              </w:rPr>
              <w:t>C11.大摆社区山药、中药种植完成情况</w:t>
            </w:r>
          </w:p>
        </w:tc>
        <w:tc>
          <w:tcPr>
            <w:tcW w:w="1417" w:type="dxa"/>
            <w:tcBorders>
              <w:top w:val="single" w:color="000000" w:sz="4" w:space="0"/>
              <w:left w:val="nil"/>
              <w:bottom w:val="single" w:color="000000" w:sz="4" w:space="0"/>
              <w:right w:val="single" w:color="000000" w:sz="4" w:space="0"/>
            </w:tcBorders>
            <w:vAlign w:val="center"/>
          </w:tcPr>
          <w:p w14:paraId="6612D35D">
            <w:pPr>
              <w:pStyle w:val="24"/>
              <w:spacing w:line="180" w:lineRule="exact"/>
              <w:jc w:val="left"/>
              <w:rPr>
                <w:rFonts w:ascii="Times New Roman" w:hAnsi="Times New Roman" w:cs="Times New Roman"/>
                <w:sz w:val="18"/>
                <w:szCs w:val="18"/>
              </w:rPr>
            </w:pPr>
          </w:p>
        </w:tc>
        <w:tc>
          <w:tcPr>
            <w:tcW w:w="1985" w:type="dxa"/>
            <w:tcBorders>
              <w:top w:val="single" w:color="000000" w:sz="4" w:space="0"/>
              <w:left w:val="nil"/>
              <w:bottom w:val="single" w:color="000000" w:sz="4" w:space="0"/>
              <w:right w:val="single" w:color="000000" w:sz="4" w:space="0"/>
            </w:tcBorders>
            <w:vAlign w:val="center"/>
          </w:tcPr>
          <w:p w14:paraId="1183B11D">
            <w:pPr>
              <w:pStyle w:val="24"/>
              <w:spacing w:line="180" w:lineRule="exact"/>
              <w:jc w:val="left"/>
              <w:rPr>
                <w:rFonts w:ascii="Times New Roman" w:hAnsi="Times New Roman" w:cs="Times New Roman"/>
                <w:sz w:val="18"/>
                <w:szCs w:val="18"/>
              </w:rPr>
            </w:pPr>
          </w:p>
        </w:tc>
        <w:tc>
          <w:tcPr>
            <w:tcW w:w="1276" w:type="dxa"/>
            <w:tcBorders>
              <w:top w:val="single" w:color="000000" w:sz="4" w:space="0"/>
              <w:left w:val="nil"/>
              <w:bottom w:val="single" w:color="000000" w:sz="4" w:space="0"/>
              <w:right w:val="single" w:color="000000" w:sz="4" w:space="0"/>
            </w:tcBorders>
            <w:vAlign w:val="center"/>
          </w:tcPr>
          <w:p w14:paraId="7CC55CC6">
            <w:pPr>
              <w:pStyle w:val="24"/>
              <w:spacing w:line="180" w:lineRule="exact"/>
              <w:jc w:val="left"/>
              <w:rPr>
                <w:rFonts w:ascii="Times New Roman" w:hAnsi="Times New Roman" w:cs="Times New Roman"/>
                <w:sz w:val="18"/>
                <w:szCs w:val="18"/>
              </w:rPr>
            </w:pPr>
          </w:p>
        </w:tc>
      </w:tr>
      <w:tr w14:paraId="0FC8A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248" w:type="dxa"/>
            <w:tcBorders>
              <w:top w:val="single" w:color="000000" w:sz="4" w:space="0"/>
              <w:left w:val="single" w:color="000000" w:sz="4" w:space="0"/>
              <w:bottom w:val="single" w:color="000000" w:sz="4" w:space="0"/>
              <w:right w:val="single" w:color="000000" w:sz="4" w:space="0"/>
            </w:tcBorders>
            <w:vAlign w:val="center"/>
          </w:tcPr>
          <w:p w14:paraId="2D8449C9">
            <w:pPr>
              <w:pStyle w:val="24"/>
              <w:spacing w:before="77" w:line="180" w:lineRule="exact"/>
              <w:ind w:right="142" w:firstLine="360" w:firstLineChars="200"/>
              <w:jc w:val="left"/>
              <w:rPr>
                <w:rFonts w:ascii="Times New Roman" w:hAnsi="Times New Roman" w:cs="Times New Roman"/>
                <w:sz w:val="18"/>
                <w:szCs w:val="18"/>
              </w:rPr>
            </w:pPr>
            <w:r>
              <w:rPr>
                <w:rFonts w:hint="eastAsia" w:ascii="Times New Roman" w:hAnsi="Times New Roman" w:cs="Times New Roman"/>
                <w:sz w:val="18"/>
                <w:szCs w:val="18"/>
              </w:rPr>
              <w:t>C111.山药种植补助按时足额发放</w:t>
            </w:r>
          </w:p>
        </w:tc>
        <w:tc>
          <w:tcPr>
            <w:tcW w:w="1417" w:type="dxa"/>
            <w:tcBorders>
              <w:top w:val="single" w:color="000000" w:sz="4" w:space="0"/>
              <w:left w:val="nil"/>
              <w:bottom w:val="single" w:color="000000" w:sz="4" w:space="0"/>
              <w:right w:val="single" w:color="000000" w:sz="4" w:space="0"/>
            </w:tcBorders>
            <w:vAlign w:val="center"/>
          </w:tcPr>
          <w:p w14:paraId="56A2082A">
            <w:pPr>
              <w:pStyle w:val="24"/>
              <w:spacing w:before="1" w:line="180" w:lineRule="exact"/>
              <w:ind w:left="6"/>
              <w:rPr>
                <w:rFonts w:ascii="Times New Roman" w:hAnsi="Times New Roman" w:cs="Times New Roman"/>
                <w:sz w:val="18"/>
                <w:szCs w:val="18"/>
              </w:rPr>
            </w:pPr>
            <w:r>
              <w:rPr>
                <w:rFonts w:hint="eastAsia" w:ascii="Times New Roman" w:hAnsi="Times New Roman" w:cs="Times New Roman"/>
                <w:sz w:val="18"/>
                <w:szCs w:val="18"/>
              </w:rPr>
              <w:t>4</w:t>
            </w:r>
            <w:r>
              <w:rPr>
                <w:rFonts w:ascii="Times New Roman" w:hAnsi="Times New Roman" w:cs="Times New Roman"/>
                <w:sz w:val="18"/>
                <w:szCs w:val="18"/>
              </w:rPr>
              <w:t>.00</w:t>
            </w:r>
          </w:p>
        </w:tc>
        <w:tc>
          <w:tcPr>
            <w:tcW w:w="1985" w:type="dxa"/>
            <w:tcBorders>
              <w:top w:val="single" w:color="000000" w:sz="4" w:space="0"/>
              <w:left w:val="nil"/>
              <w:bottom w:val="single" w:color="000000" w:sz="4" w:space="0"/>
              <w:right w:val="single" w:color="000000" w:sz="4" w:space="0"/>
            </w:tcBorders>
            <w:vAlign w:val="center"/>
          </w:tcPr>
          <w:p w14:paraId="6CADA73B">
            <w:pPr>
              <w:pStyle w:val="24"/>
              <w:spacing w:line="180" w:lineRule="exact"/>
              <w:ind w:left="252" w:right="242"/>
              <w:rPr>
                <w:rFonts w:ascii="Times New Roman" w:hAnsi="Times New Roman" w:cs="Times New Roman"/>
                <w:sz w:val="18"/>
                <w:szCs w:val="18"/>
              </w:rPr>
            </w:pPr>
            <w:r>
              <w:rPr>
                <w:rFonts w:hint="eastAsia" w:ascii="Times New Roman" w:hAnsi="Times New Roman" w:cs="Times New Roman"/>
                <w:sz w:val="18"/>
                <w:szCs w:val="18"/>
              </w:rPr>
              <w:t>按时足额</w:t>
            </w:r>
          </w:p>
        </w:tc>
        <w:tc>
          <w:tcPr>
            <w:tcW w:w="1276" w:type="dxa"/>
            <w:tcBorders>
              <w:top w:val="single" w:color="000000" w:sz="4" w:space="0"/>
              <w:left w:val="nil"/>
              <w:bottom w:val="single" w:color="000000" w:sz="4" w:space="0"/>
              <w:right w:val="single" w:color="000000" w:sz="4" w:space="0"/>
            </w:tcBorders>
            <w:vAlign w:val="center"/>
          </w:tcPr>
          <w:p w14:paraId="5C87ABD7">
            <w:pPr>
              <w:pStyle w:val="24"/>
              <w:spacing w:before="1" w:line="180" w:lineRule="exact"/>
              <w:ind w:left="151" w:right="139"/>
              <w:rPr>
                <w:rFonts w:ascii="Times New Roman" w:hAnsi="Times New Roman" w:cs="Times New Roman"/>
                <w:sz w:val="18"/>
                <w:szCs w:val="18"/>
              </w:rPr>
            </w:pPr>
            <w:r>
              <w:rPr>
                <w:rFonts w:hint="eastAsia" w:ascii="Times New Roman" w:hAnsi="Times New Roman" w:cs="Times New Roman"/>
                <w:sz w:val="18"/>
                <w:szCs w:val="18"/>
              </w:rPr>
              <w:t>4</w:t>
            </w:r>
            <w:r>
              <w:rPr>
                <w:rFonts w:ascii="Times New Roman" w:hAnsi="Times New Roman" w:cs="Times New Roman"/>
                <w:sz w:val="18"/>
                <w:szCs w:val="18"/>
              </w:rPr>
              <w:t>.00</w:t>
            </w:r>
          </w:p>
        </w:tc>
      </w:tr>
      <w:tr w14:paraId="4AE5F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248" w:type="dxa"/>
            <w:tcBorders>
              <w:top w:val="single" w:color="000000" w:sz="4" w:space="0"/>
              <w:left w:val="single" w:color="000000" w:sz="4" w:space="0"/>
              <w:bottom w:val="single" w:color="000000" w:sz="4" w:space="0"/>
              <w:right w:val="single" w:color="000000" w:sz="4" w:space="0"/>
            </w:tcBorders>
            <w:vAlign w:val="center"/>
          </w:tcPr>
          <w:p w14:paraId="12973737">
            <w:pPr>
              <w:pStyle w:val="24"/>
              <w:spacing w:before="94" w:line="180" w:lineRule="exact"/>
              <w:ind w:firstLine="360" w:firstLineChars="200"/>
              <w:jc w:val="left"/>
              <w:rPr>
                <w:rFonts w:ascii="Times New Roman" w:hAnsi="Times New Roman" w:cs="Times New Roman"/>
                <w:sz w:val="18"/>
                <w:szCs w:val="18"/>
              </w:rPr>
            </w:pPr>
            <w:r>
              <w:rPr>
                <w:rFonts w:hint="eastAsia" w:ascii="Times New Roman" w:hAnsi="Times New Roman" w:cs="Times New Roman"/>
                <w:sz w:val="18"/>
                <w:szCs w:val="18"/>
              </w:rPr>
              <w:t>C112.中药种植补助按时足额发放</w:t>
            </w:r>
          </w:p>
        </w:tc>
        <w:tc>
          <w:tcPr>
            <w:tcW w:w="1417" w:type="dxa"/>
            <w:tcBorders>
              <w:top w:val="single" w:color="000000" w:sz="4" w:space="0"/>
              <w:left w:val="nil"/>
              <w:bottom w:val="single" w:color="000000" w:sz="4" w:space="0"/>
              <w:right w:val="single" w:color="000000" w:sz="4" w:space="0"/>
            </w:tcBorders>
            <w:vAlign w:val="center"/>
          </w:tcPr>
          <w:p w14:paraId="1CC6210B">
            <w:pPr>
              <w:pStyle w:val="24"/>
              <w:spacing w:before="106" w:line="180" w:lineRule="exact"/>
              <w:ind w:left="6"/>
              <w:rPr>
                <w:rFonts w:ascii="Times New Roman" w:hAnsi="Times New Roman" w:cs="Times New Roman"/>
                <w:sz w:val="18"/>
                <w:szCs w:val="18"/>
              </w:rPr>
            </w:pPr>
            <w:r>
              <w:rPr>
                <w:rFonts w:hint="eastAsia" w:ascii="Times New Roman" w:hAnsi="Times New Roman" w:cs="Times New Roman"/>
                <w:sz w:val="18"/>
                <w:szCs w:val="18"/>
              </w:rPr>
              <w:t>4</w:t>
            </w:r>
            <w:r>
              <w:rPr>
                <w:rFonts w:ascii="Times New Roman" w:hAnsi="Times New Roman" w:cs="Times New Roman"/>
                <w:sz w:val="18"/>
                <w:szCs w:val="18"/>
              </w:rPr>
              <w:t>.00</w:t>
            </w:r>
          </w:p>
        </w:tc>
        <w:tc>
          <w:tcPr>
            <w:tcW w:w="1985" w:type="dxa"/>
            <w:tcBorders>
              <w:top w:val="single" w:color="000000" w:sz="4" w:space="0"/>
              <w:left w:val="nil"/>
              <w:bottom w:val="single" w:color="000000" w:sz="4" w:space="0"/>
              <w:right w:val="single" w:color="000000" w:sz="4" w:space="0"/>
            </w:tcBorders>
            <w:vAlign w:val="center"/>
          </w:tcPr>
          <w:p w14:paraId="0CAA94CD">
            <w:pPr>
              <w:pStyle w:val="24"/>
              <w:spacing w:before="95" w:line="180" w:lineRule="exact"/>
              <w:ind w:left="252" w:right="242"/>
              <w:rPr>
                <w:rFonts w:ascii="Times New Roman" w:hAnsi="Times New Roman" w:cs="Times New Roman"/>
                <w:sz w:val="18"/>
                <w:szCs w:val="18"/>
              </w:rPr>
            </w:pPr>
            <w:r>
              <w:rPr>
                <w:rFonts w:hint="eastAsia" w:ascii="Times New Roman" w:hAnsi="Times New Roman" w:cs="Times New Roman"/>
                <w:sz w:val="18"/>
                <w:szCs w:val="18"/>
              </w:rPr>
              <w:t>按时足额</w:t>
            </w:r>
          </w:p>
        </w:tc>
        <w:tc>
          <w:tcPr>
            <w:tcW w:w="1276" w:type="dxa"/>
            <w:tcBorders>
              <w:top w:val="single" w:color="000000" w:sz="4" w:space="0"/>
              <w:left w:val="nil"/>
              <w:bottom w:val="single" w:color="000000" w:sz="4" w:space="0"/>
              <w:right w:val="single" w:color="000000" w:sz="4" w:space="0"/>
            </w:tcBorders>
            <w:vAlign w:val="center"/>
          </w:tcPr>
          <w:p w14:paraId="08FDE0B5">
            <w:pPr>
              <w:pStyle w:val="24"/>
              <w:spacing w:before="106" w:line="180" w:lineRule="exact"/>
              <w:ind w:left="151" w:right="139"/>
              <w:rPr>
                <w:rFonts w:ascii="Times New Roman" w:hAnsi="Times New Roman" w:cs="Times New Roman"/>
                <w:sz w:val="18"/>
                <w:szCs w:val="18"/>
              </w:rPr>
            </w:pPr>
            <w:r>
              <w:rPr>
                <w:rFonts w:hint="eastAsia" w:ascii="Times New Roman" w:hAnsi="Times New Roman" w:cs="Times New Roman"/>
                <w:sz w:val="18"/>
                <w:szCs w:val="18"/>
              </w:rPr>
              <w:t>4.00</w:t>
            </w:r>
          </w:p>
        </w:tc>
      </w:tr>
      <w:tr w14:paraId="55E05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8" w:hRule="exact"/>
          <w:jc w:val="center"/>
        </w:trPr>
        <w:tc>
          <w:tcPr>
            <w:tcW w:w="4248" w:type="dxa"/>
            <w:tcBorders>
              <w:top w:val="single" w:color="000000" w:sz="4" w:space="0"/>
              <w:left w:val="single" w:color="000000" w:sz="4" w:space="0"/>
              <w:bottom w:val="single" w:color="000000" w:sz="4" w:space="0"/>
              <w:right w:val="single" w:color="000000" w:sz="4" w:space="0"/>
            </w:tcBorders>
            <w:vAlign w:val="center"/>
          </w:tcPr>
          <w:p w14:paraId="09257670">
            <w:pPr>
              <w:spacing w:line="180" w:lineRule="exact"/>
              <w:ind w:firstLine="360" w:firstLineChars="200"/>
              <w:rPr>
                <w:rFonts w:ascii="Times New Roman" w:hAnsi="Times New Roman" w:eastAsia="仿宋_GB2312"/>
                <w:sz w:val="18"/>
                <w:szCs w:val="18"/>
              </w:rPr>
            </w:pPr>
            <w:r>
              <w:rPr>
                <w:rFonts w:hint="eastAsia" w:ascii="Times New Roman" w:hAnsi="Times New Roman" w:eastAsia="仿宋_GB2312"/>
                <w:sz w:val="18"/>
                <w:szCs w:val="18"/>
              </w:rPr>
              <w:t>C113.种植规模达到既定目标</w:t>
            </w:r>
          </w:p>
        </w:tc>
        <w:tc>
          <w:tcPr>
            <w:tcW w:w="1417" w:type="dxa"/>
            <w:tcBorders>
              <w:top w:val="single" w:color="000000" w:sz="4" w:space="0"/>
              <w:left w:val="nil"/>
              <w:bottom w:val="single" w:color="000000" w:sz="4" w:space="0"/>
              <w:right w:val="single" w:color="000000" w:sz="4" w:space="0"/>
            </w:tcBorders>
            <w:vAlign w:val="center"/>
          </w:tcPr>
          <w:p w14:paraId="55CB9FDF">
            <w:pPr>
              <w:pStyle w:val="24"/>
              <w:spacing w:line="180" w:lineRule="exact"/>
              <w:rPr>
                <w:rFonts w:ascii="Times New Roman" w:hAnsi="Times New Roman" w:cs="Times New Roman"/>
                <w:sz w:val="18"/>
                <w:szCs w:val="18"/>
              </w:rPr>
            </w:pPr>
            <w:r>
              <w:rPr>
                <w:rFonts w:hint="eastAsia" w:ascii="Times New Roman" w:hAnsi="Times New Roman" w:cs="Times New Roman"/>
                <w:sz w:val="18"/>
                <w:szCs w:val="18"/>
              </w:rPr>
              <w:t>4.00</w:t>
            </w:r>
          </w:p>
        </w:tc>
        <w:tc>
          <w:tcPr>
            <w:tcW w:w="1985" w:type="dxa"/>
            <w:tcBorders>
              <w:top w:val="single" w:color="000000" w:sz="4" w:space="0"/>
              <w:left w:val="nil"/>
              <w:bottom w:val="single" w:color="000000" w:sz="4" w:space="0"/>
              <w:right w:val="single" w:color="000000" w:sz="4" w:space="0"/>
            </w:tcBorders>
            <w:vAlign w:val="center"/>
          </w:tcPr>
          <w:p w14:paraId="29119F29">
            <w:pPr>
              <w:pStyle w:val="24"/>
              <w:spacing w:line="180" w:lineRule="exact"/>
              <w:rPr>
                <w:rFonts w:ascii="Times New Roman" w:hAnsi="Times New Roman" w:cs="Times New Roman"/>
                <w:sz w:val="18"/>
                <w:szCs w:val="18"/>
              </w:rPr>
            </w:pPr>
            <w:r>
              <w:rPr>
                <w:rFonts w:hint="eastAsia" w:ascii="Times New Roman" w:hAnsi="Times New Roman" w:cs="Times New Roman"/>
                <w:sz w:val="18"/>
                <w:szCs w:val="18"/>
              </w:rPr>
              <w:t>山药种植30亩、中药种植150亩</w:t>
            </w:r>
          </w:p>
        </w:tc>
        <w:tc>
          <w:tcPr>
            <w:tcW w:w="1276" w:type="dxa"/>
            <w:tcBorders>
              <w:top w:val="single" w:color="000000" w:sz="4" w:space="0"/>
              <w:left w:val="nil"/>
              <w:bottom w:val="single" w:color="000000" w:sz="4" w:space="0"/>
              <w:right w:val="single" w:color="000000" w:sz="4" w:space="0"/>
            </w:tcBorders>
            <w:vAlign w:val="center"/>
          </w:tcPr>
          <w:p w14:paraId="1B1C3076">
            <w:pPr>
              <w:pStyle w:val="24"/>
              <w:spacing w:line="180" w:lineRule="exact"/>
              <w:rPr>
                <w:rFonts w:ascii="Times New Roman" w:hAnsi="Times New Roman" w:cs="Times New Roman"/>
                <w:sz w:val="18"/>
                <w:szCs w:val="18"/>
              </w:rPr>
            </w:pPr>
            <w:r>
              <w:rPr>
                <w:rFonts w:hint="eastAsia" w:ascii="Times New Roman" w:hAnsi="Times New Roman" w:cs="Times New Roman"/>
                <w:sz w:val="18"/>
                <w:szCs w:val="18"/>
              </w:rPr>
              <w:t>4.00</w:t>
            </w:r>
          </w:p>
        </w:tc>
      </w:tr>
      <w:tr w14:paraId="44C2A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8" w:hRule="exact"/>
          <w:jc w:val="center"/>
        </w:trPr>
        <w:tc>
          <w:tcPr>
            <w:tcW w:w="4248" w:type="dxa"/>
            <w:tcBorders>
              <w:top w:val="single" w:color="000000" w:sz="4" w:space="0"/>
              <w:left w:val="single" w:color="000000" w:sz="4" w:space="0"/>
              <w:bottom w:val="single" w:color="000000" w:sz="4" w:space="0"/>
              <w:right w:val="single" w:color="000000" w:sz="4" w:space="0"/>
            </w:tcBorders>
            <w:vAlign w:val="center"/>
          </w:tcPr>
          <w:p w14:paraId="685E125D">
            <w:pPr>
              <w:spacing w:line="180" w:lineRule="exact"/>
              <w:rPr>
                <w:rFonts w:ascii="Times New Roman" w:hAnsi="Times New Roman" w:eastAsia="仿宋_GB2312"/>
                <w:sz w:val="18"/>
                <w:szCs w:val="18"/>
              </w:rPr>
            </w:pPr>
            <w:r>
              <w:rPr>
                <w:rFonts w:hint="eastAsia" w:ascii="Times New Roman" w:hAnsi="Times New Roman" w:eastAsia="仿宋_GB2312"/>
                <w:sz w:val="18"/>
                <w:szCs w:val="18"/>
              </w:rPr>
              <w:t>C12.种植基地蓄水池建设完成情况</w:t>
            </w:r>
          </w:p>
        </w:tc>
        <w:tc>
          <w:tcPr>
            <w:tcW w:w="1417" w:type="dxa"/>
            <w:tcBorders>
              <w:top w:val="single" w:color="000000" w:sz="4" w:space="0"/>
              <w:left w:val="nil"/>
              <w:bottom w:val="single" w:color="000000" w:sz="4" w:space="0"/>
              <w:right w:val="single" w:color="000000" w:sz="4" w:space="0"/>
            </w:tcBorders>
            <w:vAlign w:val="center"/>
          </w:tcPr>
          <w:p w14:paraId="4A97AE14">
            <w:pPr>
              <w:pStyle w:val="24"/>
              <w:spacing w:line="180" w:lineRule="exact"/>
              <w:rPr>
                <w:rFonts w:ascii="Times New Roman" w:hAnsi="Times New Roman" w:cs="Times New Roman"/>
                <w:sz w:val="18"/>
                <w:szCs w:val="18"/>
              </w:rPr>
            </w:pPr>
          </w:p>
        </w:tc>
        <w:tc>
          <w:tcPr>
            <w:tcW w:w="1985" w:type="dxa"/>
            <w:tcBorders>
              <w:top w:val="single" w:color="000000" w:sz="4" w:space="0"/>
              <w:left w:val="nil"/>
              <w:bottom w:val="single" w:color="000000" w:sz="4" w:space="0"/>
              <w:right w:val="single" w:color="000000" w:sz="4" w:space="0"/>
            </w:tcBorders>
            <w:vAlign w:val="center"/>
          </w:tcPr>
          <w:p w14:paraId="1E6C545D">
            <w:pPr>
              <w:pStyle w:val="24"/>
              <w:spacing w:line="180" w:lineRule="exact"/>
              <w:rPr>
                <w:rFonts w:ascii="Times New Roman" w:hAnsi="Times New Roman" w:cs="Times New Roman"/>
                <w:sz w:val="18"/>
                <w:szCs w:val="18"/>
              </w:rPr>
            </w:pPr>
          </w:p>
        </w:tc>
        <w:tc>
          <w:tcPr>
            <w:tcW w:w="1276" w:type="dxa"/>
            <w:tcBorders>
              <w:top w:val="single" w:color="000000" w:sz="4" w:space="0"/>
              <w:left w:val="nil"/>
              <w:bottom w:val="single" w:color="000000" w:sz="4" w:space="0"/>
              <w:right w:val="single" w:color="000000" w:sz="4" w:space="0"/>
            </w:tcBorders>
            <w:vAlign w:val="center"/>
          </w:tcPr>
          <w:p w14:paraId="1F3F1098">
            <w:pPr>
              <w:pStyle w:val="24"/>
              <w:spacing w:line="180" w:lineRule="exact"/>
              <w:jc w:val="both"/>
              <w:rPr>
                <w:rFonts w:ascii="Times New Roman" w:hAnsi="Times New Roman" w:cs="Times New Roman"/>
                <w:sz w:val="18"/>
                <w:szCs w:val="18"/>
              </w:rPr>
            </w:pPr>
          </w:p>
        </w:tc>
      </w:tr>
      <w:tr w14:paraId="04C62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248" w:type="dxa"/>
            <w:tcBorders>
              <w:top w:val="single" w:color="000000" w:sz="4" w:space="0"/>
              <w:left w:val="single" w:color="000000" w:sz="4" w:space="0"/>
              <w:bottom w:val="single" w:color="000000" w:sz="4" w:space="0"/>
              <w:right w:val="single" w:color="000000" w:sz="4" w:space="0"/>
            </w:tcBorders>
            <w:vAlign w:val="center"/>
          </w:tcPr>
          <w:p w14:paraId="06C02869">
            <w:pPr>
              <w:spacing w:line="180" w:lineRule="exact"/>
              <w:ind w:firstLine="360" w:firstLineChars="200"/>
              <w:rPr>
                <w:rFonts w:ascii="Times New Roman" w:hAnsi="Times New Roman" w:eastAsia="仿宋_GB2312"/>
                <w:sz w:val="18"/>
                <w:szCs w:val="18"/>
              </w:rPr>
            </w:pPr>
            <w:r>
              <w:rPr>
                <w:rFonts w:hint="eastAsia" w:ascii="Times New Roman" w:hAnsi="Times New Roman" w:eastAsia="仿宋_GB2312"/>
                <w:sz w:val="18"/>
                <w:szCs w:val="18"/>
              </w:rPr>
              <w:t>C121.设施改造完成率100%</w:t>
            </w:r>
          </w:p>
        </w:tc>
        <w:tc>
          <w:tcPr>
            <w:tcW w:w="1417" w:type="dxa"/>
            <w:tcBorders>
              <w:top w:val="single" w:color="000000" w:sz="4" w:space="0"/>
              <w:left w:val="nil"/>
              <w:bottom w:val="single" w:color="000000" w:sz="4" w:space="0"/>
              <w:right w:val="single" w:color="000000" w:sz="4" w:space="0"/>
            </w:tcBorders>
            <w:vAlign w:val="center"/>
          </w:tcPr>
          <w:p w14:paraId="2B7FAB28">
            <w:pPr>
              <w:pStyle w:val="24"/>
              <w:spacing w:line="180" w:lineRule="exact"/>
              <w:rPr>
                <w:rFonts w:ascii="Times New Roman" w:hAnsi="Times New Roman" w:cs="Times New Roman"/>
                <w:sz w:val="18"/>
                <w:szCs w:val="18"/>
              </w:rPr>
            </w:pPr>
            <w:r>
              <w:rPr>
                <w:rFonts w:hint="eastAsia" w:ascii="Times New Roman" w:hAnsi="Times New Roman" w:cs="Times New Roman"/>
                <w:sz w:val="18"/>
                <w:szCs w:val="18"/>
              </w:rPr>
              <w:t>5</w:t>
            </w:r>
            <w:r>
              <w:rPr>
                <w:rFonts w:ascii="Times New Roman" w:hAnsi="Times New Roman" w:cs="Times New Roman"/>
                <w:sz w:val="18"/>
                <w:szCs w:val="18"/>
              </w:rPr>
              <w:t>.00</w:t>
            </w:r>
          </w:p>
        </w:tc>
        <w:tc>
          <w:tcPr>
            <w:tcW w:w="1985" w:type="dxa"/>
            <w:tcBorders>
              <w:top w:val="single" w:color="000000" w:sz="4" w:space="0"/>
              <w:left w:val="nil"/>
              <w:bottom w:val="single" w:color="000000" w:sz="4" w:space="0"/>
              <w:right w:val="single" w:color="000000" w:sz="4" w:space="0"/>
            </w:tcBorders>
            <w:vAlign w:val="center"/>
          </w:tcPr>
          <w:p w14:paraId="61FBBD30">
            <w:pPr>
              <w:pStyle w:val="24"/>
              <w:spacing w:line="180" w:lineRule="exact"/>
              <w:rPr>
                <w:rFonts w:ascii="Times New Roman" w:hAnsi="Times New Roman" w:cs="Times New Roman"/>
                <w:sz w:val="18"/>
                <w:szCs w:val="18"/>
              </w:rPr>
            </w:pPr>
            <w:r>
              <w:rPr>
                <w:rFonts w:hint="eastAsia" w:ascii="Times New Roman" w:hAnsi="Times New Roman"/>
                <w:sz w:val="18"/>
                <w:szCs w:val="18"/>
              </w:rPr>
              <w:t>100%</w:t>
            </w:r>
          </w:p>
        </w:tc>
        <w:tc>
          <w:tcPr>
            <w:tcW w:w="1276" w:type="dxa"/>
            <w:tcBorders>
              <w:top w:val="single" w:color="000000" w:sz="4" w:space="0"/>
              <w:left w:val="nil"/>
              <w:bottom w:val="single" w:color="000000" w:sz="4" w:space="0"/>
              <w:right w:val="single" w:color="000000" w:sz="4" w:space="0"/>
            </w:tcBorders>
            <w:vAlign w:val="center"/>
          </w:tcPr>
          <w:p w14:paraId="1CE93B93">
            <w:pPr>
              <w:pStyle w:val="24"/>
              <w:spacing w:line="180" w:lineRule="exact"/>
              <w:rPr>
                <w:rFonts w:ascii="Times New Roman" w:hAnsi="Times New Roman" w:cs="Times New Roman"/>
                <w:sz w:val="18"/>
                <w:szCs w:val="18"/>
              </w:rPr>
            </w:pPr>
            <w:r>
              <w:rPr>
                <w:rFonts w:hint="eastAsia" w:ascii="Times New Roman" w:hAnsi="Times New Roman" w:cs="Times New Roman"/>
                <w:sz w:val="18"/>
                <w:szCs w:val="18"/>
              </w:rPr>
              <w:t>5.00</w:t>
            </w:r>
          </w:p>
        </w:tc>
      </w:tr>
      <w:tr w14:paraId="5CA62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248" w:type="dxa"/>
            <w:tcBorders>
              <w:top w:val="single" w:color="000000" w:sz="4" w:space="0"/>
              <w:left w:val="single" w:color="000000" w:sz="4" w:space="0"/>
              <w:bottom w:val="single" w:color="000000" w:sz="4" w:space="0"/>
              <w:right w:val="single" w:color="000000" w:sz="4" w:space="0"/>
            </w:tcBorders>
            <w:vAlign w:val="center"/>
          </w:tcPr>
          <w:p w14:paraId="36661D1F">
            <w:pPr>
              <w:spacing w:line="180" w:lineRule="exact"/>
              <w:ind w:firstLine="360" w:firstLineChars="200"/>
              <w:rPr>
                <w:rFonts w:ascii="Times New Roman" w:hAnsi="Times New Roman" w:eastAsia="仿宋_GB2312"/>
                <w:sz w:val="18"/>
                <w:szCs w:val="18"/>
              </w:rPr>
            </w:pPr>
            <w:r>
              <w:rPr>
                <w:rFonts w:hint="eastAsia" w:ascii="Times New Roman" w:hAnsi="Times New Roman" w:eastAsia="仿宋_GB2312"/>
                <w:sz w:val="18"/>
                <w:szCs w:val="18"/>
              </w:rPr>
              <w:t>C122.蓄水池建设完成情况</w:t>
            </w:r>
          </w:p>
        </w:tc>
        <w:tc>
          <w:tcPr>
            <w:tcW w:w="1417" w:type="dxa"/>
            <w:tcBorders>
              <w:top w:val="single" w:color="000000" w:sz="4" w:space="0"/>
              <w:left w:val="nil"/>
              <w:bottom w:val="single" w:color="000000" w:sz="4" w:space="0"/>
              <w:right w:val="single" w:color="000000" w:sz="4" w:space="0"/>
            </w:tcBorders>
            <w:vAlign w:val="center"/>
          </w:tcPr>
          <w:p w14:paraId="32A2E58F">
            <w:pPr>
              <w:pStyle w:val="24"/>
              <w:spacing w:line="180" w:lineRule="exact"/>
              <w:rPr>
                <w:rFonts w:ascii="Times New Roman" w:hAnsi="Times New Roman" w:cs="Times New Roman"/>
                <w:sz w:val="18"/>
                <w:szCs w:val="18"/>
              </w:rPr>
            </w:pPr>
            <w:r>
              <w:rPr>
                <w:rFonts w:hint="eastAsia" w:ascii="Times New Roman" w:hAnsi="Times New Roman" w:cs="Times New Roman"/>
                <w:sz w:val="18"/>
                <w:szCs w:val="18"/>
              </w:rPr>
              <w:t>4</w:t>
            </w:r>
            <w:r>
              <w:rPr>
                <w:rFonts w:ascii="Times New Roman" w:hAnsi="Times New Roman" w:cs="Times New Roman"/>
                <w:sz w:val="18"/>
                <w:szCs w:val="18"/>
              </w:rPr>
              <w:t>.00</w:t>
            </w:r>
          </w:p>
        </w:tc>
        <w:tc>
          <w:tcPr>
            <w:tcW w:w="1985" w:type="dxa"/>
            <w:tcBorders>
              <w:top w:val="single" w:color="000000" w:sz="4" w:space="0"/>
              <w:left w:val="nil"/>
              <w:bottom w:val="single" w:color="000000" w:sz="4" w:space="0"/>
              <w:right w:val="single" w:color="000000" w:sz="4" w:space="0"/>
            </w:tcBorders>
            <w:vAlign w:val="center"/>
          </w:tcPr>
          <w:p w14:paraId="6C910F36">
            <w:pPr>
              <w:pStyle w:val="24"/>
              <w:spacing w:line="180" w:lineRule="exact"/>
              <w:rPr>
                <w:rFonts w:ascii="Times New Roman" w:hAnsi="Times New Roman" w:cs="Times New Roman"/>
                <w:sz w:val="18"/>
                <w:szCs w:val="18"/>
              </w:rPr>
            </w:pPr>
            <w:r>
              <w:rPr>
                <w:rFonts w:hint="eastAsia" w:ascii="Times New Roman" w:hAnsi="Times New Roman" w:cs="Times New Roman"/>
                <w:sz w:val="18"/>
                <w:szCs w:val="18"/>
              </w:rPr>
              <w:t>完成</w:t>
            </w:r>
          </w:p>
        </w:tc>
        <w:tc>
          <w:tcPr>
            <w:tcW w:w="1276" w:type="dxa"/>
            <w:tcBorders>
              <w:top w:val="single" w:color="000000" w:sz="4" w:space="0"/>
              <w:left w:val="nil"/>
              <w:bottom w:val="single" w:color="000000" w:sz="4" w:space="0"/>
              <w:right w:val="single" w:color="000000" w:sz="4" w:space="0"/>
            </w:tcBorders>
            <w:vAlign w:val="center"/>
          </w:tcPr>
          <w:p w14:paraId="73426FDE">
            <w:pPr>
              <w:pStyle w:val="24"/>
              <w:spacing w:line="180" w:lineRule="exact"/>
              <w:rPr>
                <w:rFonts w:ascii="Times New Roman" w:hAnsi="Times New Roman" w:cs="Times New Roman"/>
                <w:sz w:val="18"/>
                <w:szCs w:val="18"/>
              </w:rPr>
            </w:pPr>
            <w:r>
              <w:rPr>
                <w:rFonts w:hint="eastAsia" w:ascii="Times New Roman" w:hAnsi="Times New Roman" w:cs="Times New Roman"/>
                <w:sz w:val="18"/>
                <w:szCs w:val="18"/>
              </w:rPr>
              <w:t>4.00</w:t>
            </w:r>
          </w:p>
        </w:tc>
      </w:tr>
      <w:tr w14:paraId="4536E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248" w:type="dxa"/>
            <w:tcBorders>
              <w:top w:val="single" w:color="000000" w:sz="4" w:space="0"/>
              <w:left w:val="single" w:color="000000" w:sz="4" w:space="0"/>
              <w:bottom w:val="single" w:color="000000" w:sz="4" w:space="0"/>
              <w:right w:val="single" w:color="000000" w:sz="4" w:space="0"/>
            </w:tcBorders>
            <w:vAlign w:val="center"/>
          </w:tcPr>
          <w:p w14:paraId="2F802C89">
            <w:pPr>
              <w:spacing w:line="180" w:lineRule="exact"/>
              <w:rPr>
                <w:rFonts w:ascii="Times New Roman" w:hAnsi="Times New Roman" w:eastAsia="仿宋_GB2312"/>
                <w:sz w:val="18"/>
                <w:szCs w:val="18"/>
              </w:rPr>
            </w:pPr>
            <w:r>
              <w:rPr>
                <w:rFonts w:hint="eastAsia" w:ascii="Times New Roman" w:hAnsi="Times New Roman" w:eastAsia="仿宋_GB2312"/>
                <w:sz w:val="18"/>
                <w:szCs w:val="18"/>
              </w:rPr>
              <w:t>C13.种植基地管道铺设完成情况</w:t>
            </w:r>
          </w:p>
        </w:tc>
        <w:tc>
          <w:tcPr>
            <w:tcW w:w="1417" w:type="dxa"/>
            <w:tcBorders>
              <w:top w:val="single" w:color="000000" w:sz="4" w:space="0"/>
              <w:left w:val="nil"/>
              <w:bottom w:val="single" w:color="000000" w:sz="4" w:space="0"/>
              <w:right w:val="single" w:color="000000" w:sz="4" w:space="0"/>
            </w:tcBorders>
            <w:vAlign w:val="center"/>
          </w:tcPr>
          <w:p w14:paraId="7E702E84">
            <w:pPr>
              <w:pStyle w:val="24"/>
              <w:spacing w:line="180" w:lineRule="exact"/>
              <w:rPr>
                <w:rFonts w:ascii="Times New Roman" w:hAnsi="Times New Roman" w:cs="Times New Roman"/>
                <w:sz w:val="18"/>
                <w:szCs w:val="18"/>
              </w:rPr>
            </w:pPr>
          </w:p>
        </w:tc>
        <w:tc>
          <w:tcPr>
            <w:tcW w:w="1985" w:type="dxa"/>
            <w:tcBorders>
              <w:top w:val="single" w:color="000000" w:sz="4" w:space="0"/>
              <w:left w:val="nil"/>
              <w:bottom w:val="single" w:color="000000" w:sz="4" w:space="0"/>
              <w:right w:val="single" w:color="000000" w:sz="4" w:space="0"/>
            </w:tcBorders>
            <w:vAlign w:val="center"/>
          </w:tcPr>
          <w:p w14:paraId="15547717">
            <w:pPr>
              <w:pStyle w:val="24"/>
              <w:spacing w:line="180" w:lineRule="exact"/>
              <w:rPr>
                <w:rFonts w:ascii="Times New Roman" w:hAnsi="Times New Roman" w:cs="Times New Roman"/>
                <w:sz w:val="18"/>
                <w:szCs w:val="18"/>
              </w:rPr>
            </w:pPr>
          </w:p>
        </w:tc>
        <w:tc>
          <w:tcPr>
            <w:tcW w:w="1276" w:type="dxa"/>
            <w:tcBorders>
              <w:top w:val="single" w:color="000000" w:sz="4" w:space="0"/>
              <w:left w:val="nil"/>
              <w:bottom w:val="single" w:color="000000" w:sz="4" w:space="0"/>
              <w:right w:val="single" w:color="000000" w:sz="4" w:space="0"/>
            </w:tcBorders>
            <w:vAlign w:val="center"/>
          </w:tcPr>
          <w:p w14:paraId="00C9258D">
            <w:pPr>
              <w:pStyle w:val="24"/>
              <w:spacing w:line="180" w:lineRule="exact"/>
              <w:rPr>
                <w:rFonts w:ascii="Times New Roman" w:hAnsi="Times New Roman" w:cs="Times New Roman"/>
                <w:sz w:val="18"/>
                <w:szCs w:val="18"/>
              </w:rPr>
            </w:pPr>
          </w:p>
        </w:tc>
      </w:tr>
      <w:tr w14:paraId="16B84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0" w:hRule="exact"/>
          <w:jc w:val="center"/>
        </w:trPr>
        <w:tc>
          <w:tcPr>
            <w:tcW w:w="4248" w:type="dxa"/>
            <w:tcBorders>
              <w:top w:val="single" w:color="000000" w:sz="4" w:space="0"/>
              <w:left w:val="single" w:color="000000" w:sz="4" w:space="0"/>
              <w:bottom w:val="single" w:color="000000" w:sz="4" w:space="0"/>
              <w:right w:val="single" w:color="000000" w:sz="4" w:space="0"/>
            </w:tcBorders>
            <w:vAlign w:val="center"/>
          </w:tcPr>
          <w:p w14:paraId="01E9C016">
            <w:pPr>
              <w:pStyle w:val="24"/>
              <w:spacing w:before="94" w:line="180" w:lineRule="exact"/>
              <w:ind w:firstLine="360" w:firstLineChars="200"/>
              <w:jc w:val="left"/>
              <w:rPr>
                <w:rFonts w:ascii="Times New Roman" w:hAnsi="Times New Roman" w:cs="Times New Roman"/>
                <w:sz w:val="18"/>
                <w:szCs w:val="18"/>
              </w:rPr>
            </w:pPr>
            <w:r>
              <w:rPr>
                <w:rFonts w:hint="eastAsia" w:ascii="Times New Roman" w:hAnsi="Times New Roman" w:cs="Times New Roman"/>
                <w:sz w:val="18"/>
                <w:szCs w:val="18"/>
              </w:rPr>
              <w:t>C131.设施改造完成率</w:t>
            </w:r>
            <w:r>
              <w:rPr>
                <w:rFonts w:ascii="Times New Roman" w:hAnsi="Times New Roman" w:cs="Times New Roman"/>
                <w:sz w:val="18"/>
                <w:szCs w:val="18"/>
              </w:rPr>
              <w:t>况</w:t>
            </w:r>
            <w:r>
              <w:rPr>
                <w:rFonts w:hint="eastAsia" w:ascii="Times New Roman" w:hAnsi="Times New Roman"/>
                <w:sz w:val="18"/>
                <w:szCs w:val="18"/>
              </w:rPr>
              <w:t>100%</w:t>
            </w:r>
          </w:p>
        </w:tc>
        <w:tc>
          <w:tcPr>
            <w:tcW w:w="1417" w:type="dxa"/>
            <w:tcBorders>
              <w:top w:val="single" w:color="000000" w:sz="4" w:space="0"/>
              <w:left w:val="nil"/>
              <w:bottom w:val="single" w:color="000000" w:sz="4" w:space="0"/>
              <w:right w:val="single" w:color="000000" w:sz="4" w:space="0"/>
            </w:tcBorders>
            <w:vAlign w:val="center"/>
          </w:tcPr>
          <w:p w14:paraId="3AF4FE6F">
            <w:pPr>
              <w:pStyle w:val="24"/>
              <w:spacing w:line="180" w:lineRule="exact"/>
              <w:rPr>
                <w:rFonts w:ascii="Times New Roman" w:hAnsi="Times New Roman" w:cs="Times New Roman"/>
                <w:sz w:val="18"/>
                <w:szCs w:val="18"/>
              </w:rPr>
            </w:pPr>
            <w:r>
              <w:rPr>
                <w:rFonts w:hint="eastAsia" w:ascii="Times New Roman" w:hAnsi="Times New Roman" w:cs="Times New Roman"/>
                <w:sz w:val="18"/>
                <w:szCs w:val="18"/>
              </w:rPr>
              <w:t>5.00</w:t>
            </w:r>
          </w:p>
        </w:tc>
        <w:tc>
          <w:tcPr>
            <w:tcW w:w="1985" w:type="dxa"/>
            <w:tcBorders>
              <w:top w:val="single" w:color="000000" w:sz="4" w:space="0"/>
              <w:left w:val="nil"/>
              <w:bottom w:val="single" w:color="000000" w:sz="4" w:space="0"/>
              <w:right w:val="single" w:color="000000" w:sz="4" w:space="0"/>
            </w:tcBorders>
            <w:vAlign w:val="center"/>
          </w:tcPr>
          <w:p w14:paraId="2F00B399">
            <w:pPr>
              <w:pStyle w:val="24"/>
              <w:spacing w:line="180" w:lineRule="exact"/>
              <w:rPr>
                <w:rFonts w:ascii="Times New Roman" w:hAnsi="Times New Roman" w:cs="Times New Roman"/>
                <w:sz w:val="18"/>
                <w:szCs w:val="18"/>
              </w:rPr>
            </w:pPr>
            <w:r>
              <w:rPr>
                <w:rFonts w:hint="eastAsia" w:ascii="Times New Roman" w:hAnsi="Times New Roman"/>
                <w:sz w:val="18"/>
                <w:szCs w:val="18"/>
              </w:rPr>
              <w:t>100%</w:t>
            </w:r>
          </w:p>
        </w:tc>
        <w:tc>
          <w:tcPr>
            <w:tcW w:w="1276" w:type="dxa"/>
            <w:tcBorders>
              <w:top w:val="single" w:color="000000" w:sz="4" w:space="0"/>
              <w:left w:val="nil"/>
              <w:bottom w:val="single" w:color="000000" w:sz="4" w:space="0"/>
              <w:right w:val="single" w:color="000000" w:sz="4" w:space="0"/>
            </w:tcBorders>
            <w:vAlign w:val="center"/>
          </w:tcPr>
          <w:p w14:paraId="2ADCEE3A">
            <w:pPr>
              <w:pStyle w:val="24"/>
              <w:spacing w:line="180" w:lineRule="exact"/>
              <w:rPr>
                <w:rFonts w:ascii="Times New Roman" w:hAnsi="Times New Roman" w:cs="Times New Roman"/>
                <w:sz w:val="18"/>
                <w:szCs w:val="18"/>
              </w:rPr>
            </w:pPr>
            <w:r>
              <w:rPr>
                <w:rFonts w:hint="eastAsia" w:ascii="Times New Roman" w:hAnsi="Times New Roman" w:cs="Times New Roman"/>
                <w:sz w:val="18"/>
                <w:szCs w:val="18"/>
              </w:rPr>
              <w:t>5.00</w:t>
            </w:r>
          </w:p>
        </w:tc>
      </w:tr>
      <w:tr w14:paraId="7B4CA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248" w:type="dxa"/>
            <w:tcBorders>
              <w:top w:val="single" w:color="000000" w:sz="4" w:space="0"/>
              <w:left w:val="single" w:color="000000" w:sz="4" w:space="0"/>
              <w:bottom w:val="single" w:color="000000" w:sz="4" w:space="0"/>
              <w:right w:val="single" w:color="000000" w:sz="4" w:space="0"/>
            </w:tcBorders>
            <w:vAlign w:val="center"/>
          </w:tcPr>
          <w:p w14:paraId="206E9DE7">
            <w:pPr>
              <w:pStyle w:val="24"/>
              <w:spacing w:before="94" w:line="180" w:lineRule="exact"/>
              <w:ind w:left="108" w:firstLine="270" w:firstLineChars="150"/>
              <w:jc w:val="left"/>
              <w:rPr>
                <w:rFonts w:ascii="Times New Roman" w:hAnsi="Times New Roman" w:cs="Times New Roman"/>
                <w:sz w:val="18"/>
                <w:szCs w:val="18"/>
              </w:rPr>
            </w:pPr>
            <w:r>
              <w:rPr>
                <w:rFonts w:hint="eastAsia" w:ascii="Times New Roman" w:hAnsi="Times New Roman" w:cs="Times New Roman"/>
                <w:sz w:val="18"/>
                <w:szCs w:val="18"/>
              </w:rPr>
              <w:t>C132.管道建设完成情况</w:t>
            </w:r>
          </w:p>
        </w:tc>
        <w:tc>
          <w:tcPr>
            <w:tcW w:w="1417" w:type="dxa"/>
            <w:tcBorders>
              <w:top w:val="single" w:color="000000" w:sz="4" w:space="0"/>
              <w:left w:val="nil"/>
              <w:bottom w:val="single" w:color="000000" w:sz="4" w:space="0"/>
              <w:right w:val="single" w:color="000000" w:sz="4" w:space="0"/>
            </w:tcBorders>
            <w:vAlign w:val="center"/>
          </w:tcPr>
          <w:p w14:paraId="4D21FF2D">
            <w:pPr>
              <w:pStyle w:val="24"/>
              <w:spacing w:line="180" w:lineRule="exact"/>
              <w:rPr>
                <w:rFonts w:ascii="Times New Roman" w:hAnsi="Times New Roman" w:cs="Times New Roman"/>
                <w:sz w:val="18"/>
                <w:szCs w:val="18"/>
              </w:rPr>
            </w:pPr>
            <w:r>
              <w:rPr>
                <w:rFonts w:hint="eastAsia" w:ascii="Times New Roman" w:hAnsi="Times New Roman" w:cs="Times New Roman"/>
                <w:sz w:val="18"/>
                <w:szCs w:val="18"/>
              </w:rPr>
              <w:t>4</w:t>
            </w:r>
            <w:r>
              <w:rPr>
                <w:rFonts w:ascii="Times New Roman" w:hAnsi="Times New Roman" w:cs="Times New Roman"/>
                <w:sz w:val="18"/>
                <w:szCs w:val="18"/>
              </w:rPr>
              <w:t>.00</w:t>
            </w:r>
          </w:p>
        </w:tc>
        <w:tc>
          <w:tcPr>
            <w:tcW w:w="1985" w:type="dxa"/>
            <w:tcBorders>
              <w:top w:val="single" w:color="000000" w:sz="4" w:space="0"/>
              <w:left w:val="nil"/>
              <w:bottom w:val="single" w:color="000000" w:sz="4" w:space="0"/>
              <w:right w:val="single" w:color="000000" w:sz="4" w:space="0"/>
            </w:tcBorders>
            <w:vAlign w:val="center"/>
          </w:tcPr>
          <w:p w14:paraId="0E0DC817">
            <w:pPr>
              <w:pStyle w:val="24"/>
              <w:spacing w:line="180" w:lineRule="exact"/>
              <w:rPr>
                <w:rFonts w:ascii="Times New Roman" w:hAnsi="Times New Roman" w:cs="Times New Roman"/>
                <w:sz w:val="18"/>
                <w:szCs w:val="18"/>
              </w:rPr>
            </w:pPr>
            <w:r>
              <w:rPr>
                <w:rFonts w:hint="eastAsia" w:ascii="Times New Roman" w:hAnsi="Times New Roman" w:cs="Times New Roman"/>
                <w:sz w:val="18"/>
                <w:szCs w:val="18"/>
              </w:rPr>
              <w:t>完成</w:t>
            </w:r>
          </w:p>
        </w:tc>
        <w:tc>
          <w:tcPr>
            <w:tcW w:w="1276" w:type="dxa"/>
            <w:tcBorders>
              <w:top w:val="single" w:color="000000" w:sz="4" w:space="0"/>
              <w:left w:val="nil"/>
              <w:bottom w:val="single" w:color="000000" w:sz="4" w:space="0"/>
              <w:right w:val="single" w:color="000000" w:sz="4" w:space="0"/>
            </w:tcBorders>
            <w:vAlign w:val="center"/>
          </w:tcPr>
          <w:p w14:paraId="70172AF8">
            <w:pPr>
              <w:pStyle w:val="24"/>
              <w:spacing w:line="180" w:lineRule="exact"/>
              <w:rPr>
                <w:rFonts w:ascii="Times New Roman" w:hAnsi="Times New Roman" w:cs="Times New Roman"/>
                <w:sz w:val="18"/>
                <w:szCs w:val="18"/>
              </w:rPr>
            </w:pPr>
            <w:r>
              <w:rPr>
                <w:rFonts w:hint="eastAsia" w:ascii="Times New Roman" w:hAnsi="Times New Roman" w:cs="Times New Roman"/>
                <w:sz w:val="18"/>
                <w:szCs w:val="18"/>
              </w:rPr>
              <w:t>4.00</w:t>
            </w:r>
          </w:p>
        </w:tc>
      </w:tr>
      <w:tr w14:paraId="3FB1B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248" w:type="dxa"/>
            <w:tcBorders>
              <w:top w:val="single" w:color="000000" w:sz="4" w:space="0"/>
              <w:left w:val="single" w:color="000000" w:sz="4" w:space="0"/>
              <w:bottom w:val="single" w:color="000000" w:sz="4" w:space="0"/>
              <w:right w:val="single" w:color="000000" w:sz="4" w:space="0"/>
            </w:tcBorders>
            <w:vAlign w:val="center"/>
          </w:tcPr>
          <w:p w14:paraId="2EDD1DD6">
            <w:pPr>
              <w:pStyle w:val="24"/>
              <w:spacing w:before="94" w:line="180" w:lineRule="exact"/>
              <w:jc w:val="both"/>
              <w:rPr>
                <w:rFonts w:ascii="Times New Roman" w:hAnsi="Times New Roman" w:cs="Times New Roman"/>
                <w:sz w:val="18"/>
                <w:szCs w:val="18"/>
              </w:rPr>
            </w:pPr>
            <w:r>
              <w:rPr>
                <w:rFonts w:hint="eastAsia" w:ascii="Times New Roman" w:hAnsi="Times New Roman" w:cs="Times New Roman"/>
                <w:sz w:val="18"/>
                <w:szCs w:val="18"/>
              </w:rPr>
              <w:t>C2.项目效益</w:t>
            </w:r>
          </w:p>
        </w:tc>
        <w:tc>
          <w:tcPr>
            <w:tcW w:w="1417" w:type="dxa"/>
            <w:tcBorders>
              <w:top w:val="single" w:color="000000" w:sz="4" w:space="0"/>
              <w:left w:val="nil"/>
              <w:bottom w:val="single" w:color="000000" w:sz="4" w:space="0"/>
              <w:right w:val="single" w:color="000000" w:sz="4" w:space="0"/>
            </w:tcBorders>
            <w:vAlign w:val="center"/>
          </w:tcPr>
          <w:p w14:paraId="42DB13DE">
            <w:pPr>
              <w:pStyle w:val="24"/>
              <w:spacing w:line="180" w:lineRule="exact"/>
              <w:rPr>
                <w:rFonts w:ascii="Times New Roman" w:hAnsi="Times New Roman" w:cs="Times New Roman"/>
                <w:sz w:val="18"/>
                <w:szCs w:val="18"/>
              </w:rPr>
            </w:pPr>
          </w:p>
        </w:tc>
        <w:tc>
          <w:tcPr>
            <w:tcW w:w="1985" w:type="dxa"/>
            <w:tcBorders>
              <w:top w:val="single" w:color="000000" w:sz="4" w:space="0"/>
              <w:left w:val="nil"/>
              <w:bottom w:val="single" w:color="000000" w:sz="4" w:space="0"/>
              <w:right w:val="single" w:color="000000" w:sz="4" w:space="0"/>
            </w:tcBorders>
            <w:vAlign w:val="center"/>
          </w:tcPr>
          <w:p w14:paraId="5C2511FD">
            <w:pPr>
              <w:pStyle w:val="24"/>
              <w:spacing w:line="180" w:lineRule="exact"/>
              <w:rPr>
                <w:rFonts w:ascii="Times New Roman" w:hAnsi="Times New Roman" w:cs="Times New Roman"/>
                <w:sz w:val="18"/>
                <w:szCs w:val="18"/>
              </w:rPr>
            </w:pPr>
          </w:p>
        </w:tc>
        <w:tc>
          <w:tcPr>
            <w:tcW w:w="1276" w:type="dxa"/>
            <w:tcBorders>
              <w:top w:val="single" w:color="000000" w:sz="4" w:space="0"/>
              <w:left w:val="nil"/>
              <w:bottom w:val="single" w:color="000000" w:sz="4" w:space="0"/>
              <w:right w:val="single" w:color="000000" w:sz="4" w:space="0"/>
            </w:tcBorders>
            <w:vAlign w:val="center"/>
          </w:tcPr>
          <w:p w14:paraId="538CF2EC">
            <w:pPr>
              <w:pStyle w:val="24"/>
              <w:spacing w:line="180" w:lineRule="exact"/>
              <w:rPr>
                <w:rFonts w:ascii="Times New Roman" w:hAnsi="Times New Roman" w:cs="Times New Roman"/>
                <w:sz w:val="18"/>
                <w:szCs w:val="18"/>
              </w:rPr>
            </w:pPr>
          </w:p>
        </w:tc>
      </w:tr>
      <w:tr w14:paraId="5724E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248" w:type="dxa"/>
            <w:tcBorders>
              <w:top w:val="single" w:color="000000" w:sz="4" w:space="0"/>
              <w:left w:val="single" w:color="000000" w:sz="4" w:space="0"/>
              <w:bottom w:val="single" w:color="000000" w:sz="4" w:space="0"/>
              <w:right w:val="single" w:color="000000" w:sz="4" w:space="0"/>
            </w:tcBorders>
            <w:vAlign w:val="center"/>
          </w:tcPr>
          <w:p w14:paraId="674E53F6">
            <w:pPr>
              <w:pStyle w:val="24"/>
              <w:spacing w:before="94" w:line="180" w:lineRule="exact"/>
              <w:jc w:val="both"/>
              <w:rPr>
                <w:rFonts w:ascii="Times New Roman" w:hAnsi="Times New Roman" w:cs="Times New Roman"/>
                <w:sz w:val="18"/>
                <w:szCs w:val="18"/>
              </w:rPr>
            </w:pPr>
            <w:r>
              <w:rPr>
                <w:rFonts w:ascii="Times New Roman" w:hAnsi="Times New Roman" w:cs="Times New Roman"/>
                <w:sz w:val="18"/>
                <w:szCs w:val="18"/>
              </w:rPr>
              <w:t>C21</w:t>
            </w:r>
            <w:r>
              <w:rPr>
                <w:rFonts w:hint="eastAsia" w:ascii="Times New Roman" w:hAnsi="Times New Roman" w:cs="Times New Roman"/>
                <w:sz w:val="18"/>
                <w:szCs w:val="18"/>
              </w:rPr>
              <w:t>.社会效益</w:t>
            </w:r>
          </w:p>
        </w:tc>
        <w:tc>
          <w:tcPr>
            <w:tcW w:w="1417" w:type="dxa"/>
            <w:tcBorders>
              <w:top w:val="single" w:color="000000" w:sz="4" w:space="0"/>
              <w:left w:val="nil"/>
              <w:bottom w:val="single" w:color="000000" w:sz="4" w:space="0"/>
              <w:right w:val="single" w:color="000000" w:sz="4" w:space="0"/>
            </w:tcBorders>
            <w:vAlign w:val="center"/>
          </w:tcPr>
          <w:p w14:paraId="7568E7FE">
            <w:pPr>
              <w:pStyle w:val="24"/>
              <w:spacing w:line="180" w:lineRule="exact"/>
              <w:rPr>
                <w:rFonts w:ascii="Times New Roman" w:hAnsi="Times New Roman" w:cs="Times New Roman"/>
                <w:sz w:val="18"/>
                <w:szCs w:val="18"/>
              </w:rPr>
            </w:pPr>
          </w:p>
        </w:tc>
        <w:tc>
          <w:tcPr>
            <w:tcW w:w="1985" w:type="dxa"/>
            <w:tcBorders>
              <w:top w:val="single" w:color="000000" w:sz="4" w:space="0"/>
              <w:left w:val="nil"/>
              <w:bottom w:val="single" w:color="000000" w:sz="4" w:space="0"/>
              <w:right w:val="single" w:color="000000" w:sz="4" w:space="0"/>
            </w:tcBorders>
            <w:vAlign w:val="center"/>
          </w:tcPr>
          <w:p w14:paraId="15D1D202">
            <w:pPr>
              <w:pStyle w:val="24"/>
              <w:spacing w:line="180" w:lineRule="exact"/>
              <w:rPr>
                <w:rFonts w:ascii="Times New Roman" w:hAnsi="Times New Roman" w:cs="Times New Roman"/>
                <w:sz w:val="18"/>
                <w:szCs w:val="18"/>
              </w:rPr>
            </w:pPr>
          </w:p>
        </w:tc>
        <w:tc>
          <w:tcPr>
            <w:tcW w:w="1276" w:type="dxa"/>
            <w:tcBorders>
              <w:top w:val="single" w:color="000000" w:sz="4" w:space="0"/>
              <w:left w:val="nil"/>
              <w:bottom w:val="single" w:color="000000" w:sz="4" w:space="0"/>
              <w:right w:val="single" w:color="000000" w:sz="4" w:space="0"/>
            </w:tcBorders>
            <w:vAlign w:val="center"/>
          </w:tcPr>
          <w:p w14:paraId="5B1EBC4C">
            <w:pPr>
              <w:pStyle w:val="24"/>
              <w:spacing w:line="180" w:lineRule="exact"/>
              <w:rPr>
                <w:rFonts w:ascii="Times New Roman" w:hAnsi="Times New Roman" w:cs="Times New Roman"/>
                <w:sz w:val="18"/>
                <w:szCs w:val="18"/>
              </w:rPr>
            </w:pPr>
          </w:p>
        </w:tc>
      </w:tr>
      <w:tr w14:paraId="338CA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9" w:hRule="exact"/>
          <w:jc w:val="center"/>
        </w:trPr>
        <w:tc>
          <w:tcPr>
            <w:tcW w:w="4248" w:type="dxa"/>
            <w:tcBorders>
              <w:top w:val="single" w:color="000000" w:sz="4" w:space="0"/>
              <w:left w:val="single" w:color="000000" w:sz="4" w:space="0"/>
              <w:bottom w:val="single" w:color="000000" w:sz="4" w:space="0"/>
              <w:right w:val="single" w:color="000000" w:sz="4" w:space="0"/>
            </w:tcBorders>
            <w:vAlign w:val="center"/>
          </w:tcPr>
          <w:p w14:paraId="52FD743C">
            <w:pPr>
              <w:pStyle w:val="24"/>
              <w:spacing w:before="94" w:line="180" w:lineRule="exact"/>
              <w:ind w:left="108" w:firstLine="270" w:firstLineChars="150"/>
              <w:jc w:val="both"/>
              <w:rPr>
                <w:rFonts w:ascii="Times New Roman" w:hAnsi="Times New Roman" w:cs="Times New Roman"/>
                <w:sz w:val="18"/>
                <w:szCs w:val="18"/>
              </w:rPr>
            </w:pPr>
            <w:r>
              <w:rPr>
                <w:rFonts w:hint="eastAsia" w:ascii="Times New Roman" w:hAnsi="Times New Roman" w:cs="Times New Roman"/>
                <w:sz w:val="18"/>
                <w:szCs w:val="18"/>
              </w:rPr>
              <w:t>C211.合作社增产效果</w:t>
            </w:r>
          </w:p>
        </w:tc>
        <w:tc>
          <w:tcPr>
            <w:tcW w:w="1417" w:type="dxa"/>
            <w:tcBorders>
              <w:top w:val="single" w:color="000000" w:sz="4" w:space="0"/>
              <w:left w:val="nil"/>
              <w:bottom w:val="single" w:color="000000" w:sz="4" w:space="0"/>
              <w:right w:val="single" w:color="000000" w:sz="4" w:space="0"/>
            </w:tcBorders>
            <w:vAlign w:val="center"/>
          </w:tcPr>
          <w:p w14:paraId="1C1C2299">
            <w:pPr>
              <w:pStyle w:val="24"/>
              <w:spacing w:line="180" w:lineRule="exact"/>
              <w:rPr>
                <w:rFonts w:ascii="Times New Roman" w:hAnsi="Times New Roman" w:cs="Times New Roman"/>
                <w:sz w:val="18"/>
                <w:szCs w:val="18"/>
              </w:rPr>
            </w:pPr>
            <w:r>
              <w:rPr>
                <w:rFonts w:hint="eastAsia" w:ascii="Times New Roman" w:hAnsi="Times New Roman" w:cs="Times New Roman"/>
                <w:sz w:val="18"/>
                <w:szCs w:val="18"/>
              </w:rPr>
              <w:t>4</w:t>
            </w:r>
            <w:r>
              <w:rPr>
                <w:rFonts w:ascii="Times New Roman" w:hAnsi="Times New Roman" w:cs="Times New Roman"/>
                <w:sz w:val="18"/>
                <w:szCs w:val="18"/>
              </w:rPr>
              <w:t>.00</w:t>
            </w:r>
          </w:p>
        </w:tc>
        <w:tc>
          <w:tcPr>
            <w:tcW w:w="1985" w:type="dxa"/>
            <w:tcBorders>
              <w:top w:val="single" w:color="000000" w:sz="4" w:space="0"/>
              <w:left w:val="nil"/>
              <w:bottom w:val="single" w:color="000000" w:sz="4" w:space="0"/>
              <w:right w:val="single" w:color="000000" w:sz="4" w:space="0"/>
            </w:tcBorders>
            <w:vAlign w:val="center"/>
          </w:tcPr>
          <w:p w14:paraId="0FAFE212">
            <w:pPr>
              <w:pStyle w:val="24"/>
              <w:spacing w:line="180" w:lineRule="exact"/>
              <w:rPr>
                <w:rFonts w:ascii="Times New Roman" w:hAnsi="Times New Roman" w:cs="Times New Roman"/>
                <w:sz w:val="18"/>
                <w:szCs w:val="18"/>
              </w:rPr>
            </w:pPr>
            <w:r>
              <w:rPr>
                <w:rFonts w:hint="eastAsia" w:ascii="Times New Roman" w:hAnsi="Times New Roman" w:cs="Times New Roman"/>
                <w:sz w:val="18"/>
                <w:szCs w:val="18"/>
              </w:rPr>
              <w:t>基本增产</w:t>
            </w:r>
          </w:p>
        </w:tc>
        <w:tc>
          <w:tcPr>
            <w:tcW w:w="1276" w:type="dxa"/>
            <w:tcBorders>
              <w:top w:val="single" w:color="000000" w:sz="4" w:space="0"/>
              <w:left w:val="nil"/>
              <w:bottom w:val="single" w:color="000000" w:sz="4" w:space="0"/>
              <w:right w:val="single" w:color="000000" w:sz="4" w:space="0"/>
            </w:tcBorders>
            <w:vAlign w:val="center"/>
          </w:tcPr>
          <w:p w14:paraId="4C2B7EF1">
            <w:pPr>
              <w:pStyle w:val="24"/>
              <w:spacing w:line="180" w:lineRule="exact"/>
              <w:rPr>
                <w:rFonts w:ascii="Times New Roman" w:hAnsi="Times New Roman" w:cs="Times New Roman"/>
                <w:sz w:val="18"/>
                <w:szCs w:val="18"/>
              </w:rPr>
            </w:pPr>
            <w:r>
              <w:rPr>
                <w:rFonts w:hint="eastAsia" w:ascii="Times New Roman" w:hAnsi="Times New Roman" w:cs="Times New Roman"/>
                <w:sz w:val="18"/>
                <w:szCs w:val="18"/>
              </w:rPr>
              <w:t>3.73</w:t>
            </w:r>
          </w:p>
        </w:tc>
      </w:tr>
      <w:tr w14:paraId="6D583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248" w:type="dxa"/>
            <w:tcBorders>
              <w:top w:val="single" w:color="000000" w:sz="4" w:space="0"/>
              <w:left w:val="single" w:color="000000" w:sz="4" w:space="0"/>
              <w:bottom w:val="single" w:color="000000" w:sz="4" w:space="0"/>
              <w:right w:val="single" w:color="000000" w:sz="4" w:space="0"/>
            </w:tcBorders>
            <w:vAlign w:val="center"/>
          </w:tcPr>
          <w:p w14:paraId="556019FA">
            <w:pPr>
              <w:pStyle w:val="24"/>
              <w:spacing w:before="94" w:line="180" w:lineRule="exact"/>
              <w:ind w:firstLine="360" w:firstLineChars="200"/>
              <w:jc w:val="both"/>
              <w:rPr>
                <w:rFonts w:ascii="Times New Roman" w:hAnsi="Times New Roman" w:cs="Times New Roman"/>
                <w:sz w:val="18"/>
                <w:szCs w:val="18"/>
              </w:rPr>
            </w:pPr>
            <w:r>
              <w:rPr>
                <w:rFonts w:hint="eastAsia" w:ascii="Times New Roman" w:hAnsi="Times New Roman" w:cs="Times New Roman"/>
                <w:sz w:val="18"/>
                <w:szCs w:val="18"/>
              </w:rPr>
              <w:t>C212.助力提高合作社居民收入</w:t>
            </w:r>
          </w:p>
        </w:tc>
        <w:tc>
          <w:tcPr>
            <w:tcW w:w="1417" w:type="dxa"/>
            <w:tcBorders>
              <w:top w:val="single" w:color="000000" w:sz="4" w:space="0"/>
              <w:left w:val="nil"/>
              <w:bottom w:val="single" w:color="000000" w:sz="4" w:space="0"/>
              <w:right w:val="single" w:color="000000" w:sz="4" w:space="0"/>
            </w:tcBorders>
            <w:vAlign w:val="center"/>
          </w:tcPr>
          <w:p w14:paraId="67F564D2">
            <w:pPr>
              <w:pStyle w:val="24"/>
              <w:spacing w:line="180" w:lineRule="exact"/>
              <w:rPr>
                <w:rFonts w:ascii="Times New Roman" w:hAnsi="Times New Roman" w:cs="Times New Roman"/>
                <w:sz w:val="18"/>
                <w:szCs w:val="18"/>
              </w:rPr>
            </w:pPr>
            <w:r>
              <w:rPr>
                <w:rFonts w:hint="eastAsia" w:ascii="Times New Roman" w:hAnsi="Times New Roman" w:cs="Times New Roman"/>
                <w:sz w:val="18"/>
                <w:szCs w:val="18"/>
              </w:rPr>
              <w:t>4.00</w:t>
            </w:r>
          </w:p>
        </w:tc>
        <w:tc>
          <w:tcPr>
            <w:tcW w:w="1985" w:type="dxa"/>
            <w:tcBorders>
              <w:top w:val="single" w:color="000000" w:sz="4" w:space="0"/>
              <w:left w:val="nil"/>
              <w:bottom w:val="single" w:color="000000" w:sz="4" w:space="0"/>
              <w:right w:val="single" w:color="000000" w:sz="4" w:space="0"/>
            </w:tcBorders>
            <w:vAlign w:val="center"/>
          </w:tcPr>
          <w:p w14:paraId="3C82A41A">
            <w:pPr>
              <w:pStyle w:val="24"/>
              <w:spacing w:line="180" w:lineRule="exact"/>
              <w:rPr>
                <w:rFonts w:ascii="Times New Roman" w:hAnsi="Times New Roman" w:cs="Times New Roman"/>
                <w:sz w:val="18"/>
                <w:szCs w:val="18"/>
              </w:rPr>
            </w:pPr>
            <w:r>
              <w:rPr>
                <w:rFonts w:hint="eastAsia" w:ascii="Times New Roman" w:hAnsi="Times New Roman" w:cs="Times New Roman"/>
                <w:sz w:val="18"/>
                <w:szCs w:val="18"/>
              </w:rPr>
              <w:t>基本提高</w:t>
            </w:r>
          </w:p>
        </w:tc>
        <w:tc>
          <w:tcPr>
            <w:tcW w:w="1276" w:type="dxa"/>
            <w:tcBorders>
              <w:top w:val="single" w:color="000000" w:sz="4" w:space="0"/>
              <w:left w:val="nil"/>
              <w:bottom w:val="single" w:color="000000" w:sz="4" w:space="0"/>
              <w:right w:val="single" w:color="000000" w:sz="4" w:space="0"/>
            </w:tcBorders>
            <w:vAlign w:val="center"/>
          </w:tcPr>
          <w:p w14:paraId="3CC9AA8A">
            <w:pPr>
              <w:pStyle w:val="24"/>
              <w:spacing w:line="180" w:lineRule="exact"/>
              <w:rPr>
                <w:rFonts w:ascii="Times New Roman" w:hAnsi="Times New Roman" w:cs="Times New Roman"/>
                <w:sz w:val="18"/>
                <w:szCs w:val="18"/>
              </w:rPr>
            </w:pPr>
            <w:r>
              <w:rPr>
                <w:rFonts w:hint="eastAsia" w:ascii="Times New Roman" w:hAnsi="Times New Roman" w:cs="Times New Roman"/>
                <w:sz w:val="18"/>
                <w:szCs w:val="18"/>
              </w:rPr>
              <w:t>3.73</w:t>
            </w:r>
          </w:p>
        </w:tc>
      </w:tr>
      <w:tr w14:paraId="44456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248" w:type="dxa"/>
            <w:tcBorders>
              <w:top w:val="single" w:color="000000" w:sz="4" w:space="0"/>
              <w:left w:val="single" w:color="000000" w:sz="4" w:space="0"/>
              <w:bottom w:val="single" w:color="000000" w:sz="4" w:space="0"/>
              <w:right w:val="single" w:color="000000" w:sz="4" w:space="0"/>
            </w:tcBorders>
            <w:vAlign w:val="center"/>
          </w:tcPr>
          <w:p w14:paraId="30A999B0">
            <w:pPr>
              <w:pStyle w:val="24"/>
              <w:spacing w:before="94" w:line="180" w:lineRule="exact"/>
              <w:ind w:firstLine="360" w:firstLineChars="200"/>
              <w:jc w:val="both"/>
              <w:rPr>
                <w:rFonts w:ascii="Times New Roman" w:hAnsi="Times New Roman" w:cs="Times New Roman"/>
                <w:sz w:val="18"/>
                <w:szCs w:val="18"/>
              </w:rPr>
            </w:pPr>
            <w:r>
              <w:rPr>
                <w:rFonts w:hint="eastAsia" w:ascii="Times New Roman" w:hAnsi="Times New Roman" w:cs="Times New Roman"/>
                <w:sz w:val="18"/>
                <w:szCs w:val="18"/>
              </w:rPr>
              <w:t>C213.助力改善种植基地基础设施条件</w:t>
            </w:r>
          </w:p>
        </w:tc>
        <w:tc>
          <w:tcPr>
            <w:tcW w:w="1417" w:type="dxa"/>
            <w:tcBorders>
              <w:top w:val="single" w:color="000000" w:sz="4" w:space="0"/>
              <w:left w:val="nil"/>
              <w:bottom w:val="single" w:color="000000" w:sz="4" w:space="0"/>
              <w:right w:val="single" w:color="000000" w:sz="4" w:space="0"/>
            </w:tcBorders>
            <w:vAlign w:val="center"/>
          </w:tcPr>
          <w:p w14:paraId="2DD41132">
            <w:pPr>
              <w:pStyle w:val="24"/>
              <w:spacing w:line="180" w:lineRule="exact"/>
              <w:rPr>
                <w:rFonts w:ascii="Times New Roman" w:hAnsi="Times New Roman" w:cs="Times New Roman"/>
                <w:sz w:val="18"/>
                <w:szCs w:val="18"/>
              </w:rPr>
            </w:pPr>
            <w:r>
              <w:rPr>
                <w:rFonts w:hint="eastAsia" w:ascii="Times New Roman" w:hAnsi="Times New Roman" w:cs="Times New Roman"/>
                <w:sz w:val="18"/>
                <w:szCs w:val="18"/>
              </w:rPr>
              <w:t>4.00</w:t>
            </w:r>
          </w:p>
        </w:tc>
        <w:tc>
          <w:tcPr>
            <w:tcW w:w="1985" w:type="dxa"/>
            <w:tcBorders>
              <w:top w:val="single" w:color="000000" w:sz="4" w:space="0"/>
              <w:left w:val="nil"/>
              <w:bottom w:val="single" w:color="000000" w:sz="4" w:space="0"/>
              <w:right w:val="single" w:color="000000" w:sz="4" w:space="0"/>
            </w:tcBorders>
            <w:vAlign w:val="center"/>
          </w:tcPr>
          <w:p w14:paraId="62847FD8">
            <w:pPr>
              <w:pStyle w:val="24"/>
              <w:spacing w:line="180" w:lineRule="exact"/>
              <w:rPr>
                <w:rFonts w:ascii="Times New Roman" w:hAnsi="Times New Roman" w:cs="Times New Roman"/>
                <w:sz w:val="18"/>
                <w:szCs w:val="18"/>
              </w:rPr>
            </w:pPr>
            <w:r>
              <w:rPr>
                <w:rFonts w:hint="eastAsia" w:ascii="Times New Roman" w:hAnsi="Times New Roman" w:cs="Times New Roman"/>
                <w:sz w:val="18"/>
                <w:szCs w:val="18"/>
              </w:rPr>
              <w:t>基本改善</w:t>
            </w:r>
          </w:p>
        </w:tc>
        <w:tc>
          <w:tcPr>
            <w:tcW w:w="1276" w:type="dxa"/>
            <w:tcBorders>
              <w:top w:val="single" w:color="000000" w:sz="4" w:space="0"/>
              <w:left w:val="nil"/>
              <w:bottom w:val="single" w:color="000000" w:sz="4" w:space="0"/>
              <w:right w:val="single" w:color="000000" w:sz="4" w:space="0"/>
            </w:tcBorders>
            <w:vAlign w:val="center"/>
          </w:tcPr>
          <w:p w14:paraId="6450F86F">
            <w:pPr>
              <w:pStyle w:val="24"/>
              <w:spacing w:line="180" w:lineRule="exact"/>
              <w:rPr>
                <w:rFonts w:ascii="Times New Roman" w:hAnsi="Times New Roman" w:cs="Times New Roman"/>
                <w:sz w:val="18"/>
                <w:szCs w:val="18"/>
              </w:rPr>
            </w:pPr>
            <w:r>
              <w:rPr>
                <w:rFonts w:hint="eastAsia" w:ascii="Times New Roman" w:hAnsi="Times New Roman" w:cs="Times New Roman"/>
                <w:sz w:val="18"/>
                <w:szCs w:val="18"/>
              </w:rPr>
              <w:t>3.73</w:t>
            </w:r>
          </w:p>
        </w:tc>
      </w:tr>
      <w:tr w14:paraId="7448D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5" w:hRule="exact"/>
          <w:jc w:val="center"/>
        </w:trPr>
        <w:tc>
          <w:tcPr>
            <w:tcW w:w="4248" w:type="dxa"/>
            <w:tcBorders>
              <w:top w:val="single" w:color="000000" w:sz="4" w:space="0"/>
              <w:left w:val="single" w:color="000000" w:sz="4" w:space="0"/>
              <w:bottom w:val="single" w:color="000000" w:sz="4" w:space="0"/>
              <w:right w:val="single" w:color="000000" w:sz="4" w:space="0"/>
            </w:tcBorders>
            <w:vAlign w:val="center"/>
          </w:tcPr>
          <w:p w14:paraId="19E7BF6B">
            <w:pPr>
              <w:pStyle w:val="24"/>
              <w:spacing w:before="94" w:line="180" w:lineRule="exact"/>
              <w:jc w:val="both"/>
              <w:rPr>
                <w:rFonts w:ascii="Times New Roman" w:hAnsi="Times New Roman" w:cs="Times New Roman"/>
                <w:sz w:val="18"/>
                <w:szCs w:val="18"/>
              </w:rPr>
            </w:pPr>
            <w:r>
              <w:rPr>
                <w:rFonts w:ascii="Times New Roman" w:hAnsi="Times New Roman" w:cs="Times New Roman"/>
                <w:sz w:val="18"/>
                <w:szCs w:val="18"/>
              </w:rPr>
              <w:t>C23</w:t>
            </w:r>
            <w:r>
              <w:rPr>
                <w:rFonts w:hint="eastAsia" w:ascii="Times New Roman" w:hAnsi="Times New Roman" w:cs="Times New Roman"/>
                <w:sz w:val="18"/>
                <w:szCs w:val="18"/>
              </w:rPr>
              <w:t>.可持续效益</w:t>
            </w:r>
          </w:p>
        </w:tc>
        <w:tc>
          <w:tcPr>
            <w:tcW w:w="1417" w:type="dxa"/>
            <w:tcBorders>
              <w:top w:val="single" w:color="000000" w:sz="4" w:space="0"/>
              <w:left w:val="nil"/>
              <w:bottom w:val="single" w:color="000000" w:sz="4" w:space="0"/>
              <w:right w:val="single" w:color="000000" w:sz="4" w:space="0"/>
            </w:tcBorders>
            <w:vAlign w:val="center"/>
          </w:tcPr>
          <w:p w14:paraId="41A1C51E">
            <w:pPr>
              <w:pStyle w:val="24"/>
              <w:spacing w:line="180" w:lineRule="exact"/>
              <w:rPr>
                <w:rFonts w:ascii="Times New Roman" w:hAnsi="Times New Roman" w:cs="Times New Roman"/>
                <w:sz w:val="18"/>
                <w:szCs w:val="18"/>
              </w:rPr>
            </w:pPr>
          </w:p>
        </w:tc>
        <w:tc>
          <w:tcPr>
            <w:tcW w:w="1985" w:type="dxa"/>
            <w:tcBorders>
              <w:top w:val="single" w:color="000000" w:sz="4" w:space="0"/>
              <w:left w:val="nil"/>
              <w:bottom w:val="single" w:color="000000" w:sz="4" w:space="0"/>
              <w:right w:val="single" w:color="000000" w:sz="4" w:space="0"/>
            </w:tcBorders>
            <w:vAlign w:val="center"/>
          </w:tcPr>
          <w:p w14:paraId="43C40A4E">
            <w:pPr>
              <w:pStyle w:val="24"/>
              <w:spacing w:line="180" w:lineRule="exact"/>
              <w:rPr>
                <w:rFonts w:ascii="Times New Roman" w:hAnsi="Times New Roman" w:cs="Times New Roman"/>
                <w:sz w:val="18"/>
                <w:szCs w:val="18"/>
              </w:rPr>
            </w:pPr>
          </w:p>
        </w:tc>
        <w:tc>
          <w:tcPr>
            <w:tcW w:w="1276" w:type="dxa"/>
            <w:tcBorders>
              <w:top w:val="single" w:color="000000" w:sz="4" w:space="0"/>
              <w:left w:val="nil"/>
              <w:bottom w:val="single" w:color="000000" w:sz="4" w:space="0"/>
              <w:right w:val="single" w:color="000000" w:sz="4" w:space="0"/>
            </w:tcBorders>
            <w:vAlign w:val="center"/>
          </w:tcPr>
          <w:p w14:paraId="49BE6752">
            <w:pPr>
              <w:pStyle w:val="24"/>
              <w:spacing w:line="180" w:lineRule="exact"/>
              <w:rPr>
                <w:rFonts w:ascii="Times New Roman" w:hAnsi="Times New Roman" w:cs="Times New Roman"/>
                <w:sz w:val="18"/>
                <w:szCs w:val="18"/>
              </w:rPr>
            </w:pPr>
          </w:p>
        </w:tc>
      </w:tr>
      <w:tr w14:paraId="6497D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0" w:hRule="exact"/>
          <w:jc w:val="center"/>
        </w:trPr>
        <w:tc>
          <w:tcPr>
            <w:tcW w:w="4248" w:type="dxa"/>
            <w:tcBorders>
              <w:top w:val="single" w:color="000000" w:sz="4" w:space="0"/>
              <w:left w:val="single" w:color="000000" w:sz="4" w:space="0"/>
              <w:bottom w:val="single" w:color="000000" w:sz="4" w:space="0"/>
              <w:right w:val="single" w:color="000000" w:sz="4" w:space="0"/>
            </w:tcBorders>
            <w:vAlign w:val="center"/>
          </w:tcPr>
          <w:p w14:paraId="18700D20">
            <w:pPr>
              <w:pStyle w:val="24"/>
              <w:spacing w:before="94" w:line="180" w:lineRule="exact"/>
              <w:ind w:left="108" w:firstLine="270" w:firstLineChars="150"/>
              <w:jc w:val="both"/>
              <w:rPr>
                <w:rFonts w:ascii="Times New Roman" w:hAnsi="Times New Roman" w:cs="Times New Roman"/>
                <w:sz w:val="18"/>
                <w:szCs w:val="18"/>
              </w:rPr>
            </w:pPr>
            <w:r>
              <w:rPr>
                <w:rFonts w:hint="eastAsia" w:ascii="Times New Roman" w:hAnsi="Times New Roman" w:cs="Times New Roman"/>
                <w:sz w:val="18"/>
                <w:szCs w:val="18"/>
              </w:rPr>
              <w:t>C231.蓄水池建设、管道铺设持续推动合作社的发展</w:t>
            </w:r>
          </w:p>
        </w:tc>
        <w:tc>
          <w:tcPr>
            <w:tcW w:w="1417" w:type="dxa"/>
            <w:tcBorders>
              <w:top w:val="single" w:color="000000" w:sz="4" w:space="0"/>
              <w:left w:val="nil"/>
              <w:bottom w:val="single" w:color="000000" w:sz="4" w:space="0"/>
              <w:right w:val="single" w:color="000000" w:sz="4" w:space="0"/>
            </w:tcBorders>
            <w:vAlign w:val="center"/>
          </w:tcPr>
          <w:p w14:paraId="066339D6">
            <w:pPr>
              <w:pStyle w:val="24"/>
              <w:spacing w:line="180" w:lineRule="exact"/>
              <w:rPr>
                <w:rFonts w:ascii="Times New Roman" w:hAnsi="Times New Roman" w:cs="Times New Roman"/>
                <w:sz w:val="18"/>
                <w:szCs w:val="18"/>
              </w:rPr>
            </w:pPr>
            <w:r>
              <w:rPr>
                <w:rFonts w:hint="eastAsia" w:ascii="Times New Roman" w:hAnsi="Times New Roman" w:cs="Times New Roman"/>
                <w:sz w:val="18"/>
                <w:szCs w:val="18"/>
              </w:rPr>
              <w:t>4</w:t>
            </w:r>
            <w:r>
              <w:rPr>
                <w:rFonts w:ascii="Times New Roman" w:hAnsi="Times New Roman" w:cs="Times New Roman"/>
                <w:sz w:val="18"/>
                <w:szCs w:val="18"/>
              </w:rPr>
              <w:t>.00</w:t>
            </w:r>
          </w:p>
        </w:tc>
        <w:tc>
          <w:tcPr>
            <w:tcW w:w="1985" w:type="dxa"/>
            <w:tcBorders>
              <w:top w:val="single" w:color="000000" w:sz="4" w:space="0"/>
              <w:left w:val="nil"/>
              <w:bottom w:val="single" w:color="000000" w:sz="4" w:space="0"/>
              <w:right w:val="single" w:color="000000" w:sz="4" w:space="0"/>
            </w:tcBorders>
            <w:vAlign w:val="center"/>
          </w:tcPr>
          <w:p w14:paraId="3173ACA4">
            <w:pPr>
              <w:pStyle w:val="24"/>
              <w:spacing w:line="180" w:lineRule="exact"/>
              <w:rPr>
                <w:rFonts w:ascii="Times New Roman" w:hAnsi="Times New Roman" w:cs="Times New Roman"/>
                <w:sz w:val="18"/>
                <w:szCs w:val="18"/>
              </w:rPr>
            </w:pPr>
            <w:r>
              <w:rPr>
                <w:rFonts w:hint="eastAsia" w:ascii="Times New Roman" w:hAnsi="Times New Roman" w:cs="Times New Roman"/>
                <w:sz w:val="18"/>
                <w:szCs w:val="18"/>
              </w:rPr>
              <w:t>基本推动</w:t>
            </w:r>
          </w:p>
        </w:tc>
        <w:tc>
          <w:tcPr>
            <w:tcW w:w="1276" w:type="dxa"/>
            <w:tcBorders>
              <w:top w:val="single" w:color="000000" w:sz="4" w:space="0"/>
              <w:left w:val="nil"/>
              <w:bottom w:val="single" w:color="000000" w:sz="4" w:space="0"/>
              <w:right w:val="single" w:color="000000" w:sz="4" w:space="0"/>
            </w:tcBorders>
            <w:vAlign w:val="center"/>
          </w:tcPr>
          <w:p w14:paraId="7C683502">
            <w:pPr>
              <w:pStyle w:val="24"/>
              <w:spacing w:line="180" w:lineRule="exact"/>
              <w:rPr>
                <w:rFonts w:ascii="Times New Roman" w:hAnsi="Times New Roman" w:cs="Times New Roman"/>
                <w:sz w:val="18"/>
                <w:szCs w:val="18"/>
              </w:rPr>
            </w:pPr>
            <w:r>
              <w:rPr>
                <w:rFonts w:hint="eastAsia" w:ascii="Times New Roman" w:hAnsi="Times New Roman" w:cs="Times New Roman"/>
                <w:sz w:val="18"/>
                <w:szCs w:val="18"/>
              </w:rPr>
              <w:t>3.73</w:t>
            </w:r>
          </w:p>
        </w:tc>
      </w:tr>
      <w:tr w14:paraId="2BBDE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248" w:type="dxa"/>
            <w:tcBorders>
              <w:top w:val="single" w:color="000000" w:sz="4" w:space="0"/>
              <w:left w:val="single" w:color="000000" w:sz="4" w:space="0"/>
              <w:bottom w:val="single" w:color="000000" w:sz="4" w:space="0"/>
              <w:right w:val="single" w:color="000000" w:sz="4" w:space="0"/>
            </w:tcBorders>
            <w:vAlign w:val="center"/>
          </w:tcPr>
          <w:p w14:paraId="2C5D719E">
            <w:pPr>
              <w:pStyle w:val="24"/>
              <w:spacing w:before="94" w:line="180" w:lineRule="exact"/>
              <w:ind w:firstLine="360" w:firstLineChars="200"/>
              <w:jc w:val="both"/>
              <w:rPr>
                <w:rFonts w:ascii="Times New Roman" w:hAnsi="Times New Roman" w:cs="Times New Roman"/>
                <w:sz w:val="18"/>
                <w:szCs w:val="18"/>
              </w:rPr>
            </w:pPr>
            <w:r>
              <w:rPr>
                <w:rFonts w:hint="eastAsia" w:ascii="Times New Roman" w:hAnsi="Times New Roman" w:cs="Times New Roman"/>
                <w:sz w:val="18"/>
                <w:szCs w:val="18"/>
              </w:rPr>
              <w:t>C233.灌溉配套设施的建设降低种植成本</w:t>
            </w:r>
          </w:p>
        </w:tc>
        <w:tc>
          <w:tcPr>
            <w:tcW w:w="1417" w:type="dxa"/>
            <w:tcBorders>
              <w:top w:val="single" w:color="000000" w:sz="4" w:space="0"/>
              <w:left w:val="nil"/>
              <w:bottom w:val="single" w:color="000000" w:sz="4" w:space="0"/>
              <w:right w:val="single" w:color="000000" w:sz="4" w:space="0"/>
            </w:tcBorders>
            <w:vAlign w:val="center"/>
          </w:tcPr>
          <w:p w14:paraId="77750B34">
            <w:pPr>
              <w:pStyle w:val="24"/>
              <w:spacing w:line="180" w:lineRule="exact"/>
              <w:rPr>
                <w:rFonts w:ascii="Times New Roman" w:hAnsi="Times New Roman" w:cs="Times New Roman"/>
                <w:sz w:val="18"/>
                <w:szCs w:val="18"/>
              </w:rPr>
            </w:pPr>
            <w:r>
              <w:rPr>
                <w:rFonts w:hint="eastAsia" w:ascii="Times New Roman" w:hAnsi="Times New Roman" w:cs="Times New Roman"/>
                <w:sz w:val="18"/>
                <w:szCs w:val="18"/>
              </w:rPr>
              <w:t>4</w:t>
            </w:r>
            <w:r>
              <w:rPr>
                <w:rFonts w:ascii="Times New Roman" w:hAnsi="Times New Roman" w:cs="Times New Roman"/>
                <w:sz w:val="18"/>
                <w:szCs w:val="18"/>
              </w:rPr>
              <w:t>.00</w:t>
            </w:r>
          </w:p>
        </w:tc>
        <w:tc>
          <w:tcPr>
            <w:tcW w:w="1985" w:type="dxa"/>
            <w:tcBorders>
              <w:top w:val="single" w:color="000000" w:sz="4" w:space="0"/>
              <w:left w:val="nil"/>
              <w:bottom w:val="single" w:color="000000" w:sz="4" w:space="0"/>
              <w:right w:val="single" w:color="000000" w:sz="4" w:space="0"/>
            </w:tcBorders>
            <w:vAlign w:val="center"/>
          </w:tcPr>
          <w:p w14:paraId="564A6C7E">
            <w:pPr>
              <w:pStyle w:val="24"/>
              <w:spacing w:line="180" w:lineRule="exact"/>
              <w:rPr>
                <w:rFonts w:ascii="Times New Roman" w:hAnsi="Times New Roman" w:cs="Times New Roman"/>
                <w:sz w:val="18"/>
                <w:szCs w:val="18"/>
              </w:rPr>
            </w:pPr>
            <w:r>
              <w:rPr>
                <w:rFonts w:hint="eastAsia" w:ascii="Times New Roman" w:hAnsi="Times New Roman" w:cs="Times New Roman"/>
                <w:sz w:val="18"/>
                <w:szCs w:val="18"/>
              </w:rPr>
              <w:t>基本降低</w:t>
            </w:r>
          </w:p>
        </w:tc>
        <w:tc>
          <w:tcPr>
            <w:tcW w:w="1276" w:type="dxa"/>
            <w:tcBorders>
              <w:top w:val="single" w:color="000000" w:sz="4" w:space="0"/>
              <w:left w:val="nil"/>
              <w:bottom w:val="single" w:color="000000" w:sz="4" w:space="0"/>
              <w:right w:val="single" w:color="000000" w:sz="4" w:space="0"/>
            </w:tcBorders>
            <w:vAlign w:val="center"/>
          </w:tcPr>
          <w:p w14:paraId="531BD126">
            <w:pPr>
              <w:pStyle w:val="24"/>
              <w:spacing w:line="180" w:lineRule="exact"/>
              <w:rPr>
                <w:rFonts w:ascii="Times New Roman" w:hAnsi="Times New Roman" w:cs="Times New Roman"/>
                <w:sz w:val="18"/>
                <w:szCs w:val="18"/>
              </w:rPr>
            </w:pPr>
            <w:r>
              <w:rPr>
                <w:rFonts w:hint="eastAsia" w:ascii="Times New Roman" w:hAnsi="Times New Roman" w:cs="Times New Roman"/>
                <w:sz w:val="18"/>
                <w:szCs w:val="18"/>
              </w:rPr>
              <w:t>3.73</w:t>
            </w:r>
          </w:p>
        </w:tc>
      </w:tr>
      <w:tr w14:paraId="15A06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248" w:type="dxa"/>
            <w:tcBorders>
              <w:top w:val="single" w:color="000000" w:sz="4" w:space="0"/>
              <w:left w:val="single" w:color="000000" w:sz="4" w:space="0"/>
              <w:bottom w:val="single" w:color="000000" w:sz="4" w:space="0"/>
              <w:right w:val="single" w:color="000000" w:sz="4" w:space="0"/>
            </w:tcBorders>
            <w:vAlign w:val="center"/>
          </w:tcPr>
          <w:p w14:paraId="63991DB7">
            <w:pPr>
              <w:pStyle w:val="24"/>
              <w:spacing w:before="94" w:line="180" w:lineRule="exact"/>
              <w:jc w:val="both"/>
              <w:rPr>
                <w:rFonts w:ascii="Times New Roman" w:hAnsi="Times New Roman" w:cs="Times New Roman"/>
                <w:sz w:val="18"/>
                <w:szCs w:val="18"/>
              </w:rPr>
            </w:pPr>
            <w:r>
              <w:rPr>
                <w:rFonts w:ascii="Times New Roman" w:hAnsi="Times New Roman" w:cs="Times New Roman"/>
                <w:sz w:val="18"/>
                <w:szCs w:val="18"/>
              </w:rPr>
              <w:t>C24.服务对象满意度</w:t>
            </w:r>
          </w:p>
        </w:tc>
        <w:tc>
          <w:tcPr>
            <w:tcW w:w="1417" w:type="dxa"/>
            <w:tcBorders>
              <w:top w:val="single" w:color="000000" w:sz="4" w:space="0"/>
              <w:left w:val="nil"/>
              <w:bottom w:val="single" w:color="000000" w:sz="4" w:space="0"/>
              <w:right w:val="single" w:color="000000" w:sz="4" w:space="0"/>
            </w:tcBorders>
            <w:vAlign w:val="center"/>
          </w:tcPr>
          <w:p w14:paraId="75A465BA">
            <w:pPr>
              <w:pStyle w:val="24"/>
              <w:spacing w:line="180" w:lineRule="exact"/>
              <w:rPr>
                <w:rFonts w:ascii="Times New Roman" w:hAnsi="Times New Roman" w:cs="Times New Roman"/>
                <w:sz w:val="18"/>
                <w:szCs w:val="18"/>
              </w:rPr>
            </w:pPr>
          </w:p>
        </w:tc>
        <w:tc>
          <w:tcPr>
            <w:tcW w:w="1985" w:type="dxa"/>
            <w:tcBorders>
              <w:top w:val="single" w:color="000000" w:sz="4" w:space="0"/>
              <w:left w:val="nil"/>
              <w:bottom w:val="single" w:color="000000" w:sz="4" w:space="0"/>
              <w:right w:val="single" w:color="000000" w:sz="4" w:space="0"/>
            </w:tcBorders>
            <w:vAlign w:val="center"/>
          </w:tcPr>
          <w:p w14:paraId="53A24623">
            <w:pPr>
              <w:pStyle w:val="24"/>
              <w:spacing w:line="180" w:lineRule="exact"/>
              <w:rPr>
                <w:rFonts w:ascii="Times New Roman" w:hAnsi="Times New Roman" w:cs="Times New Roman"/>
                <w:sz w:val="18"/>
                <w:szCs w:val="18"/>
              </w:rPr>
            </w:pPr>
          </w:p>
        </w:tc>
        <w:tc>
          <w:tcPr>
            <w:tcW w:w="1276" w:type="dxa"/>
            <w:tcBorders>
              <w:top w:val="single" w:color="000000" w:sz="4" w:space="0"/>
              <w:left w:val="nil"/>
              <w:bottom w:val="single" w:color="000000" w:sz="4" w:space="0"/>
              <w:right w:val="single" w:color="000000" w:sz="4" w:space="0"/>
            </w:tcBorders>
            <w:vAlign w:val="center"/>
          </w:tcPr>
          <w:p w14:paraId="26FCC19E">
            <w:pPr>
              <w:pStyle w:val="24"/>
              <w:spacing w:line="180" w:lineRule="exact"/>
              <w:rPr>
                <w:rFonts w:ascii="Times New Roman" w:hAnsi="Times New Roman" w:cs="Times New Roman"/>
                <w:sz w:val="18"/>
                <w:szCs w:val="18"/>
              </w:rPr>
            </w:pPr>
          </w:p>
        </w:tc>
      </w:tr>
      <w:tr w14:paraId="6ACD9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248" w:type="dxa"/>
            <w:tcBorders>
              <w:top w:val="single" w:color="000000" w:sz="4" w:space="0"/>
              <w:left w:val="single" w:color="000000" w:sz="4" w:space="0"/>
              <w:bottom w:val="single" w:color="000000" w:sz="4" w:space="0"/>
              <w:right w:val="single" w:color="000000" w:sz="4" w:space="0"/>
            </w:tcBorders>
            <w:vAlign w:val="center"/>
          </w:tcPr>
          <w:p w14:paraId="1CE14CB8">
            <w:pPr>
              <w:pStyle w:val="24"/>
              <w:spacing w:before="94" w:line="180" w:lineRule="exact"/>
              <w:ind w:left="108" w:firstLine="270" w:firstLineChars="150"/>
              <w:jc w:val="both"/>
              <w:rPr>
                <w:rFonts w:ascii="Times New Roman" w:hAnsi="Times New Roman" w:cs="Times New Roman"/>
                <w:sz w:val="18"/>
                <w:szCs w:val="18"/>
              </w:rPr>
            </w:pPr>
            <w:r>
              <w:rPr>
                <w:rFonts w:ascii="Times New Roman" w:hAnsi="Times New Roman" w:cs="Times New Roman"/>
                <w:sz w:val="18"/>
                <w:szCs w:val="18"/>
              </w:rPr>
              <w:t>C24</w:t>
            </w:r>
            <w:r>
              <w:rPr>
                <w:rFonts w:hint="eastAsia" w:ascii="Times New Roman" w:hAnsi="Times New Roman" w:cs="Times New Roman"/>
                <w:sz w:val="18"/>
                <w:szCs w:val="18"/>
              </w:rPr>
              <w:t>1</w:t>
            </w:r>
            <w:r>
              <w:rPr>
                <w:rFonts w:ascii="Times New Roman" w:hAnsi="Times New Roman" w:cs="Times New Roman"/>
                <w:sz w:val="18"/>
                <w:szCs w:val="18"/>
              </w:rPr>
              <w:t>.受益对象对这项惠民政策的满意度</w:t>
            </w:r>
          </w:p>
        </w:tc>
        <w:tc>
          <w:tcPr>
            <w:tcW w:w="1417" w:type="dxa"/>
            <w:tcBorders>
              <w:top w:val="single" w:color="000000" w:sz="4" w:space="0"/>
              <w:left w:val="nil"/>
              <w:bottom w:val="single" w:color="000000" w:sz="4" w:space="0"/>
              <w:right w:val="single" w:color="000000" w:sz="4" w:space="0"/>
            </w:tcBorders>
            <w:vAlign w:val="center"/>
          </w:tcPr>
          <w:p w14:paraId="5B11E33E">
            <w:pPr>
              <w:pStyle w:val="24"/>
              <w:spacing w:line="180" w:lineRule="exact"/>
              <w:rPr>
                <w:rFonts w:ascii="Times New Roman" w:hAnsi="Times New Roman" w:cs="Times New Roman"/>
                <w:sz w:val="18"/>
                <w:szCs w:val="18"/>
              </w:rPr>
            </w:pPr>
            <w:r>
              <w:rPr>
                <w:rFonts w:hint="eastAsia" w:ascii="Times New Roman" w:hAnsi="Times New Roman" w:cs="Times New Roman"/>
                <w:sz w:val="18"/>
                <w:szCs w:val="18"/>
              </w:rPr>
              <w:t>10.00</w:t>
            </w:r>
          </w:p>
        </w:tc>
        <w:tc>
          <w:tcPr>
            <w:tcW w:w="1985" w:type="dxa"/>
            <w:tcBorders>
              <w:top w:val="single" w:color="000000" w:sz="4" w:space="0"/>
              <w:left w:val="nil"/>
              <w:bottom w:val="single" w:color="000000" w:sz="4" w:space="0"/>
              <w:right w:val="single" w:color="000000" w:sz="4" w:space="0"/>
            </w:tcBorders>
            <w:vAlign w:val="center"/>
          </w:tcPr>
          <w:p w14:paraId="38567272">
            <w:pPr>
              <w:pStyle w:val="24"/>
              <w:spacing w:line="180" w:lineRule="exact"/>
              <w:rPr>
                <w:rFonts w:ascii="Times New Roman" w:hAnsi="Times New Roman" w:cs="Times New Roman"/>
                <w:sz w:val="18"/>
                <w:szCs w:val="18"/>
              </w:rPr>
            </w:pPr>
            <w:r>
              <w:rPr>
                <w:rFonts w:hint="eastAsia" w:ascii="Times New Roman" w:hAnsi="Times New Roman" w:cs="Times New Roman"/>
                <w:sz w:val="18"/>
                <w:szCs w:val="18"/>
              </w:rPr>
              <w:t>总体满意度93.33%</w:t>
            </w:r>
          </w:p>
        </w:tc>
        <w:tc>
          <w:tcPr>
            <w:tcW w:w="1276" w:type="dxa"/>
            <w:tcBorders>
              <w:top w:val="single" w:color="000000" w:sz="4" w:space="0"/>
              <w:left w:val="nil"/>
              <w:bottom w:val="single" w:color="000000" w:sz="4" w:space="0"/>
              <w:right w:val="single" w:color="000000" w:sz="4" w:space="0"/>
            </w:tcBorders>
            <w:vAlign w:val="center"/>
          </w:tcPr>
          <w:p w14:paraId="64C27786">
            <w:pPr>
              <w:pStyle w:val="24"/>
              <w:spacing w:line="180" w:lineRule="exact"/>
              <w:rPr>
                <w:rFonts w:ascii="Times New Roman" w:hAnsi="Times New Roman" w:cs="Times New Roman"/>
                <w:sz w:val="18"/>
                <w:szCs w:val="18"/>
              </w:rPr>
            </w:pPr>
            <w:r>
              <w:rPr>
                <w:rFonts w:hint="eastAsia" w:ascii="Times New Roman" w:hAnsi="Times New Roman" w:cs="Times New Roman"/>
                <w:sz w:val="18"/>
                <w:szCs w:val="18"/>
              </w:rPr>
              <w:t>9.33</w:t>
            </w:r>
          </w:p>
        </w:tc>
      </w:tr>
      <w:tr w14:paraId="456E1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248" w:type="dxa"/>
            <w:tcBorders>
              <w:top w:val="single" w:color="000000" w:sz="4" w:space="0"/>
              <w:left w:val="single" w:color="000000" w:sz="4" w:space="0"/>
              <w:bottom w:val="single" w:color="000000" w:sz="4" w:space="0"/>
              <w:right w:val="single" w:color="000000" w:sz="4" w:space="0"/>
            </w:tcBorders>
            <w:vAlign w:val="center"/>
          </w:tcPr>
          <w:p w14:paraId="368AE93F">
            <w:pPr>
              <w:pStyle w:val="24"/>
              <w:spacing w:before="94" w:line="180" w:lineRule="exact"/>
              <w:ind w:left="108" w:firstLine="270" w:firstLineChars="150"/>
              <w:rPr>
                <w:rFonts w:ascii="Times New Roman" w:hAnsi="Times New Roman" w:cs="Times New Roman"/>
                <w:sz w:val="18"/>
                <w:szCs w:val="18"/>
              </w:rPr>
            </w:pPr>
            <w:r>
              <w:rPr>
                <w:rFonts w:ascii="Times New Roman" w:hAnsi="Times New Roman" w:cs="Times New Roman"/>
                <w:sz w:val="18"/>
                <w:szCs w:val="18"/>
              </w:rPr>
              <w:t>合计</w:t>
            </w:r>
          </w:p>
        </w:tc>
        <w:tc>
          <w:tcPr>
            <w:tcW w:w="1417" w:type="dxa"/>
            <w:tcBorders>
              <w:top w:val="single" w:color="000000" w:sz="4" w:space="0"/>
              <w:left w:val="nil"/>
              <w:bottom w:val="single" w:color="000000" w:sz="4" w:space="0"/>
              <w:right w:val="single" w:color="000000" w:sz="4" w:space="0"/>
            </w:tcBorders>
            <w:vAlign w:val="center"/>
          </w:tcPr>
          <w:p w14:paraId="0DFB1E19">
            <w:pPr>
              <w:pStyle w:val="24"/>
              <w:spacing w:line="180" w:lineRule="exact"/>
              <w:rPr>
                <w:rFonts w:ascii="Times New Roman" w:hAnsi="Times New Roman" w:cs="Times New Roman"/>
                <w:sz w:val="18"/>
                <w:szCs w:val="18"/>
              </w:rPr>
            </w:pPr>
            <w:r>
              <w:rPr>
                <w:rFonts w:ascii="Times New Roman" w:hAnsi="Times New Roman" w:cs="Times New Roman"/>
                <w:sz w:val="18"/>
                <w:szCs w:val="18"/>
              </w:rPr>
              <w:t>60.00</w:t>
            </w:r>
          </w:p>
        </w:tc>
        <w:tc>
          <w:tcPr>
            <w:tcW w:w="1985" w:type="dxa"/>
            <w:tcBorders>
              <w:top w:val="single" w:color="000000" w:sz="4" w:space="0"/>
              <w:left w:val="nil"/>
              <w:bottom w:val="single" w:color="000000" w:sz="4" w:space="0"/>
              <w:right w:val="single" w:color="000000" w:sz="4" w:space="0"/>
            </w:tcBorders>
            <w:vAlign w:val="center"/>
          </w:tcPr>
          <w:p w14:paraId="059E6B82">
            <w:pPr>
              <w:pStyle w:val="24"/>
              <w:spacing w:line="180" w:lineRule="exact"/>
              <w:rPr>
                <w:rFonts w:ascii="Times New Roman" w:hAnsi="Times New Roman" w:cs="Times New Roman"/>
                <w:sz w:val="18"/>
                <w:szCs w:val="18"/>
              </w:rPr>
            </w:pPr>
          </w:p>
        </w:tc>
        <w:tc>
          <w:tcPr>
            <w:tcW w:w="1276" w:type="dxa"/>
            <w:tcBorders>
              <w:top w:val="single" w:color="000000" w:sz="4" w:space="0"/>
              <w:left w:val="nil"/>
              <w:bottom w:val="single" w:color="000000" w:sz="4" w:space="0"/>
              <w:right w:val="single" w:color="000000" w:sz="4" w:space="0"/>
            </w:tcBorders>
            <w:vAlign w:val="center"/>
          </w:tcPr>
          <w:p w14:paraId="547BC105">
            <w:pPr>
              <w:pStyle w:val="24"/>
              <w:spacing w:line="180" w:lineRule="exact"/>
              <w:rPr>
                <w:rFonts w:ascii="Times New Roman" w:hAnsi="Times New Roman" w:cs="Times New Roman"/>
                <w:sz w:val="18"/>
                <w:szCs w:val="18"/>
              </w:rPr>
            </w:pPr>
            <w:r>
              <w:rPr>
                <w:rFonts w:hint="eastAsia" w:ascii="Times New Roman" w:hAnsi="Times New Roman" w:cs="Times New Roman"/>
                <w:sz w:val="18"/>
                <w:szCs w:val="18"/>
              </w:rPr>
              <w:t>57.98</w:t>
            </w:r>
          </w:p>
        </w:tc>
      </w:tr>
    </w:tbl>
    <w:p w14:paraId="4D604405">
      <w:pPr>
        <w:spacing w:line="600" w:lineRule="exact"/>
        <w:ind w:firstLine="640" w:firstLineChars="200"/>
        <w:rPr>
          <w:rFonts w:ascii="Times New Roman" w:hAnsi="Times New Roman" w:eastAsia="仿宋_GB2312"/>
          <w:sz w:val="32"/>
        </w:rPr>
      </w:pPr>
      <w:r>
        <w:rPr>
          <w:rFonts w:ascii="Times New Roman" w:hAnsi="Times New Roman" w:eastAsia="仿宋_GB2312"/>
          <w:sz w:val="32"/>
        </w:rPr>
        <w:t>C1.项目产出</w:t>
      </w:r>
    </w:p>
    <w:p w14:paraId="65569195">
      <w:pPr>
        <w:spacing w:line="600" w:lineRule="exact"/>
        <w:ind w:firstLine="640" w:firstLineChars="200"/>
        <w:rPr>
          <w:rFonts w:ascii="Times New Roman" w:hAnsi="Times New Roman" w:eastAsia="仿宋_GB2312"/>
          <w:sz w:val="32"/>
        </w:rPr>
      </w:pPr>
      <w:r>
        <w:rPr>
          <w:rFonts w:ascii="Times New Roman" w:hAnsi="Times New Roman" w:eastAsia="仿宋_GB2312"/>
          <w:sz w:val="32"/>
        </w:rPr>
        <w:t>反映松华街道大摆社区山药、中药种植示范项目实施完成的及时性和达标率。</w:t>
      </w:r>
    </w:p>
    <w:p w14:paraId="5E2F5E0E">
      <w:pPr>
        <w:spacing w:line="600" w:lineRule="exact"/>
        <w:ind w:firstLine="640" w:firstLineChars="200"/>
        <w:rPr>
          <w:rFonts w:ascii="Times New Roman" w:hAnsi="Times New Roman" w:eastAsia="仿宋_GB2312"/>
          <w:sz w:val="32"/>
        </w:rPr>
      </w:pPr>
      <w:r>
        <w:rPr>
          <w:rFonts w:ascii="Times New Roman" w:hAnsi="Times New Roman" w:eastAsia="仿宋_GB2312"/>
          <w:sz w:val="32"/>
        </w:rPr>
        <w:t>C11.大摆社区山药、中药种植完成情况</w:t>
      </w:r>
    </w:p>
    <w:p w14:paraId="1CADFE79">
      <w:pPr>
        <w:spacing w:line="600" w:lineRule="exact"/>
        <w:ind w:firstLine="640" w:firstLineChars="200"/>
        <w:rPr>
          <w:rFonts w:ascii="Times New Roman" w:hAnsi="Times New Roman" w:eastAsia="仿宋_GB2312"/>
          <w:sz w:val="32"/>
        </w:rPr>
      </w:pPr>
      <w:r>
        <w:rPr>
          <w:rFonts w:ascii="Times New Roman" w:hAnsi="Times New Roman" w:eastAsia="仿宋_GB2312"/>
          <w:sz w:val="32"/>
        </w:rPr>
        <w:t>C111.山药种植补助按时足额发放：通过补助发放财务资料及合作社确认，补助按时足额发放到合作社。</w:t>
      </w:r>
    </w:p>
    <w:p w14:paraId="487FD6D0">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该项指标满分为4分，根据评分标准得4分。</w:t>
      </w:r>
    </w:p>
    <w:p w14:paraId="1AF7B441">
      <w:pPr>
        <w:spacing w:line="600" w:lineRule="exact"/>
        <w:ind w:firstLine="640" w:firstLineChars="200"/>
        <w:rPr>
          <w:rFonts w:ascii="Times New Roman" w:hAnsi="Times New Roman" w:eastAsia="仿宋_GB2312"/>
          <w:sz w:val="32"/>
        </w:rPr>
      </w:pPr>
      <w:r>
        <w:rPr>
          <w:rFonts w:ascii="Times New Roman" w:hAnsi="Times New Roman" w:eastAsia="仿宋_GB2312"/>
          <w:sz w:val="32"/>
        </w:rPr>
        <w:t>C112.中药种植补助：通过补助发放财务资料及合作社确认，补助按时足额发放到合作社。</w:t>
      </w:r>
    </w:p>
    <w:p w14:paraId="2E9F5381">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该项指标满分为3分，根据评分标准得3分。</w:t>
      </w:r>
    </w:p>
    <w:p w14:paraId="2F13ECE1">
      <w:pPr>
        <w:spacing w:line="600" w:lineRule="exact"/>
        <w:ind w:firstLine="640" w:firstLineChars="200"/>
        <w:rPr>
          <w:rFonts w:ascii="Times New Roman" w:hAnsi="Times New Roman" w:eastAsia="仿宋_GB2312"/>
          <w:sz w:val="32"/>
        </w:rPr>
      </w:pPr>
      <w:r>
        <w:rPr>
          <w:rFonts w:ascii="Times New Roman" w:hAnsi="Times New Roman" w:eastAsia="仿宋_GB2312"/>
          <w:sz w:val="32"/>
        </w:rPr>
        <w:t>C113.种植规模：松华街道大摆社区2019年度，山药种植规模30亩，中药种植规模150亩，达到既定目标。</w:t>
      </w:r>
    </w:p>
    <w:p w14:paraId="121FDDE9">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该项指标满分为4分，根据评分标准得4分。</w:t>
      </w:r>
    </w:p>
    <w:p w14:paraId="6AB531BC">
      <w:pPr>
        <w:spacing w:line="600" w:lineRule="exact"/>
        <w:ind w:firstLine="640" w:firstLineChars="200"/>
        <w:rPr>
          <w:rFonts w:ascii="Times New Roman" w:hAnsi="Times New Roman" w:eastAsia="仿宋_GB2312"/>
          <w:sz w:val="32"/>
        </w:rPr>
      </w:pPr>
      <w:r>
        <w:rPr>
          <w:rFonts w:ascii="Times New Roman" w:hAnsi="Times New Roman" w:eastAsia="仿宋_GB2312"/>
          <w:sz w:val="32"/>
        </w:rPr>
        <w:t>C12.种植基地蓄水池建设完成情况</w:t>
      </w:r>
    </w:p>
    <w:p w14:paraId="2F62EED6">
      <w:pPr>
        <w:spacing w:line="600" w:lineRule="exact"/>
        <w:ind w:firstLine="640" w:firstLineChars="200"/>
        <w:rPr>
          <w:rFonts w:ascii="Times New Roman" w:hAnsi="Times New Roman" w:eastAsia="仿宋_GB2312"/>
          <w:sz w:val="32"/>
        </w:rPr>
      </w:pPr>
      <w:r>
        <w:rPr>
          <w:rFonts w:ascii="Times New Roman" w:hAnsi="Times New Roman" w:eastAsia="仿宋_GB2312"/>
          <w:sz w:val="32"/>
        </w:rPr>
        <w:t>C121.设施改造完成率：大摆社区种植基地计划修建200立方米水池2个，项目金额为24万，实际使用24万元，完成修建200立方米水池2个。</w:t>
      </w:r>
    </w:p>
    <w:p w14:paraId="1CE8632E">
      <w:pPr>
        <w:spacing w:line="600" w:lineRule="exact"/>
        <w:ind w:firstLine="640" w:firstLineChars="200"/>
        <w:rPr>
          <w:rFonts w:ascii="Times New Roman" w:hAnsi="Times New Roman" w:eastAsia="仿宋_GB2312"/>
          <w:sz w:val="32"/>
        </w:rPr>
      </w:pPr>
      <w:r>
        <w:rPr>
          <w:rFonts w:ascii="Times New Roman" w:hAnsi="Times New Roman" w:eastAsia="仿宋_GB2312"/>
          <w:sz w:val="32"/>
        </w:rPr>
        <w:t>指标满分为5分，根据评分标准得5分。</w:t>
      </w:r>
    </w:p>
    <w:p w14:paraId="373A7535">
      <w:pPr>
        <w:spacing w:line="600" w:lineRule="exact"/>
        <w:ind w:firstLine="640" w:firstLineChars="200"/>
        <w:rPr>
          <w:rFonts w:ascii="Times New Roman" w:hAnsi="Times New Roman" w:eastAsia="仿宋_GB2312"/>
          <w:sz w:val="32"/>
        </w:rPr>
      </w:pPr>
      <w:r>
        <w:rPr>
          <w:rFonts w:ascii="Times New Roman" w:hAnsi="Times New Roman" w:eastAsia="仿宋_GB2312"/>
          <w:sz w:val="32"/>
        </w:rPr>
        <w:t>C122.蓄水池建设完成情况：水池建设按照合同要求按时按量完成，并通过验收投入使用。</w:t>
      </w:r>
    </w:p>
    <w:p w14:paraId="0B4025D9">
      <w:pPr>
        <w:spacing w:line="600" w:lineRule="exact"/>
        <w:ind w:firstLine="640" w:firstLineChars="200"/>
        <w:rPr>
          <w:rFonts w:ascii="Times New Roman" w:hAnsi="Times New Roman" w:eastAsia="仿宋_GB2312"/>
          <w:sz w:val="32"/>
        </w:rPr>
      </w:pPr>
      <w:r>
        <w:rPr>
          <w:rFonts w:ascii="Times New Roman" w:hAnsi="Times New Roman" w:eastAsia="仿宋_GB2312"/>
          <w:sz w:val="32"/>
        </w:rPr>
        <w:t>项指标满分为4分，根据评分标准得4分。</w:t>
      </w:r>
    </w:p>
    <w:p w14:paraId="20061E36">
      <w:pPr>
        <w:spacing w:line="600" w:lineRule="exact"/>
        <w:ind w:firstLine="640" w:firstLineChars="200"/>
        <w:rPr>
          <w:rFonts w:ascii="Times New Roman" w:hAnsi="Times New Roman" w:eastAsia="仿宋_GB2312"/>
          <w:sz w:val="32"/>
        </w:rPr>
      </w:pPr>
      <w:r>
        <w:rPr>
          <w:rFonts w:ascii="Times New Roman" w:hAnsi="Times New Roman" w:eastAsia="仿宋_GB2312"/>
          <w:sz w:val="32"/>
        </w:rPr>
        <w:t>C13.种植基地管道铺设完成情况：</w:t>
      </w:r>
    </w:p>
    <w:p w14:paraId="2E6E3227">
      <w:pPr>
        <w:spacing w:line="600" w:lineRule="exact"/>
        <w:ind w:firstLine="640" w:firstLineChars="200"/>
        <w:rPr>
          <w:rFonts w:ascii="Times New Roman" w:hAnsi="Times New Roman" w:eastAsia="仿宋_GB2312"/>
          <w:sz w:val="32"/>
        </w:rPr>
      </w:pPr>
      <w:r>
        <w:rPr>
          <w:rFonts w:ascii="Times New Roman" w:hAnsi="Times New Roman" w:eastAsia="仿宋_GB2312"/>
          <w:sz w:val="32"/>
        </w:rPr>
        <w:t>C131.设施改造完成率：大摆社区种植基地计划架设水管网2.4千米，项目金额为14.4万元，实际使用14.4万元，完成水管网铺设。</w:t>
      </w:r>
    </w:p>
    <w:p w14:paraId="723B9737">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该项指标满分为5分，根据评分标准得5分。</w:t>
      </w:r>
    </w:p>
    <w:p w14:paraId="70A784AA">
      <w:pPr>
        <w:spacing w:line="600" w:lineRule="exact"/>
        <w:ind w:firstLine="640" w:firstLineChars="200"/>
        <w:rPr>
          <w:rFonts w:ascii="Times New Roman" w:hAnsi="Times New Roman" w:eastAsia="仿宋_GB2312"/>
          <w:sz w:val="32"/>
        </w:rPr>
      </w:pPr>
      <w:r>
        <w:rPr>
          <w:rFonts w:ascii="Times New Roman" w:hAnsi="Times New Roman" w:eastAsia="仿宋_GB2312"/>
          <w:sz w:val="32"/>
        </w:rPr>
        <w:t>C132.管道建设完成情况：水管网铺设按照合同要求按时按量完成，并通过验收投入使用。</w:t>
      </w:r>
    </w:p>
    <w:p w14:paraId="77670C05">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该项指标满分为4分，根据评分标准得4分。</w:t>
      </w:r>
    </w:p>
    <w:p w14:paraId="2203E5B0">
      <w:pPr>
        <w:spacing w:line="600" w:lineRule="exact"/>
        <w:ind w:firstLine="640" w:firstLineChars="200"/>
        <w:rPr>
          <w:rFonts w:ascii="Times New Roman" w:hAnsi="Times New Roman" w:eastAsia="仿宋_GB2312"/>
          <w:sz w:val="32"/>
        </w:rPr>
      </w:pPr>
      <w:r>
        <w:rPr>
          <w:rFonts w:ascii="Times New Roman" w:hAnsi="Times New Roman" w:eastAsia="仿宋_GB2312"/>
          <w:sz w:val="32"/>
        </w:rPr>
        <w:t>C2.项目效益</w:t>
      </w:r>
    </w:p>
    <w:p w14:paraId="62E9AB1E">
      <w:pPr>
        <w:spacing w:line="600" w:lineRule="exact"/>
        <w:ind w:firstLine="640" w:firstLineChars="200"/>
        <w:rPr>
          <w:rFonts w:ascii="Times New Roman" w:hAnsi="Times New Roman" w:eastAsia="仿宋_GB2312"/>
          <w:sz w:val="32"/>
        </w:rPr>
      </w:pPr>
      <w:r>
        <w:rPr>
          <w:rFonts w:ascii="Times New Roman" w:hAnsi="Times New Roman" w:eastAsia="仿宋_GB2312"/>
          <w:sz w:val="32"/>
        </w:rPr>
        <w:t>通过对大摆社区山药、中药种植示范项目的调查了解项目实施的总体效益，反映项目实施的环境效益、可持续效益及服务对象满意度。</w:t>
      </w:r>
    </w:p>
    <w:p w14:paraId="77B24C7F">
      <w:pPr>
        <w:spacing w:line="600" w:lineRule="exact"/>
        <w:ind w:firstLine="640" w:firstLineChars="200"/>
        <w:rPr>
          <w:rFonts w:ascii="Times New Roman" w:hAnsi="Times New Roman" w:eastAsia="仿宋_GB2312"/>
          <w:sz w:val="32"/>
        </w:rPr>
      </w:pPr>
      <w:r>
        <w:rPr>
          <w:rFonts w:ascii="Times New Roman" w:hAnsi="Times New Roman" w:eastAsia="仿宋_GB2312"/>
          <w:sz w:val="32"/>
        </w:rPr>
        <w:t>C21.社会效益</w:t>
      </w:r>
    </w:p>
    <w:p w14:paraId="70D86DBC">
      <w:pPr>
        <w:spacing w:line="600" w:lineRule="exact"/>
        <w:ind w:firstLine="640" w:firstLineChars="200"/>
        <w:rPr>
          <w:rFonts w:ascii="Times New Roman" w:hAnsi="Times New Roman" w:eastAsia="仿宋_GB2312"/>
          <w:sz w:val="32"/>
        </w:rPr>
      </w:pPr>
      <w:r>
        <w:rPr>
          <w:rFonts w:ascii="Times New Roman" w:hAnsi="Times New Roman" w:eastAsia="仿宋_GB2312"/>
          <w:sz w:val="32"/>
        </w:rPr>
        <w:t>C211.合作社增产效果：根据问卷调查结果，收回15份问卷，对于项目实施后合作社是否增产选项得分率为93.33%，该项得分=4*93.33%=3.73分。</w:t>
      </w:r>
    </w:p>
    <w:p w14:paraId="7C47BFB1">
      <w:pPr>
        <w:spacing w:line="600" w:lineRule="exact"/>
        <w:ind w:firstLine="640" w:firstLineChars="200"/>
        <w:rPr>
          <w:rFonts w:ascii="Times New Roman" w:hAnsi="Times New Roman" w:eastAsia="仿宋_GB2312"/>
          <w:sz w:val="32"/>
        </w:rPr>
      </w:pPr>
      <w:r>
        <w:rPr>
          <w:rFonts w:ascii="Times New Roman" w:hAnsi="Times New Roman" w:eastAsia="仿宋_GB2312"/>
          <w:sz w:val="32"/>
        </w:rPr>
        <w:t>指标得分=4*93.33%=3.73分</w:t>
      </w:r>
    </w:p>
    <w:p w14:paraId="2B841556">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该项指标满分为4分，根据评分标准得3.73分。</w:t>
      </w:r>
    </w:p>
    <w:p w14:paraId="29501BDB">
      <w:pPr>
        <w:spacing w:line="600" w:lineRule="exact"/>
        <w:ind w:firstLine="640" w:firstLineChars="200"/>
        <w:rPr>
          <w:rFonts w:ascii="Times New Roman" w:hAnsi="Times New Roman" w:eastAsia="仿宋_GB2312"/>
          <w:sz w:val="32"/>
        </w:rPr>
      </w:pPr>
      <w:r>
        <w:rPr>
          <w:rFonts w:ascii="Times New Roman" w:hAnsi="Times New Roman" w:eastAsia="仿宋_GB2312"/>
          <w:sz w:val="32"/>
        </w:rPr>
        <w:t>C212.助力提高合作社居民收入：根据问卷调查结果，收回15份问卷，对于项目实施后是否助力提高合作社社员收入选项得分率为93.33%，该项得分=4*93.33%=3.73分。</w:t>
      </w:r>
    </w:p>
    <w:p w14:paraId="7B1A5035">
      <w:pPr>
        <w:spacing w:line="600" w:lineRule="exact"/>
        <w:ind w:firstLine="640" w:firstLineChars="200"/>
        <w:rPr>
          <w:rFonts w:ascii="Times New Roman" w:hAnsi="Times New Roman" w:eastAsia="仿宋_GB2312"/>
          <w:sz w:val="32"/>
        </w:rPr>
      </w:pPr>
      <w:r>
        <w:rPr>
          <w:rFonts w:ascii="Times New Roman" w:hAnsi="Times New Roman" w:eastAsia="仿宋_GB2312"/>
          <w:sz w:val="32"/>
        </w:rPr>
        <w:t>指标得分=4*93.33%=3.73分</w:t>
      </w:r>
    </w:p>
    <w:p w14:paraId="62FC11E4">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该项指标满分为4分，根据评分标准得3.73分。</w:t>
      </w:r>
    </w:p>
    <w:p w14:paraId="35069F33">
      <w:pPr>
        <w:spacing w:line="600" w:lineRule="exact"/>
        <w:ind w:firstLine="640" w:firstLineChars="200"/>
        <w:rPr>
          <w:rFonts w:ascii="Times New Roman" w:hAnsi="Times New Roman" w:eastAsia="仿宋_GB2312"/>
          <w:sz w:val="32"/>
        </w:rPr>
      </w:pPr>
      <w:r>
        <w:rPr>
          <w:rFonts w:ascii="Times New Roman" w:hAnsi="Times New Roman" w:eastAsia="仿宋_GB2312"/>
          <w:sz w:val="32"/>
        </w:rPr>
        <w:t>C213.助力改善种植基地基础设施条件:根据问卷调查结果，收回15份问卷，对于项目实施后是否改善种植基地基础设施条件选项得分率为93.33%，该项得分=4*93.33%=3.73分。</w:t>
      </w:r>
    </w:p>
    <w:p w14:paraId="5EAD6D24">
      <w:pPr>
        <w:spacing w:line="600" w:lineRule="exact"/>
        <w:ind w:firstLine="640" w:firstLineChars="200"/>
        <w:rPr>
          <w:rFonts w:ascii="Times New Roman" w:hAnsi="Times New Roman" w:eastAsia="仿宋_GB2312"/>
          <w:sz w:val="32"/>
        </w:rPr>
      </w:pPr>
      <w:r>
        <w:rPr>
          <w:rFonts w:ascii="Times New Roman" w:hAnsi="Times New Roman" w:eastAsia="仿宋_GB2312"/>
          <w:sz w:val="32"/>
        </w:rPr>
        <w:t>指标得分=4*93.33%=3.73分</w:t>
      </w:r>
    </w:p>
    <w:p w14:paraId="13B66C49">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该项目指标满分4分，根据评分标准得3.73分。</w:t>
      </w:r>
    </w:p>
    <w:p w14:paraId="535B5BF5">
      <w:pPr>
        <w:spacing w:line="600" w:lineRule="exact"/>
        <w:ind w:firstLine="640" w:firstLineChars="200"/>
        <w:rPr>
          <w:rFonts w:ascii="Times New Roman" w:hAnsi="Times New Roman" w:eastAsia="仿宋_GB2312"/>
          <w:sz w:val="32"/>
        </w:rPr>
      </w:pPr>
      <w:r>
        <w:rPr>
          <w:rFonts w:ascii="Times New Roman" w:hAnsi="Times New Roman" w:eastAsia="仿宋_GB2312"/>
          <w:sz w:val="32"/>
        </w:rPr>
        <w:t>C23.可持续效益</w:t>
      </w:r>
    </w:p>
    <w:p w14:paraId="233AF640">
      <w:pPr>
        <w:spacing w:line="600" w:lineRule="exact"/>
        <w:ind w:firstLine="640" w:firstLineChars="200"/>
        <w:rPr>
          <w:rFonts w:ascii="Times New Roman" w:hAnsi="Times New Roman" w:eastAsia="仿宋_GB2312"/>
          <w:sz w:val="32"/>
        </w:rPr>
      </w:pPr>
      <w:r>
        <w:rPr>
          <w:rFonts w:ascii="Times New Roman" w:hAnsi="Times New Roman" w:eastAsia="仿宋_GB2312"/>
          <w:sz w:val="32"/>
        </w:rPr>
        <w:t>C231.蓄水池建设、管道铺设持续推动合作社的发展：根据问卷调查结果，收回15份问卷，对于项目实施后是否大力推动合作社发展选项得分率为93.33%，该项得分=4*93.33%=3.73分。</w:t>
      </w:r>
    </w:p>
    <w:p w14:paraId="33AF4B42">
      <w:pPr>
        <w:spacing w:line="600" w:lineRule="exact"/>
        <w:ind w:firstLine="640" w:firstLineChars="200"/>
        <w:rPr>
          <w:rFonts w:ascii="Times New Roman" w:hAnsi="Times New Roman" w:eastAsia="仿宋_GB2312"/>
          <w:sz w:val="32"/>
        </w:rPr>
      </w:pPr>
      <w:r>
        <w:rPr>
          <w:rFonts w:ascii="Times New Roman" w:hAnsi="Times New Roman" w:eastAsia="仿宋_GB2312"/>
          <w:sz w:val="32"/>
        </w:rPr>
        <w:t>指标得分=4*93.33%=3.73分</w:t>
      </w:r>
    </w:p>
    <w:p w14:paraId="32FF1796">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该项指标满分为4分，根据评分标准得3.73分。</w:t>
      </w:r>
    </w:p>
    <w:p w14:paraId="12B44222">
      <w:pPr>
        <w:spacing w:line="600" w:lineRule="exact"/>
        <w:ind w:firstLine="640" w:firstLineChars="200"/>
        <w:rPr>
          <w:rFonts w:ascii="Times New Roman" w:hAnsi="Times New Roman" w:eastAsia="仿宋_GB2312"/>
          <w:sz w:val="32"/>
        </w:rPr>
      </w:pPr>
      <w:r>
        <w:rPr>
          <w:rFonts w:ascii="Times New Roman" w:hAnsi="Times New Roman" w:eastAsia="仿宋_GB2312"/>
          <w:sz w:val="32"/>
        </w:rPr>
        <w:t>C232.灌溉配套设施的建设降低种植成本：据问卷调查结果，收回15份问卷，对于项目实施后是否降低种植成本选项得分率为93.33%，该项得分=4*93.33%=3.73分。</w:t>
      </w:r>
    </w:p>
    <w:p w14:paraId="39E20BC7">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该项指标满分为4分，根据评分标准得3.73分。</w:t>
      </w:r>
    </w:p>
    <w:p w14:paraId="01BEDF91">
      <w:pPr>
        <w:spacing w:line="600" w:lineRule="exact"/>
        <w:ind w:firstLine="640" w:firstLineChars="200"/>
        <w:rPr>
          <w:rFonts w:ascii="Times New Roman" w:hAnsi="Times New Roman" w:eastAsia="仿宋_GB2312"/>
          <w:sz w:val="32"/>
        </w:rPr>
      </w:pPr>
      <w:r>
        <w:rPr>
          <w:rFonts w:ascii="Times New Roman" w:hAnsi="Times New Roman" w:eastAsia="仿宋_GB2312"/>
          <w:sz w:val="32"/>
        </w:rPr>
        <w:t>C24.服务对象满意度</w:t>
      </w:r>
    </w:p>
    <w:p w14:paraId="26597D92">
      <w:pPr>
        <w:spacing w:line="600" w:lineRule="exact"/>
        <w:ind w:firstLine="640" w:firstLineChars="200"/>
        <w:rPr>
          <w:rFonts w:ascii="Times New Roman" w:hAnsi="Times New Roman" w:eastAsia="仿宋_GB2312"/>
          <w:sz w:val="32"/>
        </w:rPr>
      </w:pPr>
      <w:r>
        <w:rPr>
          <w:rFonts w:ascii="Times New Roman" w:hAnsi="Times New Roman" w:eastAsia="仿宋_GB2312"/>
          <w:sz w:val="32"/>
        </w:rPr>
        <w:t>C241.受益对象对本项目实施的满意度：根据实施方案及调查问卷汇总情况，本次收回实施方问卷共计15份，平均分为93.33分。</w:t>
      </w:r>
    </w:p>
    <w:p w14:paraId="58B80A62">
      <w:pPr>
        <w:spacing w:line="600" w:lineRule="exact"/>
        <w:ind w:firstLine="640" w:firstLineChars="200"/>
        <w:rPr>
          <w:rFonts w:ascii="仿宋_GB2312" w:eastAsia="仿宋_GB2312"/>
          <w:color w:val="FF0000"/>
          <w:sz w:val="32"/>
        </w:rPr>
      </w:pPr>
      <w:r>
        <w:rPr>
          <w:rFonts w:hint="eastAsia" w:ascii="仿宋_GB2312" w:eastAsia="仿宋_GB2312"/>
          <w:sz w:val="32"/>
        </w:rPr>
        <w:t>该项指标满分为</w:t>
      </w:r>
      <w:r>
        <w:rPr>
          <w:rFonts w:ascii="Times New Roman" w:hAnsi="Times New Roman" w:eastAsia="仿宋_GB2312"/>
          <w:sz w:val="32"/>
        </w:rPr>
        <w:t>10</w:t>
      </w:r>
      <w:r>
        <w:rPr>
          <w:rFonts w:hint="eastAsia" w:ascii="仿宋_GB2312" w:eastAsia="仿宋_GB2312"/>
          <w:sz w:val="32"/>
        </w:rPr>
        <w:t>分，根据评分标准计算</w:t>
      </w:r>
      <w:r>
        <w:rPr>
          <w:rFonts w:ascii="Times New Roman" w:hAnsi="Times New Roman" w:eastAsia="仿宋_GB2312"/>
          <w:sz w:val="32"/>
        </w:rPr>
        <w:t>93.33%</w:t>
      </w:r>
      <w:r>
        <w:rPr>
          <w:rFonts w:hint="eastAsia" w:ascii="仿宋_GB2312" w:eastAsia="仿宋_GB2312"/>
          <w:sz w:val="32"/>
        </w:rPr>
        <w:t>×</w:t>
      </w:r>
      <w:r>
        <w:rPr>
          <w:rFonts w:ascii="Times New Roman" w:hAnsi="Times New Roman" w:eastAsia="仿宋_GB2312"/>
          <w:sz w:val="32"/>
        </w:rPr>
        <w:t>10</w:t>
      </w:r>
      <w:r>
        <w:rPr>
          <w:rFonts w:hint="eastAsia" w:ascii="仿宋_GB2312" w:eastAsia="仿宋_GB2312"/>
          <w:sz w:val="32"/>
        </w:rPr>
        <w:t>=</w:t>
      </w:r>
      <w:r>
        <w:rPr>
          <w:rFonts w:ascii="Times New Roman" w:hAnsi="Times New Roman" w:eastAsia="仿宋_GB2312"/>
          <w:sz w:val="32"/>
        </w:rPr>
        <w:t>9.33</w:t>
      </w:r>
      <w:r>
        <w:rPr>
          <w:rFonts w:hint="eastAsia" w:ascii="仿宋_GB2312" w:eastAsia="仿宋_GB2312"/>
          <w:sz w:val="32"/>
        </w:rPr>
        <w:t>分，该项指标得分为</w:t>
      </w:r>
      <w:r>
        <w:rPr>
          <w:rFonts w:ascii="Times New Roman" w:hAnsi="Times New Roman" w:eastAsia="仿宋_GB2312"/>
          <w:sz w:val="32"/>
        </w:rPr>
        <w:t>9.33</w:t>
      </w:r>
      <w:r>
        <w:rPr>
          <w:rFonts w:hint="eastAsia" w:ascii="仿宋_GB2312" w:eastAsia="仿宋_GB2312"/>
          <w:sz w:val="32"/>
        </w:rPr>
        <w:t>分。</w:t>
      </w:r>
    </w:p>
    <w:p w14:paraId="723541B7">
      <w:pPr>
        <w:pStyle w:val="2"/>
        <w:spacing w:line="600" w:lineRule="exact"/>
        <w:ind w:firstLine="480" w:firstLineChars="150"/>
        <w:rPr>
          <w:rFonts w:ascii="黑体" w:hAnsi="黑体" w:eastAsia="黑体"/>
          <w:b w:val="0"/>
          <w:sz w:val="32"/>
          <w:szCs w:val="32"/>
        </w:rPr>
      </w:pPr>
      <w:bookmarkStart w:id="74" w:name="_Toc8084"/>
      <w:bookmarkStart w:id="75" w:name="_Toc48082214"/>
      <w:bookmarkStart w:id="76" w:name="_Toc12797"/>
      <w:r>
        <w:rPr>
          <w:rFonts w:hint="eastAsia" w:ascii="黑体" w:hAnsi="黑体" w:eastAsia="黑体"/>
          <w:b w:val="0"/>
          <w:sz w:val="32"/>
          <w:szCs w:val="32"/>
        </w:rPr>
        <w:t>四、主要经验及做法、存在的问题和建议</w:t>
      </w:r>
      <w:bookmarkEnd w:id="74"/>
      <w:bookmarkEnd w:id="75"/>
      <w:bookmarkEnd w:id="76"/>
    </w:p>
    <w:p w14:paraId="615530F1">
      <w:pPr>
        <w:pStyle w:val="3"/>
        <w:spacing w:line="600" w:lineRule="exact"/>
        <w:ind w:firstLine="482" w:firstLineChars="150"/>
        <w:rPr>
          <w:rFonts w:ascii="楷体_GB2312" w:hAnsi="楷体_GB2312" w:eastAsia="楷体_GB2312" w:cs="楷体_GB2312"/>
          <w:bCs w:val="0"/>
          <w:szCs w:val="22"/>
        </w:rPr>
      </w:pPr>
      <w:bookmarkStart w:id="77" w:name="_Toc48082215"/>
      <w:bookmarkStart w:id="78" w:name="_Toc15341"/>
      <w:r>
        <w:rPr>
          <w:rFonts w:hint="eastAsia" w:ascii="楷体_GB2312" w:hAnsi="楷体_GB2312" w:eastAsia="楷体_GB2312" w:cs="楷体_GB2312"/>
          <w:bCs w:val="0"/>
          <w:szCs w:val="22"/>
        </w:rPr>
        <w:t>（一）主要经验及做法</w:t>
      </w:r>
      <w:bookmarkEnd w:id="77"/>
      <w:bookmarkEnd w:id="78"/>
    </w:p>
    <w:p w14:paraId="1B754B27">
      <w:pPr>
        <w:spacing w:line="600" w:lineRule="exact"/>
        <w:ind w:firstLine="640" w:firstLineChars="200"/>
        <w:rPr>
          <w:rFonts w:ascii="Times New Roman" w:hAnsi="Times New Roman" w:eastAsia="仿宋_GB2312"/>
          <w:bCs/>
          <w:sz w:val="32"/>
        </w:rPr>
      </w:pPr>
      <w:r>
        <w:rPr>
          <w:rFonts w:hint="eastAsia" w:ascii="Times New Roman" w:hAnsi="Times New Roman" w:eastAsia="仿宋_GB2312"/>
          <w:bCs/>
          <w:sz w:val="32"/>
        </w:rPr>
        <w:t>松华街道大摆社区</w:t>
      </w:r>
      <w:r>
        <w:rPr>
          <w:rFonts w:ascii="Times New Roman" w:hAnsi="Times New Roman" w:eastAsia="仿宋_GB2312"/>
          <w:bCs/>
          <w:sz w:val="32"/>
        </w:rPr>
        <w:t>项目实施瞄准贫困户，进行针对性</w:t>
      </w:r>
      <w:r>
        <w:rPr>
          <w:rFonts w:hint="eastAsia" w:ascii="Times New Roman" w:hAnsi="Times New Roman" w:eastAsia="仿宋_GB2312"/>
          <w:bCs/>
          <w:sz w:val="32"/>
        </w:rPr>
        <w:t>地</w:t>
      </w:r>
      <w:r>
        <w:rPr>
          <w:rFonts w:ascii="Times New Roman" w:hAnsi="Times New Roman" w:eastAsia="仿宋_GB2312"/>
          <w:bCs/>
          <w:sz w:val="32"/>
        </w:rPr>
        <w:t>帮扶。</w:t>
      </w:r>
    </w:p>
    <w:p w14:paraId="37EE77F8">
      <w:pPr>
        <w:spacing w:line="600" w:lineRule="exact"/>
        <w:ind w:firstLine="640" w:firstLineChars="200"/>
        <w:rPr>
          <w:rFonts w:ascii="Times New Roman" w:hAnsi="Times New Roman" w:eastAsia="仿宋_GB2312"/>
          <w:sz w:val="32"/>
        </w:rPr>
      </w:pPr>
      <w:r>
        <w:rPr>
          <w:rFonts w:ascii="Times New Roman" w:hAnsi="Times New Roman" w:eastAsia="仿宋_GB2312"/>
          <w:sz w:val="32"/>
        </w:rPr>
        <w:t>项目实施前，大摆社区党组织、居委会班子成员认真分析辖区耕地、农户情况，确定种植地块，按照地块涉及农户名单</w:t>
      </w:r>
      <w:r>
        <w:rPr>
          <w:rFonts w:hint="eastAsia" w:ascii="Times New Roman" w:hAnsi="Times New Roman" w:eastAsia="仿宋_GB2312"/>
          <w:sz w:val="32"/>
        </w:rPr>
        <w:t>逐户</w:t>
      </w:r>
      <w:r>
        <w:rPr>
          <w:rFonts w:ascii="Times New Roman" w:hAnsi="Times New Roman" w:eastAsia="仿宋_GB2312"/>
          <w:sz w:val="32"/>
        </w:rPr>
        <w:t>入户做工作，通过社区干部不懈努力，争取到16户建档立卡贫困户和8户</w:t>
      </w:r>
      <w:r>
        <w:rPr>
          <w:rFonts w:hint="eastAsia" w:ascii="Times New Roman" w:hAnsi="Times New Roman" w:eastAsia="仿宋_GB2312"/>
          <w:sz w:val="32"/>
        </w:rPr>
        <w:t>一般</w:t>
      </w:r>
      <w:r>
        <w:rPr>
          <w:rFonts w:ascii="Times New Roman" w:hAnsi="Times New Roman" w:eastAsia="仿宋_GB2312"/>
          <w:sz w:val="32"/>
        </w:rPr>
        <w:t>农户的支持，成立合作社，通过针对性帮扶，有效解决脱贫问题，巩固脱贫攻坚成果。</w:t>
      </w:r>
    </w:p>
    <w:p w14:paraId="6CB2B765">
      <w:pPr>
        <w:pStyle w:val="3"/>
        <w:spacing w:line="600" w:lineRule="exact"/>
        <w:ind w:firstLine="640" w:firstLineChars="200"/>
        <w:rPr>
          <w:rFonts w:ascii="楷体_GB2312" w:hAnsi="楷体_GB2312" w:eastAsia="楷体_GB2312" w:cs="楷体_GB2312"/>
          <w:b w:val="0"/>
        </w:rPr>
      </w:pPr>
      <w:bookmarkStart w:id="79" w:name="_Toc27154"/>
      <w:r>
        <w:rPr>
          <w:rFonts w:hint="eastAsia" w:ascii="楷体_GB2312" w:hAnsi="楷体_GB2312" w:eastAsia="楷体_GB2312" w:cs="楷体_GB2312"/>
          <w:b w:val="0"/>
        </w:rPr>
        <w:t>（</w:t>
      </w:r>
      <w:r>
        <w:rPr>
          <w:rFonts w:hint="eastAsia" w:ascii="楷体_GB2312" w:hAnsi="楷体_GB2312" w:eastAsia="楷体_GB2312" w:cs="楷体_GB2312"/>
          <w:bCs w:val="0"/>
          <w:szCs w:val="22"/>
        </w:rPr>
        <w:t>二）存在问题</w:t>
      </w:r>
      <w:bookmarkEnd w:id="79"/>
    </w:p>
    <w:p w14:paraId="5DE807A3">
      <w:pPr>
        <w:spacing w:line="600" w:lineRule="exact"/>
        <w:ind w:firstLine="640" w:firstLineChars="200"/>
        <w:rPr>
          <w:rFonts w:ascii="仿宋_GB2312" w:hAnsi="Times New Roman" w:eastAsia="仿宋_GB2312"/>
          <w:sz w:val="32"/>
        </w:rPr>
      </w:pPr>
      <w:r>
        <w:rPr>
          <w:rFonts w:hint="eastAsia" w:ascii="仿宋_GB2312" w:hAnsi="Times New Roman" w:eastAsia="仿宋_GB2312"/>
          <w:sz w:val="32"/>
        </w:rPr>
        <w:t>未对项目专门建立管理、监督制度。松华街道未针对大摆社区山药、中药种植示范项目建立相关管理、监督制度。</w:t>
      </w:r>
    </w:p>
    <w:p w14:paraId="3770C9D9">
      <w:pPr>
        <w:spacing w:before="260" w:after="260" w:line="600" w:lineRule="exact"/>
        <w:ind w:firstLine="643" w:firstLineChars="200"/>
        <w:outlineLvl w:val="1"/>
        <w:rPr>
          <w:rFonts w:ascii="楷体_GB2312" w:hAnsi="楷体_GB2312" w:eastAsia="楷体_GB2312" w:cs="楷体_GB2312"/>
          <w:b/>
          <w:sz w:val="32"/>
        </w:rPr>
      </w:pPr>
      <w:bookmarkStart w:id="80" w:name="_Toc17670"/>
      <w:r>
        <w:rPr>
          <w:rFonts w:hint="eastAsia" w:ascii="楷体_GB2312" w:hAnsi="楷体_GB2312" w:eastAsia="楷体_GB2312" w:cs="楷体_GB2312"/>
          <w:b/>
          <w:sz w:val="32"/>
        </w:rPr>
        <w:t>（三）改进措施及建议</w:t>
      </w:r>
      <w:bookmarkEnd w:id="80"/>
    </w:p>
    <w:p w14:paraId="649A49C7">
      <w:pPr>
        <w:spacing w:line="600" w:lineRule="exact"/>
        <w:ind w:firstLine="640" w:firstLineChars="200"/>
        <w:rPr>
          <w:rFonts w:ascii="Times New Roman" w:hAnsi="Times New Roman" w:eastAsia="仿宋_GB2312"/>
          <w:sz w:val="32"/>
        </w:rPr>
      </w:pPr>
      <w:r>
        <w:rPr>
          <w:rFonts w:ascii="Times New Roman" w:hAnsi="Times New Roman" w:eastAsia="仿宋_GB2312"/>
          <w:sz w:val="32"/>
        </w:rPr>
        <w:t>（1）针对项目制定</w:t>
      </w:r>
      <w:r>
        <w:rPr>
          <w:rFonts w:hint="eastAsia" w:ascii="Times New Roman" w:hAnsi="Times New Roman" w:eastAsia="仿宋_GB2312"/>
          <w:sz w:val="32"/>
        </w:rPr>
        <w:t>监督制度</w:t>
      </w:r>
    </w:p>
    <w:p w14:paraId="6C294275">
      <w:pPr>
        <w:ind w:firstLine="640" w:firstLineChars="200"/>
      </w:pPr>
      <w:r>
        <w:rPr>
          <w:rFonts w:ascii="Times New Roman" w:hAnsi="Times New Roman" w:eastAsia="仿宋_GB2312"/>
          <w:sz w:val="32"/>
        </w:rPr>
        <w:t>建议松华街道</w:t>
      </w:r>
      <w:r>
        <w:rPr>
          <w:rFonts w:hint="eastAsia" w:ascii="Times New Roman" w:hAnsi="Times New Roman" w:eastAsia="仿宋_GB2312"/>
          <w:sz w:val="32"/>
        </w:rPr>
        <w:t>在项目资金到位后</w:t>
      </w:r>
      <w:r>
        <w:rPr>
          <w:rFonts w:ascii="Times New Roman" w:hAnsi="Times New Roman" w:eastAsia="仿宋_GB2312"/>
          <w:sz w:val="32"/>
        </w:rPr>
        <w:t>，结合项目实际，针对扶贫项目建立项目管理、</w:t>
      </w:r>
      <w:r>
        <w:rPr>
          <w:rFonts w:hint="eastAsia" w:ascii="Times New Roman" w:hAnsi="Times New Roman" w:eastAsia="仿宋_GB2312"/>
          <w:sz w:val="32"/>
        </w:rPr>
        <w:t>监督制度，要求大摆社区定期向街道报项目实施进度，街道财务部门对于大摆社区提交财务资料，严格审核，街道项目管理部门，不定期对于大摆社区项目进行实地检查，以检查促进度，促整改落实，确保项目顺利进行。</w:t>
      </w:r>
    </w:p>
    <w:p w14:paraId="3C1C3E28">
      <w:pPr>
        <w:tabs>
          <w:tab w:val="left" w:pos="2729"/>
        </w:tabs>
        <w:jc w:val="left"/>
      </w:pPr>
      <w:r>
        <w:rPr>
          <w:rFonts w:hint="eastAsia"/>
        </w:rPr>
        <w:tab/>
      </w:r>
    </w:p>
    <w:p w14:paraId="219D4D59">
      <w:pPr>
        <w:pStyle w:val="2"/>
        <w:spacing w:line="600" w:lineRule="exact"/>
        <w:ind w:firstLine="480" w:firstLineChars="150"/>
        <w:rPr>
          <w:rFonts w:ascii="黑体" w:hAnsi="黑体" w:eastAsia="黑体"/>
          <w:b w:val="0"/>
          <w:sz w:val="32"/>
          <w:szCs w:val="32"/>
        </w:rPr>
      </w:pPr>
      <w:bookmarkStart w:id="81" w:name="_Toc30513"/>
      <w:r>
        <w:rPr>
          <w:rFonts w:hint="eastAsia" w:ascii="黑体" w:hAnsi="黑体" w:eastAsia="黑体"/>
          <w:b w:val="0"/>
          <w:sz w:val="32"/>
          <w:szCs w:val="32"/>
        </w:rPr>
        <w:t>五、附件</w:t>
      </w:r>
      <w:bookmarkEnd w:id="81"/>
    </w:p>
    <w:p w14:paraId="18DFFFB3">
      <w:pPr>
        <w:pStyle w:val="2"/>
        <w:spacing w:line="480" w:lineRule="exact"/>
        <w:ind w:firstLine="480" w:firstLineChars="150"/>
        <w:rPr>
          <w:rFonts w:ascii="黑体" w:hAnsi="黑体" w:eastAsia="黑体"/>
          <w:b w:val="0"/>
          <w:sz w:val="32"/>
          <w:szCs w:val="32"/>
        </w:rPr>
      </w:pPr>
      <w:bookmarkStart w:id="82" w:name="_Toc4659"/>
      <w:bookmarkStart w:id="83" w:name="_Toc32268"/>
      <w:r>
        <w:rPr>
          <w:rFonts w:hint="eastAsia" w:ascii="黑体" w:hAnsi="黑体" w:eastAsia="黑体"/>
          <w:b w:val="0"/>
          <w:sz w:val="32"/>
          <w:szCs w:val="32"/>
        </w:rPr>
        <w:t>附件一：绩效评价指标体系</w:t>
      </w:r>
      <w:bookmarkEnd w:id="82"/>
      <w:bookmarkEnd w:id="83"/>
    </w:p>
    <w:p w14:paraId="1193D902">
      <w:pPr>
        <w:pStyle w:val="2"/>
        <w:spacing w:line="300" w:lineRule="exact"/>
        <w:ind w:firstLine="480" w:firstLineChars="150"/>
        <w:rPr>
          <w:rFonts w:ascii="黑体" w:hAnsi="黑体" w:eastAsia="黑体"/>
          <w:b w:val="0"/>
          <w:sz w:val="32"/>
          <w:szCs w:val="32"/>
        </w:rPr>
      </w:pPr>
      <w:bookmarkStart w:id="84" w:name="_Toc7705"/>
      <w:bookmarkStart w:id="85" w:name="_Toc53382710"/>
      <w:bookmarkStart w:id="86" w:name="_Toc28110"/>
      <w:r>
        <w:rPr>
          <w:rFonts w:hint="eastAsia" w:ascii="黑体" w:hAnsi="黑体" w:eastAsia="黑体"/>
          <w:b w:val="0"/>
          <w:sz w:val="32"/>
          <w:szCs w:val="32"/>
        </w:rPr>
        <w:t>附件二：基础数据表</w:t>
      </w:r>
      <w:bookmarkEnd w:id="84"/>
      <w:bookmarkEnd w:id="85"/>
      <w:bookmarkEnd w:id="86"/>
    </w:p>
    <w:p w14:paraId="7AC75B7D">
      <w:pPr>
        <w:pStyle w:val="2"/>
        <w:spacing w:line="300" w:lineRule="exact"/>
        <w:ind w:firstLine="480" w:firstLineChars="150"/>
        <w:rPr>
          <w:rFonts w:ascii="黑体" w:hAnsi="黑体" w:eastAsia="黑体"/>
          <w:b w:val="0"/>
          <w:sz w:val="32"/>
          <w:szCs w:val="32"/>
        </w:rPr>
      </w:pPr>
      <w:bookmarkStart w:id="87" w:name="_Toc22776"/>
      <w:bookmarkStart w:id="88" w:name="_Toc14855"/>
      <w:bookmarkStart w:id="89" w:name="_Toc53382711"/>
      <w:r>
        <w:rPr>
          <w:rFonts w:hint="eastAsia" w:ascii="黑体" w:hAnsi="黑体" w:eastAsia="黑体"/>
          <w:b w:val="0"/>
          <w:sz w:val="32"/>
          <w:szCs w:val="32"/>
        </w:rPr>
        <w:t>附件三：访谈分析报告</w:t>
      </w:r>
      <w:bookmarkEnd w:id="87"/>
      <w:bookmarkEnd w:id="88"/>
      <w:bookmarkEnd w:id="89"/>
    </w:p>
    <w:p w14:paraId="617B0ACA">
      <w:pPr>
        <w:pStyle w:val="2"/>
        <w:spacing w:line="300" w:lineRule="exact"/>
        <w:ind w:firstLine="480" w:firstLineChars="150"/>
        <w:rPr>
          <w:rFonts w:ascii="黑体" w:hAnsi="黑体" w:eastAsia="黑体"/>
          <w:b w:val="0"/>
          <w:sz w:val="32"/>
          <w:szCs w:val="32"/>
        </w:rPr>
      </w:pPr>
      <w:bookmarkStart w:id="90" w:name="_Toc25641"/>
      <w:bookmarkStart w:id="91" w:name="_Toc53382712"/>
      <w:bookmarkStart w:id="92" w:name="_Toc1405"/>
      <w:r>
        <w:rPr>
          <w:rFonts w:hint="eastAsia" w:ascii="黑体" w:hAnsi="黑体" w:eastAsia="黑体"/>
          <w:b w:val="0"/>
          <w:sz w:val="32"/>
          <w:szCs w:val="32"/>
        </w:rPr>
        <w:t>附件四：问卷调查分析报告</w:t>
      </w:r>
      <w:bookmarkEnd w:id="90"/>
      <w:bookmarkEnd w:id="91"/>
      <w:bookmarkEnd w:id="92"/>
    </w:p>
    <w:p w14:paraId="0C633BC7">
      <w:pPr>
        <w:spacing w:line="600" w:lineRule="exact"/>
        <w:rPr>
          <w:rFonts w:ascii="仿宋_GB2312" w:eastAsia="仿宋_GB2312"/>
          <w:sz w:val="32"/>
        </w:rPr>
      </w:pPr>
    </w:p>
    <w:p w14:paraId="761B9BC3">
      <w:pPr>
        <w:pStyle w:val="2"/>
        <w:spacing w:line="300" w:lineRule="exact"/>
        <w:ind w:firstLine="480" w:firstLineChars="150"/>
        <w:jc w:val="left"/>
        <w:rPr>
          <w:rFonts w:ascii="黑体" w:hAnsi="黑体" w:eastAsia="黑体"/>
          <w:b w:val="0"/>
          <w:sz w:val="32"/>
          <w:szCs w:val="32"/>
        </w:rPr>
      </w:pPr>
    </w:p>
    <w:p w14:paraId="6D033507">
      <w:pPr>
        <w:spacing w:line="360" w:lineRule="auto"/>
        <w:ind w:firstLine="640" w:firstLineChars="200"/>
        <w:rPr>
          <w:rFonts w:ascii="Times New Roman" w:hAnsi="Times New Roman" w:eastAsia="仿宋_GB2312"/>
          <w:sz w:val="32"/>
          <w:szCs w:val="32"/>
        </w:rPr>
      </w:pPr>
    </w:p>
    <w:p w14:paraId="6201E670">
      <w:pPr>
        <w:spacing w:line="360" w:lineRule="auto"/>
        <w:ind w:firstLine="640" w:firstLineChars="200"/>
        <w:rPr>
          <w:rFonts w:ascii="Times New Roman" w:hAnsi="Times New Roman" w:eastAsia="仿宋_GB2312"/>
          <w:sz w:val="32"/>
          <w:szCs w:val="32"/>
        </w:rPr>
      </w:pPr>
    </w:p>
    <w:p w14:paraId="27493906">
      <w:pPr>
        <w:spacing w:line="360" w:lineRule="auto"/>
        <w:ind w:firstLine="640" w:firstLineChars="200"/>
        <w:rPr>
          <w:rFonts w:ascii="Times New Roman" w:hAnsi="Times New Roman" w:eastAsia="仿宋_GB2312"/>
          <w:sz w:val="32"/>
          <w:szCs w:val="32"/>
        </w:rPr>
      </w:pPr>
    </w:p>
    <w:p w14:paraId="52ABFAAC">
      <w:pPr>
        <w:spacing w:line="360" w:lineRule="auto"/>
        <w:ind w:firstLine="2880" w:firstLineChars="900"/>
        <w:rPr>
          <w:rFonts w:ascii="Times New Roman" w:hAnsi="Times New Roman" w:eastAsia="仿宋_GB2312"/>
          <w:sz w:val="32"/>
          <w:szCs w:val="32"/>
        </w:rPr>
      </w:pPr>
      <w:r>
        <w:rPr>
          <w:rFonts w:hint="eastAsia" w:ascii="Times New Roman" w:hAnsi="Times New Roman" w:eastAsia="仿宋_GB2312"/>
          <w:sz w:val="32"/>
          <w:szCs w:val="32"/>
        </w:rPr>
        <w:t>昆明旭坤会计师事务所有限责任公司</w:t>
      </w:r>
    </w:p>
    <w:p w14:paraId="7360DB4C">
      <w:pPr>
        <w:spacing w:line="360" w:lineRule="auto"/>
        <w:ind w:firstLine="4480" w:firstLineChars="1400"/>
        <w:rPr>
          <w:rFonts w:ascii="Times New Roman" w:hAnsi="Times New Roman" w:eastAsia="仿宋_GB2312"/>
          <w:sz w:val="32"/>
          <w:szCs w:val="32"/>
        </w:rPr>
      </w:pPr>
      <w:r>
        <w:rPr>
          <w:rFonts w:hint="eastAsia" w:ascii="Times New Roman" w:hAnsi="Times New Roman" w:eastAsia="仿宋_GB2312"/>
          <w:sz w:val="32"/>
          <w:szCs w:val="32"/>
        </w:rPr>
        <w:t>2020年11月11日</w:t>
      </w:r>
    </w:p>
    <w:sectPr>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BDEA3">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C3545">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71CF1">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F7F03">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1C552">
                          <w:pPr>
                            <w:pStyle w:val="6"/>
                            <w:jc w:val="center"/>
                          </w:pPr>
                          <w:r>
                            <w:fldChar w:fldCharType="begin"/>
                          </w:r>
                          <w:r>
                            <w:instrText xml:space="preserve">PAGE   \* MERGEFORMAT</w:instrText>
                          </w:r>
                          <w:r>
                            <w:fldChar w:fldCharType="separate"/>
                          </w:r>
                          <w:r>
                            <w:rPr>
                              <w:lang w:val="zh-CN"/>
                            </w:rPr>
                            <w:t>3</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2B31C552">
                    <w:pPr>
                      <w:pStyle w:val="6"/>
                      <w:jc w:val="center"/>
                    </w:pPr>
                    <w:r>
                      <w:fldChar w:fldCharType="begin"/>
                    </w:r>
                    <w:r>
                      <w:instrText xml:space="preserve">PAGE   \* MERGEFORMAT</w:instrText>
                    </w:r>
                    <w:r>
                      <w:fldChar w:fldCharType="separate"/>
                    </w:r>
                    <w:r>
                      <w:rPr>
                        <w:lang w:val="zh-CN"/>
                      </w:rPr>
                      <w:t>3</w:t>
                    </w:r>
                    <w:r>
                      <w:rPr>
                        <w:lang w:val="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BFDC5">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ED885">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AC3BD">
    <w:pPr>
      <w:pStyle w:val="6"/>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9D19A4"/>
    <w:multiLevelType w:val="singleLevel"/>
    <w:tmpl w:val="E29D19A4"/>
    <w:lvl w:ilvl="0" w:tentative="0">
      <w:start w:val="1"/>
      <w:numFmt w:val="chineseCounting"/>
      <w:suff w:val="nothing"/>
      <w:lvlText w:val="%1、"/>
      <w:lvlJc w:val="left"/>
      <w:rPr>
        <w:rFonts w:hint="eastAsia"/>
      </w:rPr>
    </w:lvl>
  </w:abstractNum>
  <w:abstractNum w:abstractNumId="1">
    <w:nsid w:val="1CA202DA"/>
    <w:multiLevelType w:val="singleLevel"/>
    <w:tmpl w:val="1CA202DA"/>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6DF"/>
    <w:rsid w:val="000006AA"/>
    <w:rsid w:val="00000A0B"/>
    <w:rsid w:val="00000C0A"/>
    <w:rsid w:val="00003894"/>
    <w:rsid w:val="00004F0B"/>
    <w:rsid w:val="0000505F"/>
    <w:rsid w:val="00010ECE"/>
    <w:rsid w:val="0001116B"/>
    <w:rsid w:val="00011846"/>
    <w:rsid w:val="00011F55"/>
    <w:rsid w:val="0001212C"/>
    <w:rsid w:val="00012A50"/>
    <w:rsid w:val="000158C5"/>
    <w:rsid w:val="0002282E"/>
    <w:rsid w:val="000235BA"/>
    <w:rsid w:val="000247EB"/>
    <w:rsid w:val="00025B07"/>
    <w:rsid w:val="00026432"/>
    <w:rsid w:val="00026D6A"/>
    <w:rsid w:val="000276DF"/>
    <w:rsid w:val="00027CDB"/>
    <w:rsid w:val="00030092"/>
    <w:rsid w:val="000329AA"/>
    <w:rsid w:val="000403F8"/>
    <w:rsid w:val="000413B8"/>
    <w:rsid w:val="000436C4"/>
    <w:rsid w:val="00043D47"/>
    <w:rsid w:val="00046270"/>
    <w:rsid w:val="00046657"/>
    <w:rsid w:val="00046929"/>
    <w:rsid w:val="00050BA2"/>
    <w:rsid w:val="000524FD"/>
    <w:rsid w:val="000530BB"/>
    <w:rsid w:val="00055D4B"/>
    <w:rsid w:val="0005714D"/>
    <w:rsid w:val="00057299"/>
    <w:rsid w:val="00057B3F"/>
    <w:rsid w:val="00057BF7"/>
    <w:rsid w:val="000626D2"/>
    <w:rsid w:val="000635F0"/>
    <w:rsid w:val="00063918"/>
    <w:rsid w:val="00064BC7"/>
    <w:rsid w:val="000667C6"/>
    <w:rsid w:val="00067FFA"/>
    <w:rsid w:val="00072700"/>
    <w:rsid w:val="000766FE"/>
    <w:rsid w:val="00076E30"/>
    <w:rsid w:val="00077C0E"/>
    <w:rsid w:val="000801F5"/>
    <w:rsid w:val="00080562"/>
    <w:rsid w:val="00080693"/>
    <w:rsid w:val="00080C79"/>
    <w:rsid w:val="00080FA8"/>
    <w:rsid w:val="00081743"/>
    <w:rsid w:val="000824A5"/>
    <w:rsid w:val="00085B60"/>
    <w:rsid w:val="000872CD"/>
    <w:rsid w:val="0009196F"/>
    <w:rsid w:val="000929F2"/>
    <w:rsid w:val="00092DAA"/>
    <w:rsid w:val="00093204"/>
    <w:rsid w:val="00094E24"/>
    <w:rsid w:val="00094E96"/>
    <w:rsid w:val="00095322"/>
    <w:rsid w:val="00096345"/>
    <w:rsid w:val="000A052F"/>
    <w:rsid w:val="000A1FFC"/>
    <w:rsid w:val="000A2A90"/>
    <w:rsid w:val="000A4484"/>
    <w:rsid w:val="000A4AE1"/>
    <w:rsid w:val="000A4B96"/>
    <w:rsid w:val="000A6027"/>
    <w:rsid w:val="000A638F"/>
    <w:rsid w:val="000A6EB7"/>
    <w:rsid w:val="000A710C"/>
    <w:rsid w:val="000B0104"/>
    <w:rsid w:val="000B295F"/>
    <w:rsid w:val="000B3861"/>
    <w:rsid w:val="000B68AC"/>
    <w:rsid w:val="000B7F1F"/>
    <w:rsid w:val="000C032B"/>
    <w:rsid w:val="000C0449"/>
    <w:rsid w:val="000C1348"/>
    <w:rsid w:val="000C25EC"/>
    <w:rsid w:val="000C37D1"/>
    <w:rsid w:val="000C38CD"/>
    <w:rsid w:val="000C3AE6"/>
    <w:rsid w:val="000C5AAF"/>
    <w:rsid w:val="000C5C89"/>
    <w:rsid w:val="000D3221"/>
    <w:rsid w:val="000D467F"/>
    <w:rsid w:val="000D4B47"/>
    <w:rsid w:val="000D4E3A"/>
    <w:rsid w:val="000D5805"/>
    <w:rsid w:val="000D5AF3"/>
    <w:rsid w:val="000D7FAB"/>
    <w:rsid w:val="000E0888"/>
    <w:rsid w:val="000E0897"/>
    <w:rsid w:val="000E12C9"/>
    <w:rsid w:val="000E2086"/>
    <w:rsid w:val="000E476D"/>
    <w:rsid w:val="000E4FDF"/>
    <w:rsid w:val="000E74CC"/>
    <w:rsid w:val="000E7671"/>
    <w:rsid w:val="000E78F8"/>
    <w:rsid w:val="000E79D7"/>
    <w:rsid w:val="000E7FA5"/>
    <w:rsid w:val="000F0B65"/>
    <w:rsid w:val="000F1F13"/>
    <w:rsid w:val="000F4DAE"/>
    <w:rsid w:val="000F4FD9"/>
    <w:rsid w:val="000F666D"/>
    <w:rsid w:val="000F7C83"/>
    <w:rsid w:val="00100EDE"/>
    <w:rsid w:val="00101477"/>
    <w:rsid w:val="0010195E"/>
    <w:rsid w:val="001023D4"/>
    <w:rsid w:val="0010273C"/>
    <w:rsid w:val="00102E75"/>
    <w:rsid w:val="00105D86"/>
    <w:rsid w:val="00107495"/>
    <w:rsid w:val="001078C5"/>
    <w:rsid w:val="001117BE"/>
    <w:rsid w:val="001119AC"/>
    <w:rsid w:val="00113C26"/>
    <w:rsid w:val="00114347"/>
    <w:rsid w:val="00114B4D"/>
    <w:rsid w:val="0011555F"/>
    <w:rsid w:val="0011630E"/>
    <w:rsid w:val="00117B7F"/>
    <w:rsid w:val="00117BB6"/>
    <w:rsid w:val="00120078"/>
    <w:rsid w:val="00122C19"/>
    <w:rsid w:val="00123E97"/>
    <w:rsid w:val="001249F5"/>
    <w:rsid w:val="001268A2"/>
    <w:rsid w:val="001337A9"/>
    <w:rsid w:val="00135578"/>
    <w:rsid w:val="00135A86"/>
    <w:rsid w:val="001416DD"/>
    <w:rsid w:val="00142E37"/>
    <w:rsid w:val="00144252"/>
    <w:rsid w:val="0014491D"/>
    <w:rsid w:val="00145120"/>
    <w:rsid w:val="001453B3"/>
    <w:rsid w:val="00145460"/>
    <w:rsid w:val="00146EF9"/>
    <w:rsid w:val="00147247"/>
    <w:rsid w:val="00147883"/>
    <w:rsid w:val="00151E99"/>
    <w:rsid w:val="00153093"/>
    <w:rsid w:val="00153772"/>
    <w:rsid w:val="00154682"/>
    <w:rsid w:val="00154811"/>
    <w:rsid w:val="00154A92"/>
    <w:rsid w:val="00154B49"/>
    <w:rsid w:val="00154FAD"/>
    <w:rsid w:val="001571B8"/>
    <w:rsid w:val="00157258"/>
    <w:rsid w:val="00157426"/>
    <w:rsid w:val="0015773B"/>
    <w:rsid w:val="00157924"/>
    <w:rsid w:val="00167239"/>
    <w:rsid w:val="00167E31"/>
    <w:rsid w:val="00171617"/>
    <w:rsid w:val="001719D5"/>
    <w:rsid w:val="00172AB6"/>
    <w:rsid w:val="00172EC8"/>
    <w:rsid w:val="00173020"/>
    <w:rsid w:val="00174062"/>
    <w:rsid w:val="0017413E"/>
    <w:rsid w:val="00174769"/>
    <w:rsid w:val="0017525D"/>
    <w:rsid w:val="001759A6"/>
    <w:rsid w:val="00175B1C"/>
    <w:rsid w:val="001760B1"/>
    <w:rsid w:val="0017779A"/>
    <w:rsid w:val="00177F9A"/>
    <w:rsid w:val="001804D0"/>
    <w:rsid w:val="001805B6"/>
    <w:rsid w:val="0018169C"/>
    <w:rsid w:val="00181BCA"/>
    <w:rsid w:val="00183BE6"/>
    <w:rsid w:val="00183D74"/>
    <w:rsid w:val="001857AB"/>
    <w:rsid w:val="00186B13"/>
    <w:rsid w:val="00190DDF"/>
    <w:rsid w:val="001911E7"/>
    <w:rsid w:val="001918A5"/>
    <w:rsid w:val="0019190A"/>
    <w:rsid w:val="00191D00"/>
    <w:rsid w:val="001946AA"/>
    <w:rsid w:val="001950EB"/>
    <w:rsid w:val="00195920"/>
    <w:rsid w:val="00195B28"/>
    <w:rsid w:val="00197A16"/>
    <w:rsid w:val="001A128E"/>
    <w:rsid w:val="001A1711"/>
    <w:rsid w:val="001A37E3"/>
    <w:rsid w:val="001A6400"/>
    <w:rsid w:val="001B0A87"/>
    <w:rsid w:val="001B1890"/>
    <w:rsid w:val="001B2941"/>
    <w:rsid w:val="001B43F1"/>
    <w:rsid w:val="001B54B6"/>
    <w:rsid w:val="001B7653"/>
    <w:rsid w:val="001C0914"/>
    <w:rsid w:val="001C18E5"/>
    <w:rsid w:val="001C2865"/>
    <w:rsid w:val="001C408D"/>
    <w:rsid w:val="001C4181"/>
    <w:rsid w:val="001C5735"/>
    <w:rsid w:val="001C574D"/>
    <w:rsid w:val="001C7A16"/>
    <w:rsid w:val="001D1595"/>
    <w:rsid w:val="001D2BD6"/>
    <w:rsid w:val="001D2EC4"/>
    <w:rsid w:val="001D4924"/>
    <w:rsid w:val="001D573C"/>
    <w:rsid w:val="001D580B"/>
    <w:rsid w:val="001D749A"/>
    <w:rsid w:val="001E026B"/>
    <w:rsid w:val="001E1006"/>
    <w:rsid w:val="001E1220"/>
    <w:rsid w:val="001E1B7B"/>
    <w:rsid w:val="001E1C1C"/>
    <w:rsid w:val="001E1ECE"/>
    <w:rsid w:val="001E23A1"/>
    <w:rsid w:val="001E3780"/>
    <w:rsid w:val="001E48AB"/>
    <w:rsid w:val="001E4950"/>
    <w:rsid w:val="001E590C"/>
    <w:rsid w:val="001F2B1B"/>
    <w:rsid w:val="001F36AA"/>
    <w:rsid w:val="001F3B3D"/>
    <w:rsid w:val="001F68E1"/>
    <w:rsid w:val="001F7233"/>
    <w:rsid w:val="001F728A"/>
    <w:rsid w:val="001F75B4"/>
    <w:rsid w:val="001F7EE9"/>
    <w:rsid w:val="002008F8"/>
    <w:rsid w:val="002016CE"/>
    <w:rsid w:val="00201B6D"/>
    <w:rsid w:val="00202DF3"/>
    <w:rsid w:val="00204278"/>
    <w:rsid w:val="002065CF"/>
    <w:rsid w:val="00206CC0"/>
    <w:rsid w:val="00206D2F"/>
    <w:rsid w:val="0021241E"/>
    <w:rsid w:val="002178FB"/>
    <w:rsid w:val="00221189"/>
    <w:rsid w:val="002212D1"/>
    <w:rsid w:val="00223393"/>
    <w:rsid w:val="00225CF9"/>
    <w:rsid w:val="002314AA"/>
    <w:rsid w:val="00233AD2"/>
    <w:rsid w:val="00234BB4"/>
    <w:rsid w:val="00235B61"/>
    <w:rsid w:val="0023748B"/>
    <w:rsid w:val="00241268"/>
    <w:rsid w:val="00241807"/>
    <w:rsid w:val="00242342"/>
    <w:rsid w:val="0024273A"/>
    <w:rsid w:val="002437B8"/>
    <w:rsid w:val="00244015"/>
    <w:rsid w:val="0024475E"/>
    <w:rsid w:val="00246464"/>
    <w:rsid w:val="00246508"/>
    <w:rsid w:val="00246D2E"/>
    <w:rsid w:val="00251153"/>
    <w:rsid w:val="00251A2E"/>
    <w:rsid w:val="00251B2D"/>
    <w:rsid w:val="00252E39"/>
    <w:rsid w:val="00253F11"/>
    <w:rsid w:val="00254499"/>
    <w:rsid w:val="00254791"/>
    <w:rsid w:val="00256402"/>
    <w:rsid w:val="00257D21"/>
    <w:rsid w:val="00257E76"/>
    <w:rsid w:val="00261674"/>
    <w:rsid w:val="00262219"/>
    <w:rsid w:val="0026348D"/>
    <w:rsid w:val="00263701"/>
    <w:rsid w:val="00263924"/>
    <w:rsid w:val="002659C1"/>
    <w:rsid w:val="00266685"/>
    <w:rsid w:val="00266C07"/>
    <w:rsid w:val="00267534"/>
    <w:rsid w:val="00273EC6"/>
    <w:rsid w:val="0027600D"/>
    <w:rsid w:val="0028610B"/>
    <w:rsid w:val="00290FC0"/>
    <w:rsid w:val="002921C7"/>
    <w:rsid w:val="00293423"/>
    <w:rsid w:val="0029350A"/>
    <w:rsid w:val="00294CAC"/>
    <w:rsid w:val="002A19D9"/>
    <w:rsid w:val="002A3751"/>
    <w:rsid w:val="002A40F3"/>
    <w:rsid w:val="002A6B44"/>
    <w:rsid w:val="002A6EEA"/>
    <w:rsid w:val="002A6EFD"/>
    <w:rsid w:val="002A7263"/>
    <w:rsid w:val="002B091B"/>
    <w:rsid w:val="002B12EE"/>
    <w:rsid w:val="002B1EDA"/>
    <w:rsid w:val="002B428C"/>
    <w:rsid w:val="002B5EB9"/>
    <w:rsid w:val="002C0A83"/>
    <w:rsid w:val="002C3570"/>
    <w:rsid w:val="002C3FD1"/>
    <w:rsid w:val="002C675A"/>
    <w:rsid w:val="002C6FBA"/>
    <w:rsid w:val="002C7FDA"/>
    <w:rsid w:val="002D0538"/>
    <w:rsid w:val="002D14E8"/>
    <w:rsid w:val="002D17B4"/>
    <w:rsid w:val="002D299C"/>
    <w:rsid w:val="002D2B23"/>
    <w:rsid w:val="002D34C8"/>
    <w:rsid w:val="002D3642"/>
    <w:rsid w:val="002D44A2"/>
    <w:rsid w:val="002D475A"/>
    <w:rsid w:val="002D4981"/>
    <w:rsid w:val="002D6897"/>
    <w:rsid w:val="002D785F"/>
    <w:rsid w:val="002E08BD"/>
    <w:rsid w:val="002E2B1F"/>
    <w:rsid w:val="002E3983"/>
    <w:rsid w:val="002E4107"/>
    <w:rsid w:val="002E4AD5"/>
    <w:rsid w:val="002E579D"/>
    <w:rsid w:val="002E5B3C"/>
    <w:rsid w:val="002F0053"/>
    <w:rsid w:val="002F26B4"/>
    <w:rsid w:val="002F2D80"/>
    <w:rsid w:val="002F305B"/>
    <w:rsid w:val="002F33A2"/>
    <w:rsid w:val="002F3A3B"/>
    <w:rsid w:val="002F5354"/>
    <w:rsid w:val="002F5FE8"/>
    <w:rsid w:val="002F73A5"/>
    <w:rsid w:val="003001B9"/>
    <w:rsid w:val="00302528"/>
    <w:rsid w:val="00302910"/>
    <w:rsid w:val="00302E8B"/>
    <w:rsid w:val="0030459F"/>
    <w:rsid w:val="00304B87"/>
    <w:rsid w:val="00304B9B"/>
    <w:rsid w:val="00305DC7"/>
    <w:rsid w:val="003068C2"/>
    <w:rsid w:val="00306E43"/>
    <w:rsid w:val="00307DB4"/>
    <w:rsid w:val="00310183"/>
    <w:rsid w:val="003106AE"/>
    <w:rsid w:val="00310807"/>
    <w:rsid w:val="00310E41"/>
    <w:rsid w:val="003113FE"/>
    <w:rsid w:val="00312022"/>
    <w:rsid w:val="00312EF5"/>
    <w:rsid w:val="003139BC"/>
    <w:rsid w:val="00314507"/>
    <w:rsid w:val="00314828"/>
    <w:rsid w:val="00314874"/>
    <w:rsid w:val="00314BDB"/>
    <w:rsid w:val="00315EAE"/>
    <w:rsid w:val="003164AE"/>
    <w:rsid w:val="00316DAC"/>
    <w:rsid w:val="003206B0"/>
    <w:rsid w:val="003208E0"/>
    <w:rsid w:val="0032111F"/>
    <w:rsid w:val="00321C36"/>
    <w:rsid w:val="003242E0"/>
    <w:rsid w:val="00324D0E"/>
    <w:rsid w:val="003263C5"/>
    <w:rsid w:val="00327188"/>
    <w:rsid w:val="00330307"/>
    <w:rsid w:val="00330854"/>
    <w:rsid w:val="00330BF8"/>
    <w:rsid w:val="003318E2"/>
    <w:rsid w:val="00331EFC"/>
    <w:rsid w:val="00333350"/>
    <w:rsid w:val="00334AB5"/>
    <w:rsid w:val="003353B6"/>
    <w:rsid w:val="003379D1"/>
    <w:rsid w:val="003400A1"/>
    <w:rsid w:val="003403D9"/>
    <w:rsid w:val="00341089"/>
    <w:rsid w:val="00342ADD"/>
    <w:rsid w:val="00342F8D"/>
    <w:rsid w:val="00343E9D"/>
    <w:rsid w:val="00345584"/>
    <w:rsid w:val="003455E0"/>
    <w:rsid w:val="00345A15"/>
    <w:rsid w:val="00346353"/>
    <w:rsid w:val="0034681D"/>
    <w:rsid w:val="00346D57"/>
    <w:rsid w:val="00352B77"/>
    <w:rsid w:val="0035396C"/>
    <w:rsid w:val="00353CCA"/>
    <w:rsid w:val="003566FE"/>
    <w:rsid w:val="0035789C"/>
    <w:rsid w:val="003616B3"/>
    <w:rsid w:val="00363595"/>
    <w:rsid w:val="00365DA0"/>
    <w:rsid w:val="00370406"/>
    <w:rsid w:val="00370BDB"/>
    <w:rsid w:val="0037291A"/>
    <w:rsid w:val="00374757"/>
    <w:rsid w:val="0037509B"/>
    <w:rsid w:val="00376B62"/>
    <w:rsid w:val="00381ECC"/>
    <w:rsid w:val="00382DA1"/>
    <w:rsid w:val="0038377F"/>
    <w:rsid w:val="00383ECF"/>
    <w:rsid w:val="00387EAC"/>
    <w:rsid w:val="00390893"/>
    <w:rsid w:val="00391825"/>
    <w:rsid w:val="00391B43"/>
    <w:rsid w:val="00391E27"/>
    <w:rsid w:val="0039297B"/>
    <w:rsid w:val="00392B59"/>
    <w:rsid w:val="00393C32"/>
    <w:rsid w:val="00394964"/>
    <w:rsid w:val="00394C5F"/>
    <w:rsid w:val="00395A79"/>
    <w:rsid w:val="0039611B"/>
    <w:rsid w:val="003962B4"/>
    <w:rsid w:val="00397275"/>
    <w:rsid w:val="003A04C1"/>
    <w:rsid w:val="003A0754"/>
    <w:rsid w:val="003A0B14"/>
    <w:rsid w:val="003A1B67"/>
    <w:rsid w:val="003A345F"/>
    <w:rsid w:val="003A3C73"/>
    <w:rsid w:val="003A60EB"/>
    <w:rsid w:val="003A6CE2"/>
    <w:rsid w:val="003A72F3"/>
    <w:rsid w:val="003A7C06"/>
    <w:rsid w:val="003B33E2"/>
    <w:rsid w:val="003C03FF"/>
    <w:rsid w:val="003C1505"/>
    <w:rsid w:val="003C4936"/>
    <w:rsid w:val="003C60A2"/>
    <w:rsid w:val="003C79A8"/>
    <w:rsid w:val="003D1596"/>
    <w:rsid w:val="003D1A10"/>
    <w:rsid w:val="003D26A5"/>
    <w:rsid w:val="003D31FC"/>
    <w:rsid w:val="003D369C"/>
    <w:rsid w:val="003D41C2"/>
    <w:rsid w:val="003D67FD"/>
    <w:rsid w:val="003D6F89"/>
    <w:rsid w:val="003D7C75"/>
    <w:rsid w:val="003D7CDD"/>
    <w:rsid w:val="003E06E3"/>
    <w:rsid w:val="003E4ED0"/>
    <w:rsid w:val="003E5237"/>
    <w:rsid w:val="003E543A"/>
    <w:rsid w:val="003E64EE"/>
    <w:rsid w:val="003E6D96"/>
    <w:rsid w:val="003F0B91"/>
    <w:rsid w:val="003F24A0"/>
    <w:rsid w:val="003F2940"/>
    <w:rsid w:val="003F68CF"/>
    <w:rsid w:val="003F6A14"/>
    <w:rsid w:val="00400965"/>
    <w:rsid w:val="00400DBA"/>
    <w:rsid w:val="00401DD8"/>
    <w:rsid w:val="00402E40"/>
    <w:rsid w:val="00403156"/>
    <w:rsid w:val="00404768"/>
    <w:rsid w:val="00405521"/>
    <w:rsid w:val="004056A9"/>
    <w:rsid w:val="0040670D"/>
    <w:rsid w:val="004101E1"/>
    <w:rsid w:val="0041022C"/>
    <w:rsid w:val="00411A9A"/>
    <w:rsid w:val="0041447F"/>
    <w:rsid w:val="0041745E"/>
    <w:rsid w:val="00417924"/>
    <w:rsid w:val="00420733"/>
    <w:rsid w:val="0042118F"/>
    <w:rsid w:val="00421580"/>
    <w:rsid w:val="00422AD5"/>
    <w:rsid w:val="00423BE2"/>
    <w:rsid w:val="004244F2"/>
    <w:rsid w:val="00424C6A"/>
    <w:rsid w:val="00427C73"/>
    <w:rsid w:val="0043014B"/>
    <w:rsid w:val="0043082D"/>
    <w:rsid w:val="00430DB2"/>
    <w:rsid w:val="00434DA2"/>
    <w:rsid w:val="004361C0"/>
    <w:rsid w:val="00440295"/>
    <w:rsid w:val="00440BFC"/>
    <w:rsid w:val="004444B1"/>
    <w:rsid w:val="00445931"/>
    <w:rsid w:val="00446874"/>
    <w:rsid w:val="00446F52"/>
    <w:rsid w:val="00450FCB"/>
    <w:rsid w:val="0045148B"/>
    <w:rsid w:val="004529AA"/>
    <w:rsid w:val="00453683"/>
    <w:rsid w:val="00454472"/>
    <w:rsid w:val="00456A55"/>
    <w:rsid w:val="00456C2E"/>
    <w:rsid w:val="004572A3"/>
    <w:rsid w:val="004608AF"/>
    <w:rsid w:val="004617CD"/>
    <w:rsid w:val="00461986"/>
    <w:rsid w:val="00462E7E"/>
    <w:rsid w:val="00463D01"/>
    <w:rsid w:val="00464432"/>
    <w:rsid w:val="00465623"/>
    <w:rsid w:val="00466007"/>
    <w:rsid w:val="00466BBB"/>
    <w:rsid w:val="00466D2A"/>
    <w:rsid w:val="00466EBF"/>
    <w:rsid w:val="00466F13"/>
    <w:rsid w:val="0046710B"/>
    <w:rsid w:val="00467327"/>
    <w:rsid w:val="00467BA9"/>
    <w:rsid w:val="00471496"/>
    <w:rsid w:val="00474D41"/>
    <w:rsid w:val="00475AD6"/>
    <w:rsid w:val="00484847"/>
    <w:rsid w:val="00484EEE"/>
    <w:rsid w:val="004854DC"/>
    <w:rsid w:val="00485EF1"/>
    <w:rsid w:val="004862E9"/>
    <w:rsid w:val="004863CC"/>
    <w:rsid w:val="00486461"/>
    <w:rsid w:val="00487662"/>
    <w:rsid w:val="004877DD"/>
    <w:rsid w:val="00487C9E"/>
    <w:rsid w:val="00490110"/>
    <w:rsid w:val="0049014A"/>
    <w:rsid w:val="004904F5"/>
    <w:rsid w:val="00491BB2"/>
    <w:rsid w:val="0049395C"/>
    <w:rsid w:val="00493C1C"/>
    <w:rsid w:val="004961CC"/>
    <w:rsid w:val="00496387"/>
    <w:rsid w:val="004977C0"/>
    <w:rsid w:val="004A006A"/>
    <w:rsid w:val="004A0371"/>
    <w:rsid w:val="004A264E"/>
    <w:rsid w:val="004A2693"/>
    <w:rsid w:val="004A3CCD"/>
    <w:rsid w:val="004A4130"/>
    <w:rsid w:val="004A6057"/>
    <w:rsid w:val="004A6ACA"/>
    <w:rsid w:val="004A7448"/>
    <w:rsid w:val="004B140C"/>
    <w:rsid w:val="004B29C0"/>
    <w:rsid w:val="004B2CF9"/>
    <w:rsid w:val="004B38AF"/>
    <w:rsid w:val="004B6FB4"/>
    <w:rsid w:val="004B77BA"/>
    <w:rsid w:val="004C18A4"/>
    <w:rsid w:val="004C27C0"/>
    <w:rsid w:val="004C3DA2"/>
    <w:rsid w:val="004C4B2C"/>
    <w:rsid w:val="004C5940"/>
    <w:rsid w:val="004D2158"/>
    <w:rsid w:val="004D301B"/>
    <w:rsid w:val="004D32C6"/>
    <w:rsid w:val="004D59C7"/>
    <w:rsid w:val="004D5D45"/>
    <w:rsid w:val="004D741F"/>
    <w:rsid w:val="004E317D"/>
    <w:rsid w:val="004E370E"/>
    <w:rsid w:val="004E3F61"/>
    <w:rsid w:val="004E4930"/>
    <w:rsid w:val="004E6DD6"/>
    <w:rsid w:val="004E7C83"/>
    <w:rsid w:val="004F084B"/>
    <w:rsid w:val="004F1DCF"/>
    <w:rsid w:val="004F530B"/>
    <w:rsid w:val="004F5792"/>
    <w:rsid w:val="004F5AB9"/>
    <w:rsid w:val="004F6963"/>
    <w:rsid w:val="005003A9"/>
    <w:rsid w:val="00500DB5"/>
    <w:rsid w:val="00501A5F"/>
    <w:rsid w:val="00502440"/>
    <w:rsid w:val="00502740"/>
    <w:rsid w:val="00504524"/>
    <w:rsid w:val="00504FD9"/>
    <w:rsid w:val="005065D9"/>
    <w:rsid w:val="005102A5"/>
    <w:rsid w:val="00510D64"/>
    <w:rsid w:val="0051159D"/>
    <w:rsid w:val="00512100"/>
    <w:rsid w:val="00512525"/>
    <w:rsid w:val="00513ACA"/>
    <w:rsid w:val="00514E02"/>
    <w:rsid w:val="0051539D"/>
    <w:rsid w:val="005154F2"/>
    <w:rsid w:val="00516277"/>
    <w:rsid w:val="00523691"/>
    <w:rsid w:val="0052375C"/>
    <w:rsid w:val="0052385D"/>
    <w:rsid w:val="00524970"/>
    <w:rsid w:val="00525033"/>
    <w:rsid w:val="005268B0"/>
    <w:rsid w:val="0053048A"/>
    <w:rsid w:val="00531D24"/>
    <w:rsid w:val="00531FDD"/>
    <w:rsid w:val="00532D9B"/>
    <w:rsid w:val="0053377E"/>
    <w:rsid w:val="005365AF"/>
    <w:rsid w:val="00537898"/>
    <w:rsid w:val="00540C56"/>
    <w:rsid w:val="00540ECC"/>
    <w:rsid w:val="005429DB"/>
    <w:rsid w:val="00547F73"/>
    <w:rsid w:val="00550D38"/>
    <w:rsid w:val="00551D47"/>
    <w:rsid w:val="005524AC"/>
    <w:rsid w:val="005526AC"/>
    <w:rsid w:val="005537C0"/>
    <w:rsid w:val="0055396F"/>
    <w:rsid w:val="005547F5"/>
    <w:rsid w:val="00554B97"/>
    <w:rsid w:val="00556849"/>
    <w:rsid w:val="00557E76"/>
    <w:rsid w:val="00561E76"/>
    <w:rsid w:val="00561EDB"/>
    <w:rsid w:val="00562CF1"/>
    <w:rsid w:val="005644D7"/>
    <w:rsid w:val="00564B88"/>
    <w:rsid w:val="0056596E"/>
    <w:rsid w:val="00565A0D"/>
    <w:rsid w:val="00567898"/>
    <w:rsid w:val="005708F7"/>
    <w:rsid w:val="00570E96"/>
    <w:rsid w:val="00572122"/>
    <w:rsid w:val="00572429"/>
    <w:rsid w:val="005729E5"/>
    <w:rsid w:val="00573697"/>
    <w:rsid w:val="00575127"/>
    <w:rsid w:val="005769CF"/>
    <w:rsid w:val="005775BD"/>
    <w:rsid w:val="00577AA1"/>
    <w:rsid w:val="00581353"/>
    <w:rsid w:val="005813DE"/>
    <w:rsid w:val="0058214C"/>
    <w:rsid w:val="005840A5"/>
    <w:rsid w:val="00584C3C"/>
    <w:rsid w:val="005852E7"/>
    <w:rsid w:val="005859B7"/>
    <w:rsid w:val="00591A86"/>
    <w:rsid w:val="005A07D7"/>
    <w:rsid w:val="005A2D88"/>
    <w:rsid w:val="005A5E00"/>
    <w:rsid w:val="005A67CC"/>
    <w:rsid w:val="005A6C0C"/>
    <w:rsid w:val="005A6CEF"/>
    <w:rsid w:val="005A7182"/>
    <w:rsid w:val="005B0444"/>
    <w:rsid w:val="005B07B2"/>
    <w:rsid w:val="005B08C4"/>
    <w:rsid w:val="005B1B96"/>
    <w:rsid w:val="005B2AB7"/>
    <w:rsid w:val="005B3DE8"/>
    <w:rsid w:val="005B4231"/>
    <w:rsid w:val="005B4740"/>
    <w:rsid w:val="005B4D07"/>
    <w:rsid w:val="005B64A1"/>
    <w:rsid w:val="005B6718"/>
    <w:rsid w:val="005B6EDF"/>
    <w:rsid w:val="005B7E45"/>
    <w:rsid w:val="005C0506"/>
    <w:rsid w:val="005C07ED"/>
    <w:rsid w:val="005C2503"/>
    <w:rsid w:val="005C3A84"/>
    <w:rsid w:val="005C3F0B"/>
    <w:rsid w:val="005C4C60"/>
    <w:rsid w:val="005C6238"/>
    <w:rsid w:val="005C630A"/>
    <w:rsid w:val="005C63D7"/>
    <w:rsid w:val="005C663E"/>
    <w:rsid w:val="005C708E"/>
    <w:rsid w:val="005C779B"/>
    <w:rsid w:val="005D0D08"/>
    <w:rsid w:val="005D10D8"/>
    <w:rsid w:val="005D13E0"/>
    <w:rsid w:val="005D2AD0"/>
    <w:rsid w:val="005D3BE3"/>
    <w:rsid w:val="005D4335"/>
    <w:rsid w:val="005D730F"/>
    <w:rsid w:val="005D7798"/>
    <w:rsid w:val="005E1D71"/>
    <w:rsid w:val="005E40E4"/>
    <w:rsid w:val="005E4D53"/>
    <w:rsid w:val="005E6638"/>
    <w:rsid w:val="005E7450"/>
    <w:rsid w:val="005E7DB1"/>
    <w:rsid w:val="005E7FA1"/>
    <w:rsid w:val="005F0011"/>
    <w:rsid w:val="005F0AF4"/>
    <w:rsid w:val="005F0B8A"/>
    <w:rsid w:val="005F25CD"/>
    <w:rsid w:val="005F5025"/>
    <w:rsid w:val="005F654D"/>
    <w:rsid w:val="005F74D9"/>
    <w:rsid w:val="005F768F"/>
    <w:rsid w:val="005F7FFC"/>
    <w:rsid w:val="00600E1F"/>
    <w:rsid w:val="0060225A"/>
    <w:rsid w:val="00604431"/>
    <w:rsid w:val="006068CC"/>
    <w:rsid w:val="00607DE2"/>
    <w:rsid w:val="00611AFF"/>
    <w:rsid w:val="006120A6"/>
    <w:rsid w:val="006121FA"/>
    <w:rsid w:val="00613319"/>
    <w:rsid w:val="006150BA"/>
    <w:rsid w:val="00616044"/>
    <w:rsid w:val="00617F3D"/>
    <w:rsid w:val="00622757"/>
    <w:rsid w:val="00625520"/>
    <w:rsid w:val="00626FE4"/>
    <w:rsid w:val="006272F1"/>
    <w:rsid w:val="0064084D"/>
    <w:rsid w:val="00642EF7"/>
    <w:rsid w:val="00643088"/>
    <w:rsid w:val="006438A4"/>
    <w:rsid w:val="006439E2"/>
    <w:rsid w:val="00643C1C"/>
    <w:rsid w:val="0064520B"/>
    <w:rsid w:val="00645787"/>
    <w:rsid w:val="00647266"/>
    <w:rsid w:val="00647438"/>
    <w:rsid w:val="00647A89"/>
    <w:rsid w:val="00653903"/>
    <w:rsid w:val="00653BC5"/>
    <w:rsid w:val="00654F4E"/>
    <w:rsid w:val="00655877"/>
    <w:rsid w:val="0065637C"/>
    <w:rsid w:val="0066071C"/>
    <w:rsid w:val="006616F2"/>
    <w:rsid w:val="00663D60"/>
    <w:rsid w:val="00665D97"/>
    <w:rsid w:val="0066718F"/>
    <w:rsid w:val="00667D8A"/>
    <w:rsid w:val="00670020"/>
    <w:rsid w:val="0067012E"/>
    <w:rsid w:val="00670722"/>
    <w:rsid w:val="006711F2"/>
    <w:rsid w:val="00671BF7"/>
    <w:rsid w:val="00673CD9"/>
    <w:rsid w:val="00674807"/>
    <w:rsid w:val="00674FA5"/>
    <w:rsid w:val="00677925"/>
    <w:rsid w:val="006800ED"/>
    <w:rsid w:val="00683245"/>
    <w:rsid w:val="006834CF"/>
    <w:rsid w:val="0068452E"/>
    <w:rsid w:val="00685A37"/>
    <w:rsid w:val="0068657F"/>
    <w:rsid w:val="006871C0"/>
    <w:rsid w:val="006908BB"/>
    <w:rsid w:val="0069187B"/>
    <w:rsid w:val="00691F61"/>
    <w:rsid w:val="00693554"/>
    <w:rsid w:val="00695146"/>
    <w:rsid w:val="00695460"/>
    <w:rsid w:val="00695889"/>
    <w:rsid w:val="006A0C3A"/>
    <w:rsid w:val="006A0D5A"/>
    <w:rsid w:val="006A33CC"/>
    <w:rsid w:val="006B0178"/>
    <w:rsid w:val="006B0A32"/>
    <w:rsid w:val="006B46D2"/>
    <w:rsid w:val="006B58C2"/>
    <w:rsid w:val="006B61AB"/>
    <w:rsid w:val="006B652E"/>
    <w:rsid w:val="006C022D"/>
    <w:rsid w:val="006C0EDC"/>
    <w:rsid w:val="006C1C39"/>
    <w:rsid w:val="006C2197"/>
    <w:rsid w:val="006C32C7"/>
    <w:rsid w:val="006C3703"/>
    <w:rsid w:val="006C4E0C"/>
    <w:rsid w:val="006C5CAD"/>
    <w:rsid w:val="006C6185"/>
    <w:rsid w:val="006C6DB8"/>
    <w:rsid w:val="006C730F"/>
    <w:rsid w:val="006C7F9A"/>
    <w:rsid w:val="006D15E3"/>
    <w:rsid w:val="006D2DC5"/>
    <w:rsid w:val="006D33A0"/>
    <w:rsid w:val="006D4B9C"/>
    <w:rsid w:val="006D4BE2"/>
    <w:rsid w:val="006D4DC0"/>
    <w:rsid w:val="006D681A"/>
    <w:rsid w:val="006D7B3B"/>
    <w:rsid w:val="006D7D56"/>
    <w:rsid w:val="006E0E0A"/>
    <w:rsid w:val="006E1DB2"/>
    <w:rsid w:val="006E2CB9"/>
    <w:rsid w:val="006E410F"/>
    <w:rsid w:val="006E6824"/>
    <w:rsid w:val="006E78FE"/>
    <w:rsid w:val="006F03FD"/>
    <w:rsid w:val="006F08B6"/>
    <w:rsid w:val="006F265B"/>
    <w:rsid w:val="006F2E0B"/>
    <w:rsid w:val="006F4077"/>
    <w:rsid w:val="006F4D1A"/>
    <w:rsid w:val="006F5906"/>
    <w:rsid w:val="006F7F4B"/>
    <w:rsid w:val="006F7FBF"/>
    <w:rsid w:val="00700581"/>
    <w:rsid w:val="007028B0"/>
    <w:rsid w:val="0070299F"/>
    <w:rsid w:val="00703A89"/>
    <w:rsid w:val="007042FF"/>
    <w:rsid w:val="00706EE0"/>
    <w:rsid w:val="00710234"/>
    <w:rsid w:val="00710A9A"/>
    <w:rsid w:val="00710BFF"/>
    <w:rsid w:val="007116F4"/>
    <w:rsid w:val="00711A44"/>
    <w:rsid w:val="00712520"/>
    <w:rsid w:val="00712EAE"/>
    <w:rsid w:val="007140DB"/>
    <w:rsid w:val="0071422A"/>
    <w:rsid w:val="00716D37"/>
    <w:rsid w:val="00722743"/>
    <w:rsid w:val="007242D5"/>
    <w:rsid w:val="00725400"/>
    <w:rsid w:val="00725D2D"/>
    <w:rsid w:val="00725DAE"/>
    <w:rsid w:val="00725F15"/>
    <w:rsid w:val="00726C51"/>
    <w:rsid w:val="0072781D"/>
    <w:rsid w:val="0072793C"/>
    <w:rsid w:val="007300CE"/>
    <w:rsid w:val="00732717"/>
    <w:rsid w:val="007336DB"/>
    <w:rsid w:val="0073388F"/>
    <w:rsid w:val="00734A90"/>
    <w:rsid w:val="00737061"/>
    <w:rsid w:val="00737B5C"/>
    <w:rsid w:val="00741EB7"/>
    <w:rsid w:val="007428CF"/>
    <w:rsid w:val="00744B41"/>
    <w:rsid w:val="0074598C"/>
    <w:rsid w:val="00745E48"/>
    <w:rsid w:val="00750BB6"/>
    <w:rsid w:val="00750BFD"/>
    <w:rsid w:val="0075185D"/>
    <w:rsid w:val="00753E71"/>
    <w:rsid w:val="00754A2B"/>
    <w:rsid w:val="0075555B"/>
    <w:rsid w:val="0075761A"/>
    <w:rsid w:val="00757916"/>
    <w:rsid w:val="00760F28"/>
    <w:rsid w:val="0076172D"/>
    <w:rsid w:val="007622B7"/>
    <w:rsid w:val="00763A0A"/>
    <w:rsid w:val="00766283"/>
    <w:rsid w:val="00767D9B"/>
    <w:rsid w:val="0077004B"/>
    <w:rsid w:val="00770129"/>
    <w:rsid w:val="007765F8"/>
    <w:rsid w:val="00776CE8"/>
    <w:rsid w:val="00776FB0"/>
    <w:rsid w:val="007779EF"/>
    <w:rsid w:val="00782CA9"/>
    <w:rsid w:val="00783A65"/>
    <w:rsid w:val="00784BFA"/>
    <w:rsid w:val="00784FBA"/>
    <w:rsid w:val="00785FD9"/>
    <w:rsid w:val="0079039C"/>
    <w:rsid w:val="0079052A"/>
    <w:rsid w:val="00790D5A"/>
    <w:rsid w:val="007930FC"/>
    <w:rsid w:val="00793C2E"/>
    <w:rsid w:val="00793FBD"/>
    <w:rsid w:val="00794E5F"/>
    <w:rsid w:val="00795A02"/>
    <w:rsid w:val="00796CAA"/>
    <w:rsid w:val="007A0C70"/>
    <w:rsid w:val="007A201D"/>
    <w:rsid w:val="007A3DE6"/>
    <w:rsid w:val="007A620B"/>
    <w:rsid w:val="007A681A"/>
    <w:rsid w:val="007A71DC"/>
    <w:rsid w:val="007B5390"/>
    <w:rsid w:val="007C23B8"/>
    <w:rsid w:val="007C37DE"/>
    <w:rsid w:val="007C382D"/>
    <w:rsid w:val="007C3E7C"/>
    <w:rsid w:val="007C461E"/>
    <w:rsid w:val="007C4FBC"/>
    <w:rsid w:val="007C55A0"/>
    <w:rsid w:val="007C5963"/>
    <w:rsid w:val="007C7099"/>
    <w:rsid w:val="007C75CE"/>
    <w:rsid w:val="007C7D7A"/>
    <w:rsid w:val="007D21EB"/>
    <w:rsid w:val="007D2A61"/>
    <w:rsid w:val="007D4958"/>
    <w:rsid w:val="007D4B9F"/>
    <w:rsid w:val="007D626B"/>
    <w:rsid w:val="007D65FC"/>
    <w:rsid w:val="007D6E4F"/>
    <w:rsid w:val="007E086F"/>
    <w:rsid w:val="007E1A7A"/>
    <w:rsid w:val="007E2B3E"/>
    <w:rsid w:val="007E3CD9"/>
    <w:rsid w:val="007E41D7"/>
    <w:rsid w:val="007E5224"/>
    <w:rsid w:val="007E5C57"/>
    <w:rsid w:val="007E5DEE"/>
    <w:rsid w:val="007F418E"/>
    <w:rsid w:val="00801112"/>
    <w:rsid w:val="00801955"/>
    <w:rsid w:val="00802795"/>
    <w:rsid w:val="00802C4C"/>
    <w:rsid w:val="008034CF"/>
    <w:rsid w:val="00803F4D"/>
    <w:rsid w:val="008056A5"/>
    <w:rsid w:val="00805A6C"/>
    <w:rsid w:val="00807735"/>
    <w:rsid w:val="00807CAC"/>
    <w:rsid w:val="008106A4"/>
    <w:rsid w:val="00810F86"/>
    <w:rsid w:val="00812099"/>
    <w:rsid w:val="0081498E"/>
    <w:rsid w:val="00815AAE"/>
    <w:rsid w:val="00816952"/>
    <w:rsid w:val="008178C4"/>
    <w:rsid w:val="008200E7"/>
    <w:rsid w:val="00821B0E"/>
    <w:rsid w:val="008226C4"/>
    <w:rsid w:val="00822C00"/>
    <w:rsid w:val="0082321B"/>
    <w:rsid w:val="008242A4"/>
    <w:rsid w:val="008250C8"/>
    <w:rsid w:val="008253F0"/>
    <w:rsid w:val="008255D5"/>
    <w:rsid w:val="00826538"/>
    <w:rsid w:val="00826FDA"/>
    <w:rsid w:val="00830212"/>
    <w:rsid w:val="008330F0"/>
    <w:rsid w:val="00833686"/>
    <w:rsid w:val="00833A48"/>
    <w:rsid w:val="00834BC5"/>
    <w:rsid w:val="00836F88"/>
    <w:rsid w:val="00837877"/>
    <w:rsid w:val="00837CF6"/>
    <w:rsid w:val="00840131"/>
    <w:rsid w:val="00840255"/>
    <w:rsid w:val="00840FE9"/>
    <w:rsid w:val="008420CE"/>
    <w:rsid w:val="00842813"/>
    <w:rsid w:val="008437A5"/>
    <w:rsid w:val="00844C2A"/>
    <w:rsid w:val="00844CCB"/>
    <w:rsid w:val="00845058"/>
    <w:rsid w:val="00846FB5"/>
    <w:rsid w:val="0084737E"/>
    <w:rsid w:val="00850C0F"/>
    <w:rsid w:val="00850C97"/>
    <w:rsid w:val="008524F7"/>
    <w:rsid w:val="0085299C"/>
    <w:rsid w:val="00852D76"/>
    <w:rsid w:val="008541A6"/>
    <w:rsid w:val="00855083"/>
    <w:rsid w:val="00860B34"/>
    <w:rsid w:val="00861011"/>
    <w:rsid w:val="00862F4F"/>
    <w:rsid w:val="00864E08"/>
    <w:rsid w:val="0086513B"/>
    <w:rsid w:val="0086673F"/>
    <w:rsid w:val="00871188"/>
    <w:rsid w:val="0087444D"/>
    <w:rsid w:val="00875049"/>
    <w:rsid w:val="008766B1"/>
    <w:rsid w:val="00877475"/>
    <w:rsid w:val="00877BAB"/>
    <w:rsid w:val="00880B02"/>
    <w:rsid w:val="00880F2B"/>
    <w:rsid w:val="008814F3"/>
    <w:rsid w:val="00882B57"/>
    <w:rsid w:val="008841C4"/>
    <w:rsid w:val="008843C7"/>
    <w:rsid w:val="00884415"/>
    <w:rsid w:val="00884DD5"/>
    <w:rsid w:val="008865E0"/>
    <w:rsid w:val="008878A5"/>
    <w:rsid w:val="008905CA"/>
    <w:rsid w:val="0089085B"/>
    <w:rsid w:val="00890CDA"/>
    <w:rsid w:val="00892073"/>
    <w:rsid w:val="0089465A"/>
    <w:rsid w:val="0089747B"/>
    <w:rsid w:val="00897CCB"/>
    <w:rsid w:val="008A00B6"/>
    <w:rsid w:val="008A0D2E"/>
    <w:rsid w:val="008A1F31"/>
    <w:rsid w:val="008A1F96"/>
    <w:rsid w:val="008A21A9"/>
    <w:rsid w:val="008A3B9B"/>
    <w:rsid w:val="008A53A9"/>
    <w:rsid w:val="008A54C6"/>
    <w:rsid w:val="008A670A"/>
    <w:rsid w:val="008A6A35"/>
    <w:rsid w:val="008A71C0"/>
    <w:rsid w:val="008B1F9B"/>
    <w:rsid w:val="008B25C8"/>
    <w:rsid w:val="008B3576"/>
    <w:rsid w:val="008B3E77"/>
    <w:rsid w:val="008B539D"/>
    <w:rsid w:val="008C029D"/>
    <w:rsid w:val="008C2605"/>
    <w:rsid w:val="008C35A8"/>
    <w:rsid w:val="008C4076"/>
    <w:rsid w:val="008C5682"/>
    <w:rsid w:val="008C7024"/>
    <w:rsid w:val="008C75BE"/>
    <w:rsid w:val="008C79E2"/>
    <w:rsid w:val="008C7DCB"/>
    <w:rsid w:val="008D0E18"/>
    <w:rsid w:val="008D208D"/>
    <w:rsid w:val="008D21C5"/>
    <w:rsid w:val="008D25B9"/>
    <w:rsid w:val="008D32E4"/>
    <w:rsid w:val="008D3F42"/>
    <w:rsid w:val="008D780A"/>
    <w:rsid w:val="008E0F06"/>
    <w:rsid w:val="008E183E"/>
    <w:rsid w:val="008E4900"/>
    <w:rsid w:val="008E53AB"/>
    <w:rsid w:val="008F1F67"/>
    <w:rsid w:val="008F567C"/>
    <w:rsid w:val="008F5BBB"/>
    <w:rsid w:val="00900993"/>
    <w:rsid w:val="00903826"/>
    <w:rsid w:val="00903A52"/>
    <w:rsid w:val="00903CB5"/>
    <w:rsid w:val="00903D73"/>
    <w:rsid w:val="009045DE"/>
    <w:rsid w:val="009047E6"/>
    <w:rsid w:val="00904D2F"/>
    <w:rsid w:val="009052A0"/>
    <w:rsid w:val="00905C69"/>
    <w:rsid w:val="00905C6C"/>
    <w:rsid w:val="0090605A"/>
    <w:rsid w:val="009065EB"/>
    <w:rsid w:val="009066D7"/>
    <w:rsid w:val="00911264"/>
    <w:rsid w:val="009114FE"/>
    <w:rsid w:val="009147D4"/>
    <w:rsid w:val="0091713D"/>
    <w:rsid w:val="00917C29"/>
    <w:rsid w:val="00920112"/>
    <w:rsid w:val="00921D15"/>
    <w:rsid w:val="0092277B"/>
    <w:rsid w:val="009242F9"/>
    <w:rsid w:val="00930CCC"/>
    <w:rsid w:val="009314FF"/>
    <w:rsid w:val="00931B4A"/>
    <w:rsid w:val="00935D08"/>
    <w:rsid w:val="0094088C"/>
    <w:rsid w:val="00940CE6"/>
    <w:rsid w:val="00940D0F"/>
    <w:rsid w:val="00942EC0"/>
    <w:rsid w:val="00944C72"/>
    <w:rsid w:val="00944FBF"/>
    <w:rsid w:val="00947726"/>
    <w:rsid w:val="00947803"/>
    <w:rsid w:val="009506CF"/>
    <w:rsid w:val="00950BD1"/>
    <w:rsid w:val="009524A9"/>
    <w:rsid w:val="00953460"/>
    <w:rsid w:val="00955361"/>
    <w:rsid w:val="00955D29"/>
    <w:rsid w:val="009566C1"/>
    <w:rsid w:val="009568C3"/>
    <w:rsid w:val="00957307"/>
    <w:rsid w:val="00960A41"/>
    <w:rsid w:val="0096116A"/>
    <w:rsid w:val="0096144C"/>
    <w:rsid w:val="00961C8E"/>
    <w:rsid w:val="00962CF5"/>
    <w:rsid w:val="00963BB2"/>
    <w:rsid w:val="00963C82"/>
    <w:rsid w:val="00964612"/>
    <w:rsid w:val="009647F5"/>
    <w:rsid w:val="009657B7"/>
    <w:rsid w:val="00966D61"/>
    <w:rsid w:val="0097254F"/>
    <w:rsid w:val="00972F6D"/>
    <w:rsid w:val="00973F0B"/>
    <w:rsid w:val="00975265"/>
    <w:rsid w:val="009758C6"/>
    <w:rsid w:val="00980CF7"/>
    <w:rsid w:val="0098147D"/>
    <w:rsid w:val="00983D1C"/>
    <w:rsid w:val="009850E5"/>
    <w:rsid w:val="00985EA1"/>
    <w:rsid w:val="009862B8"/>
    <w:rsid w:val="00986432"/>
    <w:rsid w:val="0098777E"/>
    <w:rsid w:val="009907EF"/>
    <w:rsid w:val="00991A8F"/>
    <w:rsid w:val="00992121"/>
    <w:rsid w:val="00992C18"/>
    <w:rsid w:val="00993D60"/>
    <w:rsid w:val="009940C6"/>
    <w:rsid w:val="00994CC8"/>
    <w:rsid w:val="0099636F"/>
    <w:rsid w:val="00996C46"/>
    <w:rsid w:val="00997AE3"/>
    <w:rsid w:val="009A0B51"/>
    <w:rsid w:val="009A2399"/>
    <w:rsid w:val="009A2CAF"/>
    <w:rsid w:val="009A621D"/>
    <w:rsid w:val="009A6632"/>
    <w:rsid w:val="009B2E20"/>
    <w:rsid w:val="009B3023"/>
    <w:rsid w:val="009B324C"/>
    <w:rsid w:val="009B51EF"/>
    <w:rsid w:val="009C083C"/>
    <w:rsid w:val="009C2C50"/>
    <w:rsid w:val="009C4969"/>
    <w:rsid w:val="009C5081"/>
    <w:rsid w:val="009C5573"/>
    <w:rsid w:val="009C55E6"/>
    <w:rsid w:val="009C5A6C"/>
    <w:rsid w:val="009C7D1F"/>
    <w:rsid w:val="009D2A4E"/>
    <w:rsid w:val="009D3FD3"/>
    <w:rsid w:val="009D42DD"/>
    <w:rsid w:val="009D4796"/>
    <w:rsid w:val="009D66CF"/>
    <w:rsid w:val="009D710B"/>
    <w:rsid w:val="009D7F17"/>
    <w:rsid w:val="009E1A3A"/>
    <w:rsid w:val="009E2486"/>
    <w:rsid w:val="009E2D8F"/>
    <w:rsid w:val="009E4200"/>
    <w:rsid w:val="009E5859"/>
    <w:rsid w:val="009F052C"/>
    <w:rsid w:val="009F064E"/>
    <w:rsid w:val="009F06F5"/>
    <w:rsid w:val="009F3D73"/>
    <w:rsid w:val="00A0122D"/>
    <w:rsid w:val="00A027D4"/>
    <w:rsid w:val="00A0428B"/>
    <w:rsid w:val="00A106B8"/>
    <w:rsid w:val="00A11FC4"/>
    <w:rsid w:val="00A12F0F"/>
    <w:rsid w:val="00A12F23"/>
    <w:rsid w:val="00A13BBB"/>
    <w:rsid w:val="00A1447E"/>
    <w:rsid w:val="00A16027"/>
    <w:rsid w:val="00A25A01"/>
    <w:rsid w:val="00A261B8"/>
    <w:rsid w:val="00A272FE"/>
    <w:rsid w:val="00A27E7A"/>
    <w:rsid w:val="00A30569"/>
    <w:rsid w:val="00A34BD9"/>
    <w:rsid w:val="00A352FC"/>
    <w:rsid w:val="00A3564B"/>
    <w:rsid w:val="00A40291"/>
    <w:rsid w:val="00A40822"/>
    <w:rsid w:val="00A43046"/>
    <w:rsid w:val="00A43458"/>
    <w:rsid w:val="00A43C4A"/>
    <w:rsid w:val="00A43CC2"/>
    <w:rsid w:val="00A44869"/>
    <w:rsid w:val="00A45565"/>
    <w:rsid w:val="00A528AA"/>
    <w:rsid w:val="00A5310D"/>
    <w:rsid w:val="00A533E3"/>
    <w:rsid w:val="00A537F6"/>
    <w:rsid w:val="00A554DC"/>
    <w:rsid w:val="00A560AE"/>
    <w:rsid w:val="00A61C27"/>
    <w:rsid w:val="00A62002"/>
    <w:rsid w:val="00A62BFF"/>
    <w:rsid w:val="00A62F8F"/>
    <w:rsid w:val="00A63B90"/>
    <w:rsid w:val="00A65545"/>
    <w:rsid w:val="00A656EA"/>
    <w:rsid w:val="00A667BE"/>
    <w:rsid w:val="00A66C86"/>
    <w:rsid w:val="00A71053"/>
    <w:rsid w:val="00A72EF9"/>
    <w:rsid w:val="00A72F36"/>
    <w:rsid w:val="00A738D4"/>
    <w:rsid w:val="00A756E8"/>
    <w:rsid w:val="00A75F8D"/>
    <w:rsid w:val="00A769F0"/>
    <w:rsid w:val="00A80FE0"/>
    <w:rsid w:val="00A8346D"/>
    <w:rsid w:val="00A8516D"/>
    <w:rsid w:val="00A8626F"/>
    <w:rsid w:val="00A86D1E"/>
    <w:rsid w:val="00A90A45"/>
    <w:rsid w:val="00A954B4"/>
    <w:rsid w:val="00A9602D"/>
    <w:rsid w:val="00A961ED"/>
    <w:rsid w:val="00A96B62"/>
    <w:rsid w:val="00A978E2"/>
    <w:rsid w:val="00AA2B2C"/>
    <w:rsid w:val="00AA5E43"/>
    <w:rsid w:val="00AA62D9"/>
    <w:rsid w:val="00AB0B73"/>
    <w:rsid w:val="00AB3248"/>
    <w:rsid w:val="00AB3C7D"/>
    <w:rsid w:val="00AB5B4F"/>
    <w:rsid w:val="00AB6A93"/>
    <w:rsid w:val="00AB72E1"/>
    <w:rsid w:val="00AB77AB"/>
    <w:rsid w:val="00AC0540"/>
    <w:rsid w:val="00AC179F"/>
    <w:rsid w:val="00AC21D0"/>
    <w:rsid w:val="00AC28BB"/>
    <w:rsid w:val="00AC4D23"/>
    <w:rsid w:val="00AD256D"/>
    <w:rsid w:val="00AD3212"/>
    <w:rsid w:val="00AD4935"/>
    <w:rsid w:val="00AD788E"/>
    <w:rsid w:val="00AE0162"/>
    <w:rsid w:val="00AE0DF4"/>
    <w:rsid w:val="00AE10C2"/>
    <w:rsid w:val="00AE2B05"/>
    <w:rsid w:val="00AE40C3"/>
    <w:rsid w:val="00AE448E"/>
    <w:rsid w:val="00AE646E"/>
    <w:rsid w:val="00AE68E8"/>
    <w:rsid w:val="00AE76CB"/>
    <w:rsid w:val="00AF051E"/>
    <w:rsid w:val="00AF2272"/>
    <w:rsid w:val="00AF2607"/>
    <w:rsid w:val="00AF40DF"/>
    <w:rsid w:val="00AF6D55"/>
    <w:rsid w:val="00B00F09"/>
    <w:rsid w:val="00B0174A"/>
    <w:rsid w:val="00B01DD9"/>
    <w:rsid w:val="00B04FB1"/>
    <w:rsid w:val="00B0537B"/>
    <w:rsid w:val="00B07CF0"/>
    <w:rsid w:val="00B10289"/>
    <w:rsid w:val="00B106BD"/>
    <w:rsid w:val="00B17D54"/>
    <w:rsid w:val="00B203A2"/>
    <w:rsid w:val="00B24461"/>
    <w:rsid w:val="00B24519"/>
    <w:rsid w:val="00B251FF"/>
    <w:rsid w:val="00B25207"/>
    <w:rsid w:val="00B267FF"/>
    <w:rsid w:val="00B27958"/>
    <w:rsid w:val="00B30B0D"/>
    <w:rsid w:val="00B30D03"/>
    <w:rsid w:val="00B3148B"/>
    <w:rsid w:val="00B324F1"/>
    <w:rsid w:val="00B32DC1"/>
    <w:rsid w:val="00B36411"/>
    <w:rsid w:val="00B36C44"/>
    <w:rsid w:val="00B41D0C"/>
    <w:rsid w:val="00B43BFC"/>
    <w:rsid w:val="00B4469C"/>
    <w:rsid w:val="00B44805"/>
    <w:rsid w:val="00B457DD"/>
    <w:rsid w:val="00B45992"/>
    <w:rsid w:val="00B45B1D"/>
    <w:rsid w:val="00B467F1"/>
    <w:rsid w:val="00B510ED"/>
    <w:rsid w:val="00B56EB2"/>
    <w:rsid w:val="00B56FE2"/>
    <w:rsid w:val="00B5749D"/>
    <w:rsid w:val="00B60C9B"/>
    <w:rsid w:val="00B62006"/>
    <w:rsid w:val="00B62B1D"/>
    <w:rsid w:val="00B6312C"/>
    <w:rsid w:val="00B66148"/>
    <w:rsid w:val="00B664F0"/>
    <w:rsid w:val="00B666EF"/>
    <w:rsid w:val="00B7005A"/>
    <w:rsid w:val="00B71AE9"/>
    <w:rsid w:val="00B71D3C"/>
    <w:rsid w:val="00B72C18"/>
    <w:rsid w:val="00B73AF6"/>
    <w:rsid w:val="00B74737"/>
    <w:rsid w:val="00B77641"/>
    <w:rsid w:val="00B77BBD"/>
    <w:rsid w:val="00B80880"/>
    <w:rsid w:val="00B80DC3"/>
    <w:rsid w:val="00B82D6F"/>
    <w:rsid w:val="00B8357D"/>
    <w:rsid w:val="00B835DF"/>
    <w:rsid w:val="00B851AA"/>
    <w:rsid w:val="00B873E6"/>
    <w:rsid w:val="00B90058"/>
    <w:rsid w:val="00B90717"/>
    <w:rsid w:val="00B941CE"/>
    <w:rsid w:val="00B95CD0"/>
    <w:rsid w:val="00B964B0"/>
    <w:rsid w:val="00B969F5"/>
    <w:rsid w:val="00B979BA"/>
    <w:rsid w:val="00BA1001"/>
    <w:rsid w:val="00BA258D"/>
    <w:rsid w:val="00BA499F"/>
    <w:rsid w:val="00BA550D"/>
    <w:rsid w:val="00BA5DC3"/>
    <w:rsid w:val="00BA646D"/>
    <w:rsid w:val="00BA671A"/>
    <w:rsid w:val="00BA76FC"/>
    <w:rsid w:val="00BA7D33"/>
    <w:rsid w:val="00BB2B24"/>
    <w:rsid w:val="00BB305D"/>
    <w:rsid w:val="00BB5B2D"/>
    <w:rsid w:val="00BB6B30"/>
    <w:rsid w:val="00BB79B5"/>
    <w:rsid w:val="00BB7B51"/>
    <w:rsid w:val="00BB7CAA"/>
    <w:rsid w:val="00BB7F79"/>
    <w:rsid w:val="00BC3551"/>
    <w:rsid w:val="00BC449A"/>
    <w:rsid w:val="00BC6F3D"/>
    <w:rsid w:val="00BD0178"/>
    <w:rsid w:val="00BD0D8F"/>
    <w:rsid w:val="00BD2C4C"/>
    <w:rsid w:val="00BD533C"/>
    <w:rsid w:val="00BD751F"/>
    <w:rsid w:val="00BE026C"/>
    <w:rsid w:val="00BE142F"/>
    <w:rsid w:val="00BE1794"/>
    <w:rsid w:val="00BE23C3"/>
    <w:rsid w:val="00BE36B7"/>
    <w:rsid w:val="00BE56B2"/>
    <w:rsid w:val="00BF0B9A"/>
    <w:rsid w:val="00BF12CA"/>
    <w:rsid w:val="00BF322F"/>
    <w:rsid w:val="00BF34BF"/>
    <w:rsid w:val="00BF34F0"/>
    <w:rsid w:val="00BF350A"/>
    <w:rsid w:val="00BF40CA"/>
    <w:rsid w:val="00BF7A30"/>
    <w:rsid w:val="00C01449"/>
    <w:rsid w:val="00C015C9"/>
    <w:rsid w:val="00C02B5F"/>
    <w:rsid w:val="00C0320C"/>
    <w:rsid w:val="00C0422B"/>
    <w:rsid w:val="00C042BE"/>
    <w:rsid w:val="00C04F3E"/>
    <w:rsid w:val="00C05E47"/>
    <w:rsid w:val="00C0609C"/>
    <w:rsid w:val="00C06DE6"/>
    <w:rsid w:val="00C11151"/>
    <w:rsid w:val="00C11613"/>
    <w:rsid w:val="00C148DA"/>
    <w:rsid w:val="00C15475"/>
    <w:rsid w:val="00C15DF7"/>
    <w:rsid w:val="00C16616"/>
    <w:rsid w:val="00C17AB4"/>
    <w:rsid w:val="00C17ACB"/>
    <w:rsid w:val="00C17CF7"/>
    <w:rsid w:val="00C20CC1"/>
    <w:rsid w:val="00C210FF"/>
    <w:rsid w:val="00C248CE"/>
    <w:rsid w:val="00C24F45"/>
    <w:rsid w:val="00C3061D"/>
    <w:rsid w:val="00C314F1"/>
    <w:rsid w:val="00C31D3F"/>
    <w:rsid w:val="00C31F5B"/>
    <w:rsid w:val="00C3305E"/>
    <w:rsid w:val="00C3335F"/>
    <w:rsid w:val="00C354F5"/>
    <w:rsid w:val="00C407D4"/>
    <w:rsid w:val="00C409B2"/>
    <w:rsid w:val="00C418D8"/>
    <w:rsid w:val="00C42F1A"/>
    <w:rsid w:val="00C45CF0"/>
    <w:rsid w:val="00C461D7"/>
    <w:rsid w:val="00C46F85"/>
    <w:rsid w:val="00C525E7"/>
    <w:rsid w:val="00C52AE9"/>
    <w:rsid w:val="00C53AB1"/>
    <w:rsid w:val="00C545B3"/>
    <w:rsid w:val="00C54B45"/>
    <w:rsid w:val="00C557DF"/>
    <w:rsid w:val="00C558C6"/>
    <w:rsid w:val="00C565B3"/>
    <w:rsid w:val="00C56632"/>
    <w:rsid w:val="00C56E48"/>
    <w:rsid w:val="00C602B1"/>
    <w:rsid w:val="00C60B9B"/>
    <w:rsid w:val="00C6484B"/>
    <w:rsid w:val="00C64F10"/>
    <w:rsid w:val="00C654C6"/>
    <w:rsid w:val="00C65B20"/>
    <w:rsid w:val="00C65B48"/>
    <w:rsid w:val="00C668E1"/>
    <w:rsid w:val="00C706D6"/>
    <w:rsid w:val="00C7188C"/>
    <w:rsid w:val="00C72845"/>
    <w:rsid w:val="00C7317B"/>
    <w:rsid w:val="00C74722"/>
    <w:rsid w:val="00C7527B"/>
    <w:rsid w:val="00C75739"/>
    <w:rsid w:val="00C759D2"/>
    <w:rsid w:val="00C77363"/>
    <w:rsid w:val="00C77E2C"/>
    <w:rsid w:val="00C8059F"/>
    <w:rsid w:val="00C80DAB"/>
    <w:rsid w:val="00C81368"/>
    <w:rsid w:val="00C85651"/>
    <w:rsid w:val="00C856A5"/>
    <w:rsid w:val="00C85F73"/>
    <w:rsid w:val="00C90754"/>
    <w:rsid w:val="00C90A91"/>
    <w:rsid w:val="00C90BFE"/>
    <w:rsid w:val="00C915FE"/>
    <w:rsid w:val="00C93355"/>
    <w:rsid w:val="00C93C66"/>
    <w:rsid w:val="00C9562A"/>
    <w:rsid w:val="00C95A82"/>
    <w:rsid w:val="00C96316"/>
    <w:rsid w:val="00C97E6F"/>
    <w:rsid w:val="00CA5714"/>
    <w:rsid w:val="00CA6D35"/>
    <w:rsid w:val="00CA7C8A"/>
    <w:rsid w:val="00CB1924"/>
    <w:rsid w:val="00CB5273"/>
    <w:rsid w:val="00CB53FD"/>
    <w:rsid w:val="00CB618F"/>
    <w:rsid w:val="00CB7919"/>
    <w:rsid w:val="00CC095C"/>
    <w:rsid w:val="00CC0FF2"/>
    <w:rsid w:val="00CC11EE"/>
    <w:rsid w:val="00CC1587"/>
    <w:rsid w:val="00CC2CA9"/>
    <w:rsid w:val="00CC3BED"/>
    <w:rsid w:val="00CC3F20"/>
    <w:rsid w:val="00CC78AE"/>
    <w:rsid w:val="00CC7F5D"/>
    <w:rsid w:val="00CD15E7"/>
    <w:rsid w:val="00CD2D6C"/>
    <w:rsid w:val="00CD5007"/>
    <w:rsid w:val="00CD77D8"/>
    <w:rsid w:val="00CE037F"/>
    <w:rsid w:val="00CE15A4"/>
    <w:rsid w:val="00CE17A8"/>
    <w:rsid w:val="00CE1AD8"/>
    <w:rsid w:val="00CE2CE4"/>
    <w:rsid w:val="00CE6A81"/>
    <w:rsid w:val="00CE7114"/>
    <w:rsid w:val="00CE7524"/>
    <w:rsid w:val="00CF5327"/>
    <w:rsid w:val="00CF5CED"/>
    <w:rsid w:val="00CF5D3A"/>
    <w:rsid w:val="00CF6403"/>
    <w:rsid w:val="00CF7895"/>
    <w:rsid w:val="00CF79FB"/>
    <w:rsid w:val="00CF7F65"/>
    <w:rsid w:val="00D02C84"/>
    <w:rsid w:val="00D06553"/>
    <w:rsid w:val="00D13A03"/>
    <w:rsid w:val="00D14D7C"/>
    <w:rsid w:val="00D15415"/>
    <w:rsid w:val="00D17E27"/>
    <w:rsid w:val="00D20EF7"/>
    <w:rsid w:val="00D21611"/>
    <w:rsid w:val="00D22A05"/>
    <w:rsid w:val="00D234F5"/>
    <w:rsid w:val="00D2512F"/>
    <w:rsid w:val="00D276C3"/>
    <w:rsid w:val="00D303A6"/>
    <w:rsid w:val="00D30A0F"/>
    <w:rsid w:val="00D30D04"/>
    <w:rsid w:val="00D30F74"/>
    <w:rsid w:val="00D31C98"/>
    <w:rsid w:val="00D32597"/>
    <w:rsid w:val="00D32BD0"/>
    <w:rsid w:val="00D33CA6"/>
    <w:rsid w:val="00D34167"/>
    <w:rsid w:val="00D344D1"/>
    <w:rsid w:val="00D35DCE"/>
    <w:rsid w:val="00D402A6"/>
    <w:rsid w:val="00D42AFF"/>
    <w:rsid w:val="00D46002"/>
    <w:rsid w:val="00D466C1"/>
    <w:rsid w:val="00D4709F"/>
    <w:rsid w:val="00D53623"/>
    <w:rsid w:val="00D54009"/>
    <w:rsid w:val="00D55165"/>
    <w:rsid w:val="00D56ADE"/>
    <w:rsid w:val="00D56DEB"/>
    <w:rsid w:val="00D57D68"/>
    <w:rsid w:val="00D60654"/>
    <w:rsid w:val="00D61864"/>
    <w:rsid w:val="00D61B22"/>
    <w:rsid w:val="00D65D3F"/>
    <w:rsid w:val="00D66BF8"/>
    <w:rsid w:val="00D67766"/>
    <w:rsid w:val="00D7257B"/>
    <w:rsid w:val="00D727D7"/>
    <w:rsid w:val="00D73195"/>
    <w:rsid w:val="00D736A7"/>
    <w:rsid w:val="00D743AC"/>
    <w:rsid w:val="00D746E4"/>
    <w:rsid w:val="00D75469"/>
    <w:rsid w:val="00D77357"/>
    <w:rsid w:val="00D8041B"/>
    <w:rsid w:val="00D81D58"/>
    <w:rsid w:val="00D820B9"/>
    <w:rsid w:val="00D829BC"/>
    <w:rsid w:val="00D8349B"/>
    <w:rsid w:val="00D8401F"/>
    <w:rsid w:val="00D84211"/>
    <w:rsid w:val="00D842D6"/>
    <w:rsid w:val="00D84AC7"/>
    <w:rsid w:val="00D84E27"/>
    <w:rsid w:val="00D84FBF"/>
    <w:rsid w:val="00D86684"/>
    <w:rsid w:val="00D87839"/>
    <w:rsid w:val="00D90ADD"/>
    <w:rsid w:val="00D91949"/>
    <w:rsid w:val="00D9265F"/>
    <w:rsid w:val="00D936E9"/>
    <w:rsid w:val="00D93F6C"/>
    <w:rsid w:val="00D958C4"/>
    <w:rsid w:val="00D95B6D"/>
    <w:rsid w:val="00D960E0"/>
    <w:rsid w:val="00D96AAC"/>
    <w:rsid w:val="00DA14A3"/>
    <w:rsid w:val="00DA1B19"/>
    <w:rsid w:val="00DA2E72"/>
    <w:rsid w:val="00DA33D0"/>
    <w:rsid w:val="00DA582A"/>
    <w:rsid w:val="00DA5F59"/>
    <w:rsid w:val="00DA63C6"/>
    <w:rsid w:val="00DA6485"/>
    <w:rsid w:val="00DA65AD"/>
    <w:rsid w:val="00DA6D0D"/>
    <w:rsid w:val="00DA7C5E"/>
    <w:rsid w:val="00DB01A4"/>
    <w:rsid w:val="00DB3C1C"/>
    <w:rsid w:val="00DB3FC4"/>
    <w:rsid w:val="00DB450B"/>
    <w:rsid w:val="00DB55C2"/>
    <w:rsid w:val="00DB7CDD"/>
    <w:rsid w:val="00DC0FB4"/>
    <w:rsid w:val="00DC11F6"/>
    <w:rsid w:val="00DC2DBC"/>
    <w:rsid w:val="00DC2F14"/>
    <w:rsid w:val="00DC43B1"/>
    <w:rsid w:val="00DC4C62"/>
    <w:rsid w:val="00DC70A7"/>
    <w:rsid w:val="00DC736B"/>
    <w:rsid w:val="00DD071F"/>
    <w:rsid w:val="00DD20A7"/>
    <w:rsid w:val="00DD65E6"/>
    <w:rsid w:val="00DE0B50"/>
    <w:rsid w:val="00DE1602"/>
    <w:rsid w:val="00DE4723"/>
    <w:rsid w:val="00DE567A"/>
    <w:rsid w:val="00DE6BBA"/>
    <w:rsid w:val="00DE6FB8"/>
    <w:rsid w:val="00DE7893"/>
    <w:rsid w:val="00DF41A0"/>
    <w:rsid w:val="00DF5F69"/>
    <w:rsid w:val="00DF6294"/>
    <w:rsid w:val="00E00388"/>
    <w:rsid w:val="00E0226D"/>
    <w:rsid w:val="00E04EC1"/>
    <w:rsid w:val="00E06569"/>
    <w:rsid w:val="00E069AE"/>
    <w:rsid w:val="00E10790"/>
    <w:rsid w:val="00E111AF"/>
    <w:rsid w:val="00E12024"/>
    <w:rsid w:val="00E134D5"/>
    <w:rsid w:val="00E13AF3"/>
    <w:rsid w:val="00E14984"/>
    <w:rsid w:val="00E15386"/>
    <w:rsid w:val="00E16145"/>
    <w:rsid w:val="00E17341"/>
    <w:rsid w:val="00E1747B"/>
    <w:rsid w:val="00E17631"/>
    <w:rsid w:val="00E22B1E"/>
    <w:rsid w:val="00E25108"/>
    <w:rsid w:val="00E263FE"/>
    <w:rsid w:val="00E264D3"/>
    <w:rsid w:val="00E27338"/>
    <w:rsid w:val="00E3030A"/>
    <w:rsid w:val="00E3057E"/>
    <w:rsid w:val="00E3142E"/>
    <w:rsid w:val="00E31B71"/>
    <w:rsid w:val="00E3298F"/>
    <w:rsid w:val="00E32C6E"/>
    <w:rsid w:val="00E32F33"/>
    <w:rsid w:val="00E35AAF"/>
    <w:rsid w:val="00E375AB"/>
    <w:rsid w:val="00E37924"/>
    <w:rsid w:val="00E40FBB"/>
    <w:rsid w:val="00E41F54"/>
    <w:rsid w:val="00E4545A"/>
    <w:rsid w:val="00E46331"/>
    <w:rsid w:val="00E503B4"/>
    <w:rsid w:val="00E50622"/>
    <w:rsid w:val="00E50ED1"/>
    <w:rsid w:val="00E52B45"/>
    <w:rsid w:val="00E53AC1"/>
    <w:rsid w:val="00E54AA8"/>
    <w:rsid w:val="00E5555A"/>
    <w:rsid w:val="00E56966"/>
    <w:rsid w:val="00E60C03"/>
    <w:rsid w:val="00E61A6C"/>
    <w:rsid w:val="00E620C3"/>
    <w:rsid w:val="00E64B65"/>
    <w:rsid w:val="00E64FE1"/>
    <w:rsid w:val="00E65717"/>
    <w:rsid w:val="00E65CE7"/>
    <w:rsid w:val="00E66F1C"/>
    <w:rsid w:val="00E67790"/>
    <w:rsid w:val="00E701F6"/>
    <w:rsid w:val="00E7093E"/>
    <w:rsid w:val="00E70CE6"/>
    <w:rsid w:val="00E71A3D"/>
    <w:rsid w:val="00E72158"/>
    <w:rsid w:val="00E72C90"/>
    <w:rsid w:val="00E735BD"/>
    <w:rsid w:val="00E74FBC"/>
    <w:rsid w:val="00E75BA9"/>
    <w:rsid w:val="00E75F18"/>
    <w:rsid w:val="00E7697E"/>
    <w:rsid w:val="00E76CD1"/>
    <w:rsid w:val="00E7790C"/>
    <w:rsid w:val="00E80C10"/>
    <w:rsid w:val="00E83A51"/>
    <w:rsid w:val="00E83C5E"/>
    <w:rsid w:val="00E83DCC"/>
    <w:rsid w:val="00E844F4"/>
    <w:rsid w:val="00E850ED"/>
    <w:rsid w:val="00E852A0"/>
    <w:rsid w:val="00E86D87"/>
    <w:rsid w:val="00E87230"/>
    <w:rsid w:val="00E87622"/>
    <w:rsid w:val="00E877B1"/>
    <w:rsid w:val="00E906E0"/>
    <w:rsid w:val="00E92B2D"/>
    <w:rsid w:val="00E93105"/>
    <w:rsid w:val="00E941A4"/>
    <w:rsid w:val="00E947DC"/>
    <w:rsid w:val="00E95187"/>
    <w:rsid w:val="00E95C54"/>
    <w:rsid w:val="00E96374"/>
    <w:rsid w:val="00E96559"/>
    <w:rsid w:val="00EA03F3"/>
    <w:rsid w:val="00EA0E63"/>
    <w:rsid w:val="00EA1FAF"/>
    <w:rsid w:val="00EA2709"/>
    <w:rsid w:val="00EA2A7B"/>
    <w:rsid w:val="00EA2FC5"/>
    <w:rsid w:val="00EA36B9"/>
    <w:rsid w:val="00EA4570"/>
    <w:rsid w:val="00EB0FEE"/>
    <w:rsid w:val="00EB4593"/>
    <w:rsid w:val="00EB4734"/>
    <w:rsid w:val="00EB71BD"/>
    <w:rsid w:val="00EB7E72"/>
    <w:rsid w:val="00EC03B0"/>
    <w:rsid w:val="00EC05DE"/>
    <w:rsid w:val="00EC135A"/>
    <w:rsid w:val="00EC176C"/>
    <w:rsid w:val="00EC37B0"/>
    <w:rsid w:val="00EC3FD3"/>
    <w:rsid w:val="00EC4BCC"/>
    <w:rsid w:val="00EC7144"/>
    <w:rsid w:val="00EC7BAE"/>
    <w:rsid w:val="00ED0E0C"/>
    <w:rsid w:val="00ED0E9B"/>
    <w:rsid w:val="00ED1BFE"/>
    <w:rsid w:val="00ED2D83"/>
    <w:rsid w:val="00ED3DE2"/>
    <w:rsid w:val="00ED4EF2"/>
    <w:rsid w:val="00ED623B"/>
    <w:rsid w:val="00ED6376"/>
    <w:rsid w:val="00ED6549"/>
    <w:rsid w:val="00ED6DD0"/>
    <w:rsid w:val="00ED7AB5"/>
    <w:rsid w:val="00EE00BD"/>
    <w:rsid w:val="00EE0580"/>
    <w:rsid w:val="00EE2399"/>
    <w:rsid w:val="00EE2994"/>
    <w:rsid w:val="00EE3C03"/>
    <w:rsid w:val="00EE7707"/>
    <w:rsid w:val="00EF0420"/>
    <w:rsid w:val="00EF1976"/>
    <w:rsid w:val="00EF3CC4"/>
    <w:rsid w:val="00EF492B"/>
    <w:rsid w:val="00EF68CA"/>
    <w:rsid w:val="00EF6D45"/>
    <w:rsid w:val="00F00524"/>
    <w:rsid w:val="00F008FE"/>
    <w:rsid w:val="00F00CE5"/>
    <w:rsid w:val="00F017B4"/>
    <w:rsid w:val="00F02858"/>
    <w:rsid w:val="00F05027"/>
    <w:rsid w:val="00F051FA"/>
    <w:rsid w:val="00F06737"/>
    <w:rsid w:val="00F0715C"/>
    <w:rsid w:val="00F12FDA"/>
    <w:rsid w:val="00F13888"/>
    <w:rsid w:val="00F14AAD"/>
    <w:rsid w:val="00F14FF4"/>
    <w:rsid w:val="00F170ED"/>
    <w:rsid w:val="00F227F2"/>
    <w:rsid w:val="00F22A62"/>
    <w:rsid w:val="00F22B03"/>
    <w:rsid w:val="00F22F65"/>
    <w:rsid w:val="00F27CF4"/>
    <w:rsid w:val="00F301A7"/>
    <w:rsid w:val="00F3053A"/>
    <w:rsid w:val="00F3094A"/>
    <w:rsid w:val="00F31833"/>
    <w:rsid w:val="00F32D9F"/>
    <w:rsid w:val="00F35DF5"/>
    <w:rsid w:val="00F363A5"/>
    <w:rsid w:val="00F3744B"/>
    <w:rsid w:val="00F4306A"/>
    <w:rsid w:val="00F43325"/>
    <w:rsid w:val="00F43820"/>
    <w:rsid w:val="00F45037"/>
    <w:rsid w:val="00F46FEE"/>
    <w:rsid w:val="00F509EE"/>
    <w:rsid w:val="00F523CD"/>
    <w:rsid w:val="00F52C6B"/>
    <w:rsid w:val="00F54814"/>
    <w:rsid w:val="00F54E8C"/>
    <w:rsid w:val="00F55B0E"/>
    <w:rsid w:val="00F55C2B"/>
    <w:rsid w:val="00F61CC5"/>
    <w:rsid w:val="00F620CB"/>
    <w:rsid w:val="00F625E2"/>
    <w:rsid w:val="00F64499"/>
    <w:rsid w:val="00F66214"/>
    <w:rsid w:val="00F66EDF"/>
    <w:rsid w:val="00F70FE7"/>
    <w:rsid w:val="00F72E30"/>
    <w:rsid w:val="00F75751"/>
    <w:rsid w:val="00F75859"/>
    <w:rsid w:val="00F8061B"/>
    <w:rsid w:val="00F826B7"/>
    <w:rsid w:val="00F85043"/>
    <w:rsid w:val="00F86A28"/>
    <w:rsid w:val="00F86D25"/>
    <w:rsid w:val="00F90B42"/>
    <w:rsid w:val="00F90E91"/>
    <w:rsid w:val="00F910BB"/>
    <w:rsid w:val="00F928C4"/>
    <w:rsid w:val="00F97BBC"/>
    <w:rsid w:val="00FA0071"/>
    <w:rsid w:val="00FA1256"/>
    <w:rsid w:val="00FA34B6"/>
    <w:rsid w:val="00FA65A2"/>
    <w:rsid w:val="00FB1201"/>
    <w:rsid w:val="00FB150C"/>
    <w:rsid w:val="00FB2D37"/>
    <w:rsid w:val="00FB2EE4"/>
    <w:rsid w:val="00FB560D"/>
    <w:rsid w:val="00FB75EC"/>
    <w:rsid w:val="00FB7758"/>
    <w:rsid w:val="00FC022B"/>
    <w:rsid w:val="00FC109D"/>
    <w:rsid w:val="00FC31F7"/>
    <w:rsid w:val="00FC3A79"/>
    <w:rsid w:val="00FC4A01"/>
    <w:rsid w:val="00FD03BE"/>
    <w:rsid w:val="00FD2F77"/>
    <w:rsid w:val="00FD335C"/>
    <w:rsid w:val="00FD33B1"/>
    <w:rsid w:val="00FD78D6"/>
    <w:rsid w:val="00FE30B4"/>
    <w:rsid w:val="00FE453E"/>
    <w:rsid w:val="00FE6EA7"/>
    <w:rsid w:val="00FE7512"/>
    <w:rsid w:val="00FE7919"/>
    <w:rsid w:val="00FF03B7"/>
    <w:rsid w:val="00FF1779"/>
    <w:rsid w:val="00FF1B5F"/>
    <w:rsid w:val="00FF2C01"/>
    <w:rsid w:val="00FF4638"/>
    <w:rsid w:val="00FF4766"/>
    <w:rsid w:val="00FF4FF6"/>
    <w:rsid w:val="00FF5061"/>
    <w:rsid w:val="00FF5BD6"/>
    <w:rsid w:val="00FF640F"/>
    <w:rsid w:val="00FF711B"/>
    <w:rsid w:val="00FF772C"/>
    <w:rsid w:val="00FF7D16"/>
    <w:rsid w:val="02742306"/>
    <w:rsid w:val="06EB169F"/>
    <w:rsid w:val="07864468"/>
    <w:rsid w:val="085250F6"/>
    <w:rsid w:val="08690604"/>
    <w:rsid w:val="0D5B5568"/>
    <w:rsid w:val="0DF97266"/>
    <w:rsid w:val="0F3B4E27"/>
    <w:rsid w:val="0F69365E"/>
    <w:rsid w:val="1313422B"/>
    <w:rsid w:val="15895488"/>
    <w:rsid w:val="1E4F1C0C"/>
    <w:rsid w:val="209E6E8B"/>
    <w:rsid w:val="22377FDD"/>
    <w:rsid w:val="2C1F47F5"/>
    <w:rsid w:val="3A79175F"/>
    <w:rsid w:val="47832454"/>
    <w:rsid w:val="495F7752"/>
    <w:rsid w:val="499F6AC6"/>
    <w:rsid w:val="4BFF3521"/>
    <w:rsid w:val="53891069"/>
    <w:rsid w:val="56A07792"/>
    <w:rsid w:val="61EB0C32"/>
    <w:rsid w:val="6507401B"/>
    <w:rsid w:val="655C0E9A"/>
    <w:rsid w:val="6B932470"/>
    <w:rsid w:val="6CD448EC"/>
    <w:rsid w:val="702D5875"/>
    <w:rsid w:val="78765DC9"/>
    <w:rsid w:val="799A2A6F"/>
    <w:rsid w:val="7BE71870"/>
    <w:rsid w:val="7F4E40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rPr>
      <w:rFonts w:asciiTheme="minorHAnsi" w:hAnsiTheme="minorHAnsi" w:eastAsiaTheme="minorEastAsia" w:cstheme="minorBidi"/>
    </w:rPr>
  </w:style>
  <w:style w:type="paragraph" w:styleId="5">
    <w:name w:val="Balloon Text"/>
    <w:basedOn w:val="1"/>
    <w:link w:val="21"/>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toc 2"/>
    <w:basedOn w:val="1"/>
    <w:next w:val="1"/>
    <w:unhideWhenUsed/>
    <w:qFormat/>
    <w:uiPriority w:val="39"/>
    <w:pPr>
      <w:ind w:left="420" w:leftChars="200"/>
    </w:pPr>
  </w:style>
  <w:style w:type="paragraph" w:styleId="10">
    <w:name w:val="annotation subject"/>
    <w:basedOn w:val="4"/>
    <w:next w:val="4"/>
    <w:link w:val="26"/>
    <w:semiHidden/>
    <w:unhideWhenUsed/>
    <w:qFormat/>
    <w:uiPriority w:val="99"/>
    <w:rPr>
      <w:b/>
      <w:bCs/>
    </w:rPr>
  </w:style>
  <w:style w:type="table" w:styleId="12">
    <w:name w:val="Table Grid"/>
    <w:basedOn w:val="11"/>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FollowedHyperlink"/>
    <w:basedOn w:val="13"/>
    <w:semiHidden/>
    <w:unhideWhenUsed/>
    <w:qFormat/>
    <w:uiPriority w:val="99"/>
    <w:rPr>
      <w:color w:val="000000"/>
      <w:u w:val="none"/>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styleId="16">
    <w:name w:val="annotation reference"/>
    <w:basedOn w:val="13"/>
    <w:semiHidden/>
    <w:unhideWhenUsed/>
    <w:qFormat/>
    <w:uiPriority w:val="99"/>
    <w:rPr>
      <w:sz w:val="21"/>
      <w:szCs w:val="21"/>
    </w:rPr>
  </w:style>
  <w:style w:type="character" w:customStyle="1" w:styleId="17">
    <w:name w:val="页眉 Char"/>
    <w:basedOn w:val="13"/>
    <w:link w:val="7"/>
    <w:qFormat/>
    <w:uiPriority w:val="99"/>
    <w:rPr>
      <w:sz w:val="18"/>
      <w:szCs w:val="18"/>
    </w:rPr>
  </w:style>
  <w:style w:type="character" w:customStyle="1" w:styleId="18">
    <w:name w:val="页脚 Char"/>
    <w:basedOn w:val="13"/>
    <w:link w:val="6"/>
    <w:qFormat/>
    <w:uiPriority w:val="99"/>
    <w:rPr>
      <w:sz w:val="18"/>
      <w:szCs w:val="18"/>
    </w:rPr>
  </w:style>
  <w:style w:type="paragraph" w:customStyle="1" w:styleId="19">
    <w:name w:val="TOC 标题1"/>
    <w:basedOn w:val="2"/>
    <w:next w:val="1"/>
    <w:link w:val="33"/>
    <w:qFormat/>
    <w:uiPriority w:val="99"/>
    <w:pPr>
      <w:widowControl/>
      <w:spacing w:before="480" w:after="0" w:line="276" w:lineRule="auto"/>
      <w:jc w:val="left"/>
      <w:outlineLvl w:val="9"/>
    </w:pPr>
    <w:rPr>
      <w:rFonts w:ascii="Cambria" w:hAnsi="Cambria" w:cs="Cambria"/>
      <w:color w:val="365F91"/>
      <w:kern w:val="0"/>
      <w:sz w:val="28"/>
      <w:szCs w:val="28"/>
    </w:rPr>
  </w:style>
  <w:style w:type="character" w:customStyle="1" w:styleId="20">
    <w:name w:val="标题 1 Char"/>
    <w:basedOn w:val="13"/>
    <w:link w:val="2"/>
    <w:qFormat/>
    <w:uiPriority w:val="9"/>
    <w:rPr>
      <w:rFonts w:ascii="Calibri" w:hAnsi="Calibri" w:eastAsia="宋体" w:cs="Times New Roman"/>
      <w:b/>
      <w:bCs/>
      <w:kern w:val="44"/>
      <w:sz w:val="44"/>
      <w:szCs w:val="44"/>
    </w:rPr>
  </w:style>
  <w:style w:type="character" w:customStyle="1" w:styleId="21">
    <w:name w:val="批注框文本 Char"/>
    <w:basedOn w:val="13"/>
    <w:link w:val="5"/>
    <w:semiHidden/>
    <w:qFormat/>
    <w:uiPriority w:val="99"/>
    <w:rPr>
      <w:rFonts w:ascii="Calibri" w:hAnsi="Calibri" w:eastAsia="宋体" w:cs="Times New Roman"/>
      <w:sz w:val="18"/>
      <w:szCs w:val="18"/>
    </w:rPr>
  </w:style>
  <w:style w:type="character" w:customStyle="1" w:styleId="22">
    <w:name w:val="标题 2 Char"/>
    <w:basedOn w:val="13"/>
    <w:link w:val="3"/>
    <w:qFormat/>
    <w:uiPriority w:val="9"/>
    <w:rPr>
      <w:rFonts w:asciiTheme="majorHAnsi" w:hAnsiTheme="majorHAnsi" w:eastAsiaTheme="majorEastAsia" w:cstheme="majorBidi"/>
      <w:b/>
      <w:bCs/>
      <w:sz w:val="32"/>
      <w:szCs w:val="32"/>
    </w:rPr>
  </w:style>
  <w:style w:type="character" w:customStyle="1" w:styleId="23">
    <w:name w:val="c-gap-right-small3"/>
    <w:basedOn w:val="13"/>
    <w:qFormat/>
    <w:uiPriority w:val="0"/>
  </w:style>
  <w:style w:type="paragraph" w:customStyle="1" w:styleId="24">
    <w:name w:val="Table Paragraph"/>
    <w:basedOn w:val="1"/>
    <w:qFormat/>
    <w:uiPriority w:val="0"/>
    <w:pPr>
      <w:autoSpaceDE w:val="0"/>
      <w:autoSpaceDN w:val="0"/>
      <w:jc w:val="center"/>
    </w:pPr>
    <w:rPr>
      <w:rFonts w:ascii="仿宋_GB2312" w:hAnsi="宋体" w:eastAsia="仿宋_GB2312" w:cs="宋体"/>
      <w:kern w:val="0"/>
      <w:sz w:val="22"/>
    </w:rPr>
  </w:style>
  <w:style w:type="character" w:customStyle="1" w:styleId="25">
    <w:name w:val="批注文字 Char"/>
    <w:basedOn w:val="13"/>
    <w:link w:val="4"/>
    <w:semiHidden/>
    <w:qFormat/>
    <w:uiPriority w:val="99"/>
  </w:style>
  <w:style w:type="character" w:customStyle="1" w:styleId="26">
    <w:name w:val="批注主题 Char"/>
    <w:basedOn w:val="25"/>
    <w:link w:val="10"/>
    <w:semiHidden/>
    <w:qFormat/>
    <w:uiPriority w:val="99"/>
    <w:rPr>
      <w:b/>
      <w:bCs/>
    </w:rPr>
  </w:style>
  <w:style w:type="paragraph" w:customStyle="1" w:styleId="27">
    <w:name w:val="正文1"/>
    <w:qFormat/>
    <w:uiPriority w:val="0"/>
    <w:pPr>
      <w:jc w:val="both"/>
    </w:pPr>
    <w:rPr>
      <w:rFonts w:ascii="Calibri" w:hAnsi="Calibri" w:eastAsia="宋体" w:cs="Calibri"/>
      <w:kern w:val="2"/>
      <w:sz w:val="21"/>
      <w:szCs w:val="21"/>
      <w:lang w:val="en-US" w:eastAsia="zh-CN" w:bidi="ar-SA"/>
    </w:rPr>
  </w:style>
  <w:style w:type="paragraph" w:customStyle="1" w:styleId="28">
    <w:name w:val="正文 A"/>
    <w:qFormat/>
    <w:uiPriority w:val="99"/>
    <w:pPr>
      <w:spacing w:after="200" w:line="276" w:lineRule="auto"/>
    </w:pPr>
    <w:rPr>
      <w:rFonts w:ascii="Calibri" w:hAnsi="Calibri" w:eastAsia="宋体" w:cs="Calibri"/>
      <w:color w:val="000000"/>
      <w:sz w:val="22"/>
      <w:szCs w:val="22"/>
      <w:u w:color="000000"/>
      <w:lang w:val="en-US" w:eastAsia="zh-CN" w:bidi="ar-SA"/>
    </w:rPr>
  </w:style>
  <w:style w:type="paragraph" w:customStyle="1" w:styleId="29">
    <w:name w:val="TOC 标题2"/>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table" w:customStyle="1" w:styleId="30">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31">
    <w:name w:val="WPSOffice手动目录 1"/>
    <w:qFormat/>
    <w:uiPriority w:val="0"/>
    <w:rPr>
      <w:rFonts w:asciiTheme="minorHAnsi" w:hAnsiTheme="minorHAnsi" w:eastAsiaTheme="minorEastAsia" w:cstheme="minorBidi"/>
      <w:lang w:val="en-US" w:eastAsia="zh-CN" w:bidi="ar-SA"/>
    </w:rPr>
  </w:style>
  <w:style w:type="paragraph" w:customStyle="1" w:styleId="32">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33">
    <w:name w:val="TOC 标题1 Char"/>
    <w:link w:val="19"/>
    <w:qFormat/>
    <w:uiPriority w:val="99"/>
    <w:rPr>
      <w:rFonts w:ascii="Cambria" w:hAnsi="Cambria" w:cs="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E7191D-DF82-4BD2-BB45-1893FA351EA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9309</Words>
  <Characters>10409</Characters>
  <Lines>102</Lines>
  <Paragraphs>28</Paragraphs>
  <TotalTime>454</TotalTime>
  <ScaleCrop>false</ScaleCrop>
  <LinksUpToDate>false</LinksUpToDate>
  <CharactersWithSpaces>10506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2020-11-10T09:53:00Z</dcterms:created>
  <dc:creator>Windows 用户</dc:creator>
  <cp:lastModifiedBy>方</cp:lastModifiedBy>
  <cp:lastPrinted>2021-04-27T09:29:00Z</cp:lastPrinted>
  <dcterms:modified xsi:type="dcterms:W3CDTF">2025-08-08T10:02:37Z</dcterms:modified>
  <cp:revision>167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eyJoZGlkIjoiYWM4OTdjYmM5OTc1ZTExMjliOThhNWZiOGFiODE3Y2QiLCJ1c2VySWQiOiIxMTIxMzIwNzkyIn0=</vt:lpwstr>
  </property>
  <property fmtid="{D5CDD505-2E9C-101B-9397-08002B2CF9AE}" pid="4" name="ICV">
    <vt:lpwstr>106406769CC2454AAE45D625E943E73B_13</vt:lpwstr>
  </property>
</Properties>
</file>