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7D60DD">
      <w:pPr>
        <w:jc w:val="center"/>
        <w:rPr>
          <w:rFonts w:ascii="黑体" w:hAnsi="黑体" w:eastAsia="黑体" w:cs="黑体"/>
          <w:bCs/>
          <w:sz w:val="52"/>
          <w:szCs w:val="52"/>
        </w:rPr>
      </w:pPr>
      <w:r>
        <w:rPr>
          <w:rFonts w:hint="eastAsia" w:ascii="黑体" w:hAnsi="黑体" w:eastAsia="黑体" w:cs="黑体"/>
          <w:bCs/>
          <w:sz w:val="52"/>
          <w:szCs w:val="52"/>
        </w:rPr>
        <w:t>昆迪合作帮</w:t>
      </w:r>
      <w:bookmarkStart w:id="0" w:name="_GoBack"/>
      <w:bookmarkEnd w:id="0"/>
      <w:r>
        <w:rPr>
          <w:rFonts w:hint="eastAsia" w:ascii="黑体" w:hAnsi="黑体" w:eastAsia="黑体" w:cs="黑体"/>
          <w:bCs/>
          <w:sz w:val="52"/>
          <w:szCs w:val="52"/>
        </w:rPr>
        <w:t>扶资金项目支出</w:t>
      </w:r>
    </w:p>
    <w:p w14:paraId="4914D071">
      <w:pPr>
        <w:jc w:val="center"/>
        <w:rPr>
          <w:rFonts w:ascii="黑体" w:hAnsi="黑体" w:eastAsia="黑体" w:cs="黑体"/>
          <w:bCs/>
          <w:sz w:val="52"/>
          <w:szCs w:val="52"/>
        </w:rPr>
      </w:pPr>
      <w:r>
        <w:rPr>
          <w:rFonts w:hint="eastAsia" w:ascii="黑体" w:hAnsi="黑体" w:eastAsia="黑体" w:cs="黑体"/>
          <w:bCs/>
          <w:sz w:val="52"/>
          <w:szCs w:val="52"/>
        </w:rPr>
        <w:t>绩效自评报告</w:t>
      </w:r>
    </w:p>
    <w:p w14:paraId="585DB94F">
      <w:pPr>
        <w:jc w:val="center"/>
        <w:rPr>
          <w:rFonts w:ascii="黑体" w:hAnsi="黑体" w:eastAsia="黑体"/>
          <w:bCs/>
          <w:sz w:val="52"/>
          <w:szCs w:val="52"/>
        </w:rPr>
      </w:pPr>
      <w:r>
        <w:rPr>
          <w:rFonts w:hint="eastAsia" w:ascii="黑体" w:hAnsi="黑体" w:eastAsia="黑体" w:cs="黑体"/>
          <w:bCs/>
          <w:sz w:val="52"/>
          <w:szCs w:val="52"/>
        </w:rPr>
        <w:t>（  202</w:t>
      </w:r>
      <w:r>
        <w:rPr>
          <w:rFonts w:hint="eastAsia" w:ascii="黑体" w:hAnsi="黑体" w:eastAsia="黑体" w:cs="黑体"/>
          <w:bCs/>
          <w:sz w:val="52"/>
          <w:szCs w:val="52"/>
          <w:lang w:val="en-US" w:eastAsia="zh-CN"/>
        </w:rPr>
        <w:t>2</w:t>
      </w:r>
      <w:r>
        <w:rPr>
          <w:rFonts w:hint="eastAsia" w:ascii="黑体" w:hAnsi="黑体" w:eastAsia="黑体" w:cs="黑体"/>
          <w:bCs/>
          <w:sz w:val="52"/>
          <w:szCs w:val="52"/>
        </w:rPr>
        <w:t xml:space="preserve"> 年度）</w:t>
      </w:r>
    </w:p>
    <w:p w14:paraId="28DA0631">
      <w:pPr>
        <w:spacing w:before="120" w:after="120" w:line="480" w:lineRule="auto"/>
        <w:jc w:val="center"/>
        <w:rPr>
          <w:rFonts w:ascii="Times New Roman" w:hAnsi="Times New Roman" w:eastAsia="黑体"/>
          <w:b/>
          <w:bCs/>
          <w:sz w:val="52"/>
          <w:szCs w:val="52"/>
        </w:rPr>
      </w:pPr>
    </w:p>
    <w:p w14:paraId="43289DA4">
      <w:pPr>
        <w:spacing w:before="120" w:after="120" w:line="480" w:lineRule="auto"/>
        <w:jc w:val="center"/>
        <w:rPr>
          <w:rFonts w:ascii="Times New Roman" w:hAnsi="Times New Roman"/>
          <w:b/>
          <w:bCs/>
          <w:sz w:val="44"/>
          <w:szCs w:val="44"/>
        </w:rPr>
      </w:pPr>
    </w:p>
    <w:p w14:paraId="31E68427">
      <w:pPr>
        <w:spacing w:before="120" w:after="120" w:line="480" w:lineRule="auto"/>
        <w:jc w:val="center"/>
        <w:rPr>
          <w:rFonts w:ascii="Times New Roman" w:hAnsi="Times New Roman"/>
          <w:b/>
          <w:bCs/>
          <w:sz w:val="44"/>
          <w:szCs w:val="44"/>
        </w:rPr>
      </w:pPr>
    </w:p>
    <w:p w14:paraId="258F4DE3">
      <w:pPr>
        <w:spacing w:before="120" w:after="120" w:line="480" w:lineRule="auto"/>
        <w:jc w:val="center"/>
        <w:rPr>
          <w:rFonts w:ascii="Times New Roman" w:hAnsi="Times New Roman" w:eastAsia="黑体"/>
          <w:b/>
          <w:bCs/>
          <w:sz w:val="30"/>
          <w:szCs w:val="30"/>
        </w:rPr>
      </w:pPr>
    </w:p>
    <w:p w14:paraId="1564B5CD">
      <w:pPr>
        <w:adjustRightInd w:val="0"/>
        <w:snapToGrid w:val="0"/>
        <w:spacing w:line="360" w:lineRule="auto"/>
        <w:ind w:left="1260" w:leftChars="600"/>
        <w:rPr>
          <w:rFonts w:ascii="Times New Roman" w:hAnsi="Times New Roman" w:eastAsia="黑体"/>
          <w:b/>
          <w:bCs/>
          <w:sz w:val="30"/>
          <w:szCs w:val="30"/>
        </w:rPr>
      </w:pPr>
      <w:r>
        <w:rPr>
          <w:rFonts w:ascii="Times New Roman" w:hAnsi="Times New Roman" w:eastAsia="黑体" w:cs="黑体"/>
          <w:b/>
          <w:bCs/>
          <w:sz w:val="28"/>
          <w:szCs w:val="28"/>
        </w:rPr>
        <mc:AlternateContent>
          <mc:Choice Requires="wps">
            <w:drawing>
              <wp:anchor distT="0" distB="0" distL="114300" distR="114300" simplePos="0" relativeHeight="251659264" behindDoc="0" locked="0" layoutInCell="1" allowOverlap="1">
                <wp:simplePos x="0" y="0"/>
                <wp:positionH relativeFrom="column">
                  <wp:posOffset>2371725</wp:posOffset>
                </wp:positionH>
                <wp:positionV relativeFrom="paragraph">
                  <wp:posOffset>196215</wp:posOffset>
                </wp:positionV>
                <wp:extent cx="2495550" cy="0"/>
                <wp:effectExtent l="0" t="4445" r="0" b="5080"/>
                <wp:wrapNone/>
                <wp:docPr id="1" name="自选图形 2"/>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2" o:spid="_x0000_s1026" o:spt="32" type="#_x0000_t32" style="position:absolute;left:0pt;margin-left:186.75pt;margin-top:15.45pt;height:0pt;width:196.5pt;z-index:251659264;mso-width-relative:page;mso-height-relative:page;" filled="f" stroked="t" coordsize="21600,21600" o:gfxdata="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KXqXKDXAAAACQEAAA8AAAAAAAAAAQAgAAAAIgAAAGRycy9kb3ducmV2LnhtbFBLAQIU&#10;ABQAAAAIAIdO4kB88W7O9AEAAOMDAAAOAAAAAAAAAAEAIAAAACYBAABkcnMvZTJvRG9jLnhtbFBL&#10;BQYAAAAABgAGAFkBAACM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部门名称（公章）：昆明市</w:t>
      </w:r>
      <w:r>
        <w:rPr>
          <w:rFonts w:hint="eastAsia" w:ascii="Times New Roman" w:hAnsi="Times New Roman" w:eastAsia="黑体"/>
          <w:b/>
          <w:bCs/>
          <w:sz w:val="30"/>
          <w:szCs w:val="30"/>
        </w:rPr>
        <w:t>盘龙区商务和投资促进局</w:t>
      </w:r>
    </w:p>
    <w:p w14:paraId="12F42B14">
      <w:pPr>
        <w:adjustRightInd w:val="0"/>
        <w:snapToGrid w:val="0"/>
        <w:spacing w:line="360" w:lineRule="auto"/>
        <w:ind w:left="1260" w:leftChars="600"/>
        <w:rPr>
          <w:rFonts w:ascii="Times New Roman" w:hAnsi="Times New Roman" w:eastAsia="黑体" w:cs="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0288" behindDoc="0" locked="0" layoutInCell="1" allowOverlap="1">
                <wp:simplePos x="0" y="0"/>
                <wp:positionH relativeFrom="column">
                  <wp:posOffset>1714500</wp:posOffset>
                </wp:positionH>
                <wp:positionV relativeFrom="paragraph">
                  <wp:posOffset>221615</wp:posOffset>
                </wp:positionV>
                <wp:extent cx="2495550" cy="0"/>
                <wp:effectExtent l="0" t="4445" r="0" b="5080"/>
                <wp:wrapNone/>
                <wp:docPr id="2" name="自选图形 3"/>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3" o:spid="_x0000_s1026" o:spt="32" type="#_x0000_t32" style="position:absolute;left:0pt;margin-left:135pt;margin-top:17.45pt;height:0pt;width:196.5pt;z-index:251660288;mso-width-relative:page;mso-height-relative:page;" filled="f" stroked="t" coordsize="21600,21600" o:gfxdata="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DxhF2DXAAAACQEAAA8AAAAAAAAAAQAgAAAAIgAAAGRycy9kb3ducmV2LnhtbFBLAQIU&#10;ABQAAAAIAIdO4kA06Wom9AEAAOMDAAAOAAAAAAAAAAEAIAAAACYBAABkcnMvZTJvRG9jLnhtbFBL&#10;BQYAAAAABgAGAFkBAACM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项目单位：昆明市</w:t>
      </w:r>
      <w:r>
        <w:rPr>
          <w:rFonts w:hint="eastAsia" w:ascii="Times New Roman" w:hAnsi="Times New Roman" w:eastAsia="黑体"/>
          <w:b/>
          <w:bCs/>
          <w:sz w:val="30"/>
          <w:szCs w:val="30"/>
        </w:rPr>
        <w:t>盘龙区商务和投资促进局</w:t>
      </w:r>
    </w:p>
    <w:p w14:paraId="35CB1AD1">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1312" behindDoc="0" locked="0" layoutInCell="1" allowOverlap="1">
                <wp:simplePos x="0" y="0"/>
                <wp:positionH relativeFrom="column">
                  <wp:posOffset>1714500</wp:posOffset>
                </wp:positionH>
                <wp:positionV relativeFrom="paragraph">
                  <wp:posOffset>180975</wp:posOffset>
                </wp:positionV>
                <wp:extent cx="2495550" cy="0"/>
                <wp:effectExtent l="0" t="4445" r="0" b="5080"/>
                <wp:wrapNone/>
                <wp:docPr id="3" name="自选图形 4"/>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4" o:spid="_x0000_s1026" o:spt="32" type="#_x0000_t32" style="position:absolute;left:0pt;margin-left:135pt;margin-top:14.25pt;height:0pt;width:196.5pt;z-index:251661312;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0IL+71wAAAAkBAAAPAAAAAAAAAAEAIAAAACIAAABkcnMvZG93bnJldi54bWxQSwEC&#10;FAAUAAAACACHTuJAZqxjtvUBAADjAwAADgAAAAAAAAABACAAAAAmAQAAZHJzL2Uyb0RvYy54bWxQ&#10;SwUGAAAAAAYABgBZAQAAjQU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主管部门：</w:t>
      </w:r>
      <w:r>
        <w:rPr>
          <w:rFonts w:hint="eastAsia" w:ascii="Times New Roman" w:hAnsi="Times New Roman" w:eastAsia="黑体"/>
          <w:b/>
          <w:bCs/>
          <w:sz w:val="28"/>
          <w:szCs w:val="28"/>
        </w:rPr>
        <w:t>盘龙区人民政府</w:t>
      </w:r>
    </w:p>
    <w:p w14:paraId="04926508">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2336" behindDoc="0" locked="0" layoutInCell="1" allowOverlap="1">
                <wp:simplePos x="0" y="0"/>
                <wp:positionH relativeFrom="column">
                  <wp:posOffset>1714500</wp:posOffset>
                </wp:positionH>
                <wp:positionV relativeFrom="paragraph">
                  <wp:posOffset>180975</wp:posOffset>
                </wp:positionV>
                <wp:extent cx="2495550" cy="0"/>
                <wp:effectExtent l="0" t="4445" r="0" b="5080"/>
                <wp:wrapNone/>
                <wp:docPr id="4" name="自选图形 5"/>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5" o:spid="_x0000_s1026" o:spt="32" type="#_x0000_t32" style="position:absolute;left:0pt;margin-left:135pt;margin-top:14.25pt;height:0pt;width:196.5pt;z-index:251662336;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0IL+71wAAAAkBAAAPAAAAAAAAAAEAIAAAACIAAABkcnMvZG93bnJldi54bWxQSwEC&#10;FAAUAAAACACHTuJAOjQcgfUBAADjAwAADgAAAAAAAAABACAAAAAmAQAAZHJzL2Uyb0RvYy54bWxQ&#10;SwUGAAAAAAYABgBZAQAAjQU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项目名称：</w:t>
      </w:r>
      <w:r>
        <w:rPr>
          <w:rFonts w:hint="eastAsia" w:ascii="Times New Roman" w:hAnsi="Times New Roman" w:eastAsia="黑体"/>
          <w:b/>
          <w:bCs/>
          <w:sz w:val="28"/>
          <w:szCs w:val="28"/>
        </w:rPr>
        <w:t>昆迪合作帮扶资金</w:t>
      </w:r>
    </w:p>
    <w:p w14:paraId="43F67377">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3360" behindDoc="0" locked="0" layoutInCell="1" allowOverlap="1">
                <wp:simplePos x="0" y="0"/>
                <wp:positionH relativeFrom="column">
                  <wp:posOffset>1714500</wp:posOffset>
                </wp:positionH>
                <wp:positionV relativeFrom="paragraph">
                  <wp:posOffset>180975</wp:posOffset>
                </wp:positionV>
                <wp:extent cx="2495550" cy="0"/>
                <wp:effectExtent l="0" t="4445" r="0" b="5080"/>
                <wp:wrapNone/>
                <wp:docPr id="5" name="自选图形 6"/>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6" o:spid="_x0000_s1026" o:spt="32" type="#_x0000_t32" style="position:absolute;left:0pt;margin-left:135pt;margin-top:14.25pt;height:0pt;width:196.5pt;z-index:251663360;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LQgv7vXAAAACQEAAA8AAAAAAAAAAQAgAAAAIgAAAGRycy9kb3ducmV2LnhtbFBLAQIU&#10;ABQAAAAIAIdO4kC3mhq99AEAAOMDAAAOAAAAAAAAAAEAIAAAACYBAABkcnMvZTJvRG9jLnhtbFBL&#10;BQYAAAAABgAGAFkBAACM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绩效自评日期：</w:t>
      </w:r>
      <w:r>
        <w:rPr>
          <w:rFonts w:hint="eastAsia" w:ascii="Times New Roman" w:hAnsi="Times New Roman" w:eastAsia="黑体"/>
          <w:b/>
          <w:bCs/>
          <w:sz w:val="28"/>
          <w:szCs w:val="28"/>
        </w:rPr>
        <w:t>202</w:t>
      </w:r>
      <w:r>
        <w:rPr>
          <w:rFonts w:hint="eastAsia" w:ascii="Times New Roman" w:hAnsi="Times New Roman" w:eastAsia="黑体"/>
          <w:b/>
          <w:bCs/>
          <w:sz w:val="28"/>
          <w:szCs w:val="28"/>
          <w:lang w:val="en-US" w:eastAsia="zh-CN"/>
        </w:rPr>
        <w:t>3</w:t>
      </w:r>
      <w:r>
        <w:rPr>
          <w:rFonts w:hint="eastAsia" w:ascii="Times New Roman" w:hAnsi="Times New Roman" w:eastAsia="黑体"/>
          <w:b/>
          <w:bCs/>
          <w:sz w:val="28"/>
          <w:szCs w:val="28"/>
        </w:rPr>
        <w:t>.4</w:t>
      </w:r>
    </w:p>
    <w:p w14:paraId="54AF6999">
      <w:pPr>
        <w:spacing w:line="360" w:lineRule="auto"/>
        <w:ind w:left="1218" w:leftChars="580"/>
        <w:rPr>
          <w:rFonts w:ascii="Times New Roman" w:hAnsi="Times New Roman" w:eastAsia="黑体"/>
          <w:b/>
          <w:bCs/>
          <w:sz w:val="28"/>
          <w:szCs w:val="28"/>
        </w:rPr>
      </w:pPr>
    </w:p>
    <w:p w14:paraId="37F3453B">
      <w:pPr>
        <w:jc w:val="center"/>
        <w:rPr>
          <w:rFonts w:ascii="Times New Roman" w:hAnsi="Times New Roman" w:eastAsia="黑体" w:cs="黑体"/>
          <w:b/>
          <w:bCs/>
          <w:sz w:val="28"/>
          <w:szCs w:val="28"/>
        </w:rPr>
      </w:pPr>
      <w:r>
        <w:rPr>
          <w:rFonts w:ascii="Times New Roman" w:hAnsi="Times New Roman" w:eastAsia="黑体"/>
          <w:b/>
          <w:bCs/>
          <w:sz w:val="28"/>
          <w:szCs w:val="28"/>
        </w:rPr>
        <w:t>20</w:t>
      </w:r>
      <w:r>
        <w:rPr>
          <w:rFonts w:hint="eastAsia" w:ascii="Times New Roman" w:hAnsi="Times New Roman" w:eastAsia="黑体"/>
          <w:b/>
          <w:bCs/>
          <w:sz w:val="28"/>
          <w:szCs w:val="28"/>
        </w:rPr>
        <w:t>2</w:t>
      </w:r>
      <w:r>
        <w:rPr>
          <w:rFonts w:hint="eastAsia" w:ascii="Times New Roman" w:hAnsi="Times New Roman" w:eastAsia="黑体"/>
          <w:b/>
          <w:bCs/>
          <w:sz w:val="28"/>
          <w:szCs w:val="28"/>
          <w:lang w:val="en-US" w:eastAsia="zh-CN"/>
        </w:rPr>
        <w:t>3</w:t>
      </w:r>
      <w:r>
        <w:rPr>
          <w:rFonts w:hint="eastAsia" w:ascii="Times New Roman" w:hAnsi="Times New Roman" w:eastAsia="黑体" w:cs="黑体"/>
          <w:b/>
          <w:bCs/>
          <w:sz w:val="28"/>
          <w:szCs w:val="28"/>
        </w:rPr>
        <w:t>年4月</w:t>
      </w:r>
    </w:p>
    <w:p w14:paraId="415BF844">
      <w:pPr>
        <w:jc w:val="center"/>
        <w:rPr>
          <w:rFonts w:ascii="Times New Roman" w:hAnsi="Times New Roman" w:eastAsia="黑体" w:cs="黑体"/>
          <w:b/>
          <w:bCs/>
          <w:sz w:val="28"/>
          <w:szCs w:val="28"/>
        </w:rPr>
      </w:pPr>
    </w:p>
    <w:p w14:paraId="689475C6">
      <w:pPr>
        <w:jc w:val="center"/>
        <w:rPr>
          <w:rFonts w:ascii="Times New Roman" w:hAnsi="Times New Roman" w:eastAsia="黑体" w:cs="黑体"/>
          <w:b/>
          <w:bCs/>
          <w:sz w:val="28"/>
          <w:szCs w:val="28"/>
        </w:rPr>
      </w:pPr>
    </w:p>
    <w:p w14:paraId="3AB2F5BB">
      <w:pPr>
        <w:jc w:val="center"/>
        <w:rPr>
          <w:rFonts w:ascii="Times New Roman" w:hAnsi="Times New Roman" w:eastAsia="黑体" w:cs="黑体"/>
          <w:b/>
          <w:bCs/>
          <w:sz w:val="28"/>
          <w:szCs w:val="28"/>
        </w:rPr>
      </w:pPr>
    </w:p>
    <w:p w14:paraId="60FE992B">
      <w:pPr>
        <w:jc w:val="center"/>
        <w:rPr>
          <w:rFonts w:ascii="Times New Roman" w:hAnsi="Times New Roman" w:eastAsia="黑体" w:cs="黑体"/>
          <w:b/>
          <w:bCs/>
          <w:sz w:val="28"/>
          <w:szCs w:val="28"/>
        </w:rPr>
      </w:pPr>
    </w:p>
    <w:p w14:paraId="0076C854">
      <w:pPr>
        <w:jc w:val="center"/>
        <w:rPr>
          <w:rFonts w:ascii="Times New Roman" w:hAnsi="Times New Roman" w:eastAsia="仿宋_GB2312"/>
          <w:b/>
          <w:bCs/>
          <w:sz w:val="28"/>
          <w:szCs w:val="28"/>
        </w:rPr>
      </w:pPr>
    </w:p>
    <w:p w14:paraId="37B316BB">
      <w:pPr>
        <w:widowControl/>
        <w:jc w:val="left"/>
        <w:rPr>
          <w:rFonts w:ascii="Times New Roman" w:hAnsi="Times New Roman" w:eastAsia="仿宋_GB2312"/>
          <w:b/>
          <w:bCs/>
          <w:sz w:val="28"/>
          <w:szCs w:val="28"/>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titlePg/>
          <w:docGrid w:type="lines" w:linePitch="312" w:charSpace="0"/>
        </w:sectPr>
      </w:pPr>
    </w:p>
    <w:p w14:paraId="020CE436">
      <w:pPr>
        <w:pStyle w:val="10"/>
        <w:widowControl w:val="0"/>
        <w:spacing w:after="0" w:line="360" w:lineRule="auto"/>
        <w:ind w:left="420" w:leftChars="200"/>
        <w:jc w:val="both"/>
        <w:rPr>
          <w:rFonts w:ascii="Times New Roman" w:hAnsi="Times New Roman" w:eastAsia="黑体" w:cs="Times New Roman"/>
          <w:kern w:val="2"/>
          <w:sz w:val="24"/>
          <w:szCs w:val="24"/>
          <w:lang w:val="zh-TW" w:eastAsia="zh-TW"/>
        </w:rPr>
      </w:pPr>
      <w:r>
        <w:rPr>
          <w:rFonts w:hint="eastAsia" w:ascii="Times New Roman" w:hAnsi="Times New Roman" w:eastAsia="黑体" w:cs="黑体"/>
          <w:kern w:val="2"/>
          <w:sz w:val="24"/>
          <w:szCs w:val="24"/>
          <w:lang w:val="zh-TW" w:eastAsia="zh-TW"/>
        </w:rPr>
        <w:t>评价小组成员：</w:t>
      </w:r>
    </w:p>
    <w:tbl>
      <w:tblPr>
        <w:tblStyle w:val="7"/>
        <w:tblpPr w:leftFromText="180" w:rightFromText="180" w:vertAnchor="text" w:horzAnchor="margin" w:tblpY="72"/>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620"/>
        <w:gridCol w:w="1620"/>
        <w:gridCol w:w="1621"/>
        <w:gridCol w:w="1621"/>
      </w:tblGrid>
      <w:tr w14:paraId="68EBE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14:paraId="0381392F">
            <w:pPr>
              <w:pStyle w:val="10"/>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评价小组</w:t>
            </w:r>
          </w:p>
          <w:p w14:paraId="2B7A721E">
            <w:pPr>
              <w:pStyle w:val="10"/>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机构职位</w:t>
            </w:r>
          </w:p>
        </w:tc>
        <w:tc>
          <w:tcPr>
            <w:tcW w:w="1620" w:type="dxa"/>
            <w:vAlign w:val="center"/>
          </w:tcPr>
          <w:p w14:paraId="5127DED7">
            <w:pPr>
              <w:pStyle w:val="10"/>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姓名</w:t>
            </w:r>
          </w:p>
        </w:tc>
        <w:tc>
          <w:tcPr>
            <w:tcW w:w="1620" w:type="dxa"/>
            <w:vAlign w:val="center"/>
          </w:tcPr>
          <w:p w14:paraId="65010914">
            <w:pPr>
              <w:pStyle w:val="10"/>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职务/职称</w:t>
            </w:r>
          </w:p>
        </w:tc>
        <w:tc>
          <w:tcPr>
            <w:tcW w:w="1621" w:type="dxa"/>
            <w:vAlign w:val="center"/>
          </w:tcPr>
          <w:p w14:paraId="27580F60">
            <w:pPr>
              <w:pStyle w:val="10"/>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所属</w:t>
            </w:r>
          </w:p>
          <w:p w14:paraId="289AB7D7">
            <w:pPr>
              <w:pStyle w:val="10"/>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单位/处室</w:t>
            </w:r>
          </w:p>
        </w:tc>
        <w:tc>
          <w:tcPr>
            <w:tcW w:w="1621" w:type="dxa"/>
            <w:vAlign w:val="center"/>
          </w:tcPr>
          <w:p w14:paraId="370AAE04">
            <w:pPr>
              <w:pStyle w:val="10"/>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签字</w:t>
            </w:r>
          </w:p>
        </w:tc>
      </w:tr>
      <w:tr w14:paraId="2BAB0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14:paraId="181C7B61">
            <w:pPr>
              <w:pStyle w:val="10"/>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组长</w:t>
            </w:r>
          </w:p>
        </w:tc>
        <w:tc>
          <w:tcPr>
            <w:tcW w:w="1620" w:type="dxa"/>
          </w:tcPr>
          <w:p w14:paraId="35BEAB7A">
            <w:pPr>
              <w:pStyle w:val="10"/>
              <w:widowControl w:val="0"/>
              <w:spacing w:after="0" w:line="240" w:lineRule="auto"/>
              <w:ind w:firstLine="240" w:firstLineChars="100"/>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王春兰</w:t>
            </w:r>
          </w:p>
        </w:tc>
        <w:tc>
          <w:tcPr>
            <w:tcW w:w="1620" w:type="dxa"/>
          </w:tcPr>
          <w:p w14:paraId="21604CB1">
            <w:pPr>
              <w:pStyle w:val="10"/>
              <w:widowControl w:val="0"/>
              <w:spacing w:after="0" w:line="24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副局长</w:t>
            </w:r>
          </w:p>
        </w:tc>
        <w:tc>
          <w:tcPr>
            <w:tcW w:w="1621" w:type="dxa"/>
          </w:tcPr>
          <w:p w14:paraId="78E7B659">
            <w:pPr>
              <w:pStyle w:val="10"/>
              <w:widowControl w:val="0"/>
              <w:spacing w:after="0" w:line="24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局办公室</w:t>
            </w:r>
          </w:p>
        </w:tc>
        <w:tc>
          <w:tcPr>
            <w:tcW w:w="1621" w:type="dxa"/>
          </w:tcPr>
          <w:p w14:paraId="3F756131">
            <w:pPr>
              <w:pStyle w:val="10"/>
              <w:widowControl w:val="0"/>
              <w:spacing w:after="0" w:line="240" w:lineRule="auto"/>
              <w:jc w:val="both"/>
              <w:rPr>
                <w:rFonts w:ascii="Times New Roman" w:hAnsi="Times New Roman" w:eastAsia="黑体" w:cs="黑体"/>
                <w:kern w:val="2"/>
                <w:sz w:val="24"/>
                <w:szCs w:val="24"/>
                <w:lang w:val="zh-TW" w:eastAsia="zh-TW"/>
              </w:rPr>
            </w:pPr>
          </w:p>
        </w:tc>
      </w:tr>
      <w:tr w14:paraId="3C631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14:paraId="580ABAB5">
            <w:pPr>
              <w:pStyle w:val="10"/>
              <w:widowControl w:val="0"/>
              <w:spacing w:after="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副组长</w:t>
            </w:r>
          </w:p>
        </w:tc>
        <w:tc>
          <w:tcPr>
            <w:tcW w:w="1620" w:type="dxa"/>
          </w:tcPr>
          <w:p w14:paraId="11E01EB2">
            <w:pPr>
              <w:pStyle w:val="10"/>
              <w:widowControl w:val="0"/>
              <w:spacing w:after="0" w:line="360" w:lineRule="auto"/>
              <w:ind w:firstLine="240" w:firstLineChars="100"/>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易蓉梅</w:t>
            </w:r>
          </w:p>
        </w:tc>
        <w:tc>
          <w:tcPr>
            <w:tcW w:w="1620" w:type="dxa"/>
          </w:tcPr>
          <w:p w14:paraId="4634E754">
            <w:pPr>
              <w:pStyle w:val="10"/>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投管科科长</w:t>
            </w:r>
          </w:p>
        </w:tc>
        <w:tc>
          <w:tcPr>
            <w:tcW w:w="1621" w:type="dxa"/>
          </w:tcPr>
          <w:p w14:paraId="420A1086">
            <w:pPr>
              <w:pStyle w:val="10"/>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投管科</w:t>
            </w:r>
          </w:p>
        </w:tc>
        <w:tc>
          <w:tcPr>
            <w:tcW w:w="1621" w:type="dxa"/>
          </w:tcPr>
          <w:p w14:paraId="486A5E55">
            <w:pPr>
              <w:pStyle w:val="10"/>
              <w:widowControl w:val="0"/>
              <w:spacing w:after="0" w:line="360" w:lineRule="auto"/>
              <w:jc w:val="both"/>
              <w:rPr>
                <w:rFonts w:ascii="Times New Roman" w:hAnsi="Times New Roman" w:eastAsia="黑体" w:cs="黑体"/>
                <w:kern w:val="2"/>
                <w:sz w:val="24"/>
                <w:szCs w:val="24"/>
                <w:lang w:val="zh-TW" w:eastAsia="zh-TW"/>
              </w:rPr>
            </w:pPr>
          </w:p>
        </w:tc>
      </w:tr>
      <w:tr w14:paraId="62E64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14:paraId="48FF80AB">
            <w:pPr>
              <w:pStyle w:val="10"/>
              <w:widowControl w:val="0"/>
              <w:spacing w:after="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成员</w:t>
            </w:r>
          </w:p>
        </w:tc>
        <w:tc>
          <w:tcPr>
            <w:tcW w:w="1620" w:type="dxa"/>
          </w:tcPr>
          <w:p w14:paraId="484433A2">
            <w:pPr>
              <w:pStyle w:val="10"/>
              <w:widowControl w:val="0"/>
              <w:spacing w:after="0" w:line="360" w:lineRule="auto"/>
              <w:ind w:firstLine="240" w:firstLineChars="100"/>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芮雪</w:t>
            </w:r>
          </w:p>
        </w:tc>
        <w:tc>
          <w:tcPr>
            <w:tcW w:w="1620" w:type="dxa"/>
          </w:tcPr>
          <w:p w14:paraId="436DD531">
            <w:pPr>
              <w:pStyle w:val="10"/>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会计</w:t>
            </w:r>
          </w:p>
        </w:tc>
        <w:tc>
          <w:tcPr>
            <w:tcW w:w="1621" w:type="dxa"/>
          </w:tcPr>
          <w:p w14:paraId="358A95F7">
            <w:pPr>
              <w:pStyle w:val="10"/>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办公室</w:t>
            </w:r>
          </w:p>
        </w:tc>
        <w:tc>
          <w:tcPr>
            <w:tcW w:w="1621" w:type="dxa"/>
          </w:tcPr>
          <w:p w14:paraId="373CE38B">
            <w:pPr>
              <w:pStyle w:val="10"/>
              <w:widowControl w:val="0"/>
              <w:spacing w:after="0" w:line="360" w:lineRule="auto"/>
              <w:jc w:val="both"/>
              <w:rPr>
                <w:rFonts w:ascii="Times New Roman" w:hAnsi="Times New Roman" w:eastAsia="黑体" w:cs="黑体"/>
                <w:kern w:val="2"/>
                <w:sz w:val="24"/>
                <w:szCs w:val="24"/>
                <w:lang w:val="zh-TW" w:eastAsia="zh-TW"/>
              </w:rPr>
            </w:pPr>
          </w:p>
        </w:tc>
      </w:tr>
      <w:tr w14:paraId="61CD1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14:paraId="7DC833FB">
            <w:pPr>
              <w:pStyle w:val="10"/>
              <w:widowControl w:val="0"/>
              <w:spacing w:after="0" w:line="360" w:lineRule="auto"/>
              <w:jc w:val="both"/>
              <w:rPr>
                <w:rFonts w:ascii="Times New Roman" w:hAnsi="Times New Roman" w:eastAsia="黑体" w:cs="黑体"/>
                <w:kern w:val="2"/>
                <w:sz w:val="24"/>
                <w:szCs w:val="24"/>
                <w:lang w:val="zh-TW"/>
              </w:rPr>
            </w:pPr>
          </w:p>
        </w:tc>
        <w:tc>
          <w:tcPr>
            <w:tcW w:w="1620" w:type="dxa"/>
          </w:tcPr>
          <w:p w14:paraId="1E710C6D">
            <w:pPr>
              <w:pStyle w:val="10"/>
              <w:widowControl w:val="0"/>
              <w:spacing w:after="0" w:line="360" w:lineRule="auto"/>
              <w:jc w:val="both"/>
              <w:rPr>
                <w:rFonts w:ascii="Times New Roman" w:hAnsi="Times New Roman" w:eastAsia="黑体" w:cs="黑体"/>
                <w:kern w:val="2"/>
                <w:sz w:val="24"/>
                <w:szCs w:val="24"/>
                <w:lang w:val="zh-TW" w:eastAsia="zh-TW"/>
              </w:rPr>
            </w:pPr>
          </w:p>
        </w:tc>
        <w:tc>
          <w:tcPr>
            <w:tcW w:w="1620" w:type="dxa"/>
          </w:tcPr>
          <w:p w14:paraId="25672D6F">
            <w:pPr>
              <w:pStyle w:val="10"/>
              <w:widowControl w:val="0"/>
              <w:spacing w:after="0" w:line="360" w:lineRule="auto"/>
              <w:jc w:val="both"/>
              <w:rPr>
                <w:rFonts w:ascii="Times New Roman" w:hAnsi="Times New Roman" w:eastAsia="黑体" w:cs="黑体"/>
                <w:kern w:val="2"/>
                <w:sz w:val="24"/>
                <w:szCs w:val="24"/>
                <w:lang w:val="zh-TW" w:eastAsia="zh-TW"/>
              </w:rPr>
            </w:pPr>
          </w:p>
        </w:tc>
        <w:tc>
          <w:tcPr>
            <w:tcW w:w="1621" w:type="dxa"/>
          </w:tcPr>
          <w:p w14:paraId="16610242">
            <w:pPr>
              <w:pStyle w:val="10"/>
              <w:widowControl w:val="0"/>
              <w:spacing w:after="0" w:line="360" w:lineRule="auto"/>
              <w:jc w:val="both"/>
              <w:rPr>
                <w:rFonts w:ascii="Times New Roman" w:hAnsi="Times New Roman" w:eastAsia="黑体" w:cs="黑体"/>
                <w:kern w:val="2"/>
                <w:sz w:val="24"/>
                <w:szCs w:val="24"/>
                <w:lang w:val="zh-TW" w:eastAsia="zh-TW"/>
              </w:rPr>
            </w:pPr>
          </w:p>
        </w:tc>
        <w:tc>
          <w:tcPr>
            <w:tcW w:w="1621" w:type="dxa"/>
          </w:tcPr>
          <w:p w14:paraId="74C909A0">
            <w:pPr>
              <w:pStyle w:val="10"/>
              <w:widowControl w:val="0"/>
              <w:spacing w:after="0" w:line="360" w:lineRule="auto"/>
              <w:jc w:val="both"/>
              <w:rPr>
                <w:rFonts w:ascii="Times New Roman" w:hAnsi="Times New Roman" w:eastAsia="黑体" w:cs="黑体"/>
                <w:kern w:val="2"/>
                <w:sz w:val="24"/>
                <w:szCs w:val="24"/>
                <w:lang w:val="zh-TW" w:eastAsia="zh-TW"/>
              </w:rPr>
            </w:pPr>
          </w:p>
        </w:tc>
      </w:tr>
      <w:tr w14:paraId="617A4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9" w:hRule="atLeast"/>
        </w:trPr>
        <w:tc>
          <w:tcPr>
            <w:tcW w:w="8102" w:type="dxa"/>
            <w:gridSpan w:val="5"/>
          </w:tcPr>
          <w:p w14:paraId="6F951EF7">
            <w:pPr>
              <w:pStyle w:val="10"/>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报告撰写人（签字）：</w:t>
            </w:r>
          </w:p>
          <w:p w14:paraId="1C6493BC">
            <w:pPr>
              <w:pStyle w:val="10"/>
              <w:widowControl w:val="0"/>
              <w:spacing w:after="0" w:line="360" w:lineRule="auto"/>
              <w:jc w:val="both"/>
              <w:rPr>
                <w:rFonts w:ascii="Times New Roman" w:hAnsi="Times New Roman" w:eastAsia="黑体" w:cs="黑体"/>
                <w:kern w:val="2"/>
                <w:sz w:val="24"/>
                <w:szCs w:val="24"/>
                <w:lang w:val="zh-TW"/>
              </w:rPr>
            </w:pPr>
          </w:p>
          <w:p w14:paraId="7B5FF3E5">
            <w:pPr>
              <w:pStyle w:val="10"/>
              <w:widowControl w:val="0"/>
              <w:spacing w:after="0" w:line="360" w:lineRule="auto"/>
              <w:jc w:val="both"/>
              <w:rPr>
                <w:rFonts w:ascii="Times New Roman" w:hAnsi="Times New Roman" w:eastAsia="黑体" w:cs="黑体"/>
                <w:kern w:val="2"/>
                <w:sz w:val="24"/>
                <w:szCs w:val="24"/>
                <w:lang w:val="zh-TW"/>
              </w:rPr>
            </w:pPr>
          </w:p>
          <w:p w14:paraId="1CC443DB">
            <w:pPr>
              <w:pStyle w:val="10"/>
              <w:widowControl w:val="0"/>
              <w:wordWrap w:val="0"/>
              <w:spacing w:after="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 xml:space="preserve">                           年   月   日</w:t>
            </w:r>
          </w:p>
        </w:tc>
      </w:tr>
      <w:tr w14:paraId="46A61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1" w:hRule="atLeast"/>
        </w:trPr>
        <w:tc>
          <w:tcPr>
            <w:tcW w:w="8102" w:type="dxa"/>
            <w:gridSpan w:val="5"/>
          </w:tcPr>
          <w:p w14:paraId="507EC4CA">
            <w:pPr>
              <w:pStyle w:val="10"/>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评价工作负责人（签字）：</w:t>
            </w:r>
          </w:p>
          <w:p w14:paraId="2352873C">
            <w:pPr>
              <w:pStyle w:val="10"/>
              <w:widowControl w:val="0"/>
              <w:spacing w:after="0" w:line="360" w:lineRule="auto"/>
              <w:jc w:val="both"/>
              <w:rPr>
                <w:rFonts w:ascii="Times New Roman" w:hAnsi="Times New Roman" w:eastAsia="黑体" w:cs="黑体"/>
                <w:kern w:val="2"/>
                <w:sz w:val="24"/>
                <w:szCs w:val="24"/>
                <w:lang w:val="zh-TW"/>
              </w:rPr>
            </w:pPr>
          </w:p>
          <w:p w14:paraId="0912540D">
            <w:pPr>
              <w:pStyle w:val="10"/>
              <w:widowControl w:val="0"/>
              <w:spacing w:after="0" w:line="360" w:lineRule="auto"/>
              <w:jc w:val="both"/>
              <w:rPr>
                <w:rFonts w:ascii="Times New Roman" w:hAnsi="Times New Roman" w:eastAsia="黑体" w:cs="黑体"/>
                <w:kern w:val="2"/>
                <w:sz w:val="24"/>
                <w:szCs w:val="24"/>
                <w:lang w:val="zh-TW"/>
              </w:rPr>
            </w:pPr>
          </w:p>
          <w:p w14:paraId="53814130">
            <w:pPr>
              <w:pStyle w:val="10"/>
              <w:widowControl w:val="0"/>
              <w:wordWrap w:val="0"/>
              <w:spacing w:after="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 xml:space="preserve">                           年   月   日</w:t>
            </w:r>
          </w:p>
        </w:tc>
      </w:tr>
    </w:tbl>
    <w:p w14:paraId="69267C14">
      <w:pPr>
        <w:pStyle w:val="10"/>
        <w:widowControl w:val="0"/>
        <w:spacing w:after="0" w:line="360" w:lineRule="auto"/>
        <w:ind w:firstLine="566" w:firstLineChars="236"/>
        <w:jc w:val="both"/>
        <w:rPr>
          <w:rFonts w:ascii="Times New Roman" w:hAnsi="Times New Roman" w:eastAsia="PMingLiU" w:cs="Times New Roman"/>
          <w:kern w:val="2"/>
          <w:sz w:val="24"/>
          <w:szCs w:val="24"/>
          <w:lang w:val="zh-TW" w:eastAsia="zh-TW"/>
        </w:rPr>
      </w:pPr>
    </w:p>
    <w:p w14:paraId="3906048A">
      <w:pPr>
        <w:pStyle w:val="10"/>
        <w:widowControl w:val="0"/>
        <w:spacing w:after="0" w:line="360" w:lineRule="auto"/>
        <w:jc w:val="both"/>
        <w:rPr>
          <w:rFonts w:ascii="Times New Roman" w:hAnsi="Times New Roman" w:cs="Times New Roman"/>
          <w:kern w:val="2"/>
          <w:sz w:val="24"/>
          <w:szCs w:val="24"/>
          <w:lang w:val="zh-TW"/>
        </w:rPr>
        <w:sectPr>
          <w:pgSz w:w="11906" w:h="16838"/>
          <w:pgMar w:top="1440" w:right="1800" w:bottom="1440" w:left="1800" w:header="851" w:footer="992" w:gutter="0"/>
          <w:cols w:space="425" w:num="1"/>
          <w:docGrid w:type="lines" w:linePitch="312" w:charSpace="0"/>
        </w:sectPr>
      </w:pPr>
    </w:p>
    <w:p w14:paraId="550325CF">
      <w:pPr>
        <w:pStyle w:val="9"/>
        <w:jc w:val="center"/>
        <w:rPr>
          <w:rFonts w:ascii="Times New Roman" w:hAnsi="Times New Roman" w:cs="Times New Roman"/>
          <w:color w:val="auto"/>
        </w:rPr>
      </w:pPr>
      <w:r>
        <w:rPr>
          <w:rFonts w:hint="eastAsia" w:ascii="Times New Roman" w:hAnsi="Times New Roman" w:cs="宋体"/>
          <w:color w:val="auto"/>
          <w:lang w:val="zh-CN"/>
        </w:rPr>
        <w:t>目录</w:t>
      </w:r>
    </w:p>
    <w:p w14:paraId="7432EDC2">
      <w:pPr>
        <w:spacing w:line="440" w:lineRule="exact"/>
        <w:ind w:firstLine="420" w:firstLineChars="200"/>
        <w:jc w:val="left"/>
        <w:rPr>
          <w:rFonts w:ascii="黑体" w:hAnsi="黑体" w:eastAsia="黑体"/>
          <w:szCs w:val="32"/>
        </w:rPr>
      </w:pPr>
      <w:r>
        <w:rPr>
          <w:rFonts w:hint="eastAsia" w:ascii="黑体" w:hAnsi="黑体" w:eastAsia="黑体"/>
          <w:szCs w:val="32"/>
        </w:rPr>
        <w:tab/>
      </w:r>
    </w:p>
    <w:p w14:paraId="1AA2D1FB">
      <w:pPr>
        <w:spacing w:line="440" w:lineRule="exact"/>
        <w:ind w:firstLine="420" w:firstLineChars="200"/>
        <w:jc w:val="left"/>
        <w:rPr>
          <w:rFonts w:ascii="黑体" w:hAnsi="黑体" w:eastAsia="黑体"/>
          <w:szCs w:val="32"/>
        </w:rPr>
      </w:pPr>
      <w:r>
        <w:rPr>
          <w:rFonts w:hint="eastAsia" w:ascii="黑体" w:hAnsi="黑体" w:eastAsia="黑体"/>
          <w:szCs w:val="32"/>
        </w:rPr>
        <w:t>一、项目基本情况</w:t>
      </w:r>
      <w:r>
        <w:rPr>
          <w:rFonts w:hint="eastAsia" w:ascii="黑体" w:hAnsi="黑体" w:eastAsia="黑体"/>
          <w:szCs w:val="32"/>
        </w:rPr>
        <w:tab/>
      </w:r>
    </w:p>
    <w:p w14:paraId="704F9B28">
      <w:pPr>
        <w:spacing w:line="440" w:lineRule="exact"/>
        <w:ind w:firstLine="315" w:firstLineChars="150"/>
        <w:jc w:val="left"/>
        <w:rPr>
          <w:rFonts w:ascii="黑体" w:hAnsi="黑体" w:eastAsia="黑体"/>
          <w:szCs w:val="32"/>
        </w:rPr>
      </w:pPr>
      <w:r>
        <w:rPr>
          <w:rFonts w:hint="eastAsia" w:ascii="黑体" w:hAnsi="黑体" w:eastAsia="黑体"/>
          <w:szCs w:val="32"/>
        </w:rPr>
        <w:t>（一）项目概况</w:t>
      </w:r>
      <w:r>
        <w:rPr>
          <w:rFonts w:hint="eastAsia" w:ascii="黑体" w:hAnsi="黑体" w:eastAsia="黑体"/>
          <w:szCs w:val="32"/>
        </w:rPr>
        <w:tab/>
      </w:r>
    </w:p>
    <w:p w14:paraId="7A235A3E">
      <w:pPr>
        <w:spacing w:line="440" w:lineRule="exact"/>
        <w:ind w:firstLine="735" w:firstLineChars="350"/>
        <w:jc w:val="left"/>
        <w:rPr>
          <w:rFonts w:ascii="黑体" w:hAnsi="黑体" w:eastAsia="黑体"/>
          <w:szCs w:val="32"/>
        </w:rPr>
      </w:pPr>
      <w:r>
        <w:rPr>
          <w:rFonts w:hint="eastAsia" w:ascii="黑体" w:hAnsi="黑体" w:eastAsia="黑体"/>
          <w:szCs w:val="32"/>
        </w:rPr>
        <w:t>1、项目立项背景及目的</w:t>
      </w:r>
    </w:p>
    <w:p w14:paraId="3C85B383">
      <w:pPr>
        <w:spacing w:line="440" w:lineRule="exact"/>
        <w:ind w:firstLine="735" w:firstLineChars="350"/>
        <w:jc w:val="left"/>
        <w:rPr>
          <w:rFonts w:ascii="黑体" w:hAnsi="黑体" w:eastAsia="黑体"/>
          <w:szCs w:val="32"/>
        </w:rPr>
      </w:pPr>
      <w:r>
        <w:rPr>
          <w:rFonts w:hint="eastAsia" w:ascii="黑体" w:hAnsi="黑体" w:eastAsia="黑体"/>
          <w:szCs w:val="32"/>
        </w:rPr>
        <w:t>2、项目实施情况</w:t>
      </w:r>
    </w:p>
    <w:p w14:paraId="1E61D885">
      <w:pPr>
        <w:spacing w:line="440" w:lineRule="exact"/>
        <w:ind w:firstLine="735" w:firstLineChars="350"/>
        <w:jc w:val="left"/>
        <w:rPr>
          <w:rFonts w:ascii="黑体" w:hAnsi="黑体" w:eastAsia="黑体"/>
          <w:szCs w:val="32"/>
        </w:rPr>
      </w:pPr>
      <w:r>
        <w:rPr>
          <w:rFonts w:hint="eastAsia" w:ascii="黑体" w:hAnsi="黑体" w:eastAsia="黑体"/>
          <w:szCs w:val="32"/>
        </w:rPr>
        <w:t>3、项目资金来源及使用情况</w:t>
      </w:r>
      <w:r>
        <w:rPr>
          <w:rFonts w:hint="eastAsia" w:ascii="黑体" w:hAnsi="黑体" w:eastAsia="黑体"/>
          <w:szCs w:val="32"/>
        </w:rPr>
        <w:tab/>
      </w:r>
    </w:p>
    <w:p w14:paraId="3092D0D1">
      <w:pPr>
        <w:spacing w:line="440" w:lineRule="exact"/>
        <w:ind w:firstLine="735" w:firstLineChars="350"/>
        <w:jc w:val="left"/>
        <w:rPr>
          <w:rFonts w:ascii="黑体" w:hAnsi="黑体" w:eastAsia="黑体"/>
          <w:szCs w:val="32"/>
        </w:rPr>
      </w:pPr>
      <w:r>
        <w:rPr>
          <w:rFonts w:hint="eastAsia" w:ascii="黑体" w:hAnsi="黑体" w:eastAsia="黑体"/>
          <w:szCs w:val="32"/>
        </w:rPr>
        <w:t>4、项目的组织及管理情况</w:t>
      </w:r>
    </w:p>
    <w:p w14:paraId="6AA2D2A1">
      <w:pPr>
        <w:spacing w:line="440" w:lineRule="exact"/>
        <w:ind w:firstLine="315" w:firstLineChars="150"/>
        <w:jc w:val="left"/>
        <w:rPr>
          <w:rFonts w:ascii="黑体" w:hAnsi="黑体" w:eastAsia="黑体"/>
          <w:szCs w:val="32"/>
        </w:rPr>
      </w:pPr>
      <w:r>
        <w:rPr>
          <w:rFonts w:hint="eastAsia" w:ascii="黑体" w:hAnsi="黑体" w:eastAsia="黑体"/>
          <w:szCs w:val="32"/>
        </w:rPr>
        <w:t>（二）项目绩效目标</w:t>
      </w:r>
    </w:p>
    <w:p w14:paraId="46C1C34F">
      <w:pPr>
        <w:spacing w:line="440" w:lineRule="exact"/>
        <w:ind w:firstLine="420" w:firstLineChars="200"/>
        <w:jc w:val="left"/>
        <w:rPr>
          <w:rFonts w:ascii="黑体" w:hAnsi="黑体" w:eastAsia="黑体"/>
          <w:szCs w:val="32"/>
        </w:rPr>
      </w:pPr>
      <w:r>
        <w:rPr>
          <w:rFonts w:hint="eastAsia" w:ascii="黑体" w:hAnsi="黑体" w:eastAsia="黑体"/>
          <w:szCs w:val="32"/>
        </w:rPr>
        <w:t>二、绩效评价工作情况</w:t>
      </w:r>
      <w:r>
        <w:rPr>
          <w:rFonts w:hint="eastAsia" w:ascii="黑体" w:hAnsi="黑体" w:eastAsia="黑体"/>
          <w:szCs w:val="32"/>
        </w:rPr>
        <w:tab/>
      </w:r>
    </w:p>
    <w:p w14:paraId="3C8CC04C">
      <w:pPr>
        <w:spacing w:line="440" w:lineRule="exact"/>
        <w:ind w:firstLine="420" w:firstLineChars="200"/>
        <w:jc w:val="left"/>
        <w:rPr>
          <w:rFonts w:ascii="黑体" w:hAnsi="黑体" w:eastAsia="黑体"/>
          <w:szCs w:val="32"/>
        </w:rPr>
      </w:pPr>
      <w:r>
        <w:rPr>
          <w:rFonts w:hint="eastAsia" w:ascii="黑体" w:hAnsi="黑体" w:eastAsia="黑体"/>
          <w:szCs w:val="32"/>
        </w:rPr>
        <w:t>(一)绩效评价的目的</w:t>
      </w:r>
      <w:r>
        <w:rPr>
          <w:rFonts w:hint="eastAsia" w:ascii="黑体" w:hAnsi="黑体" w:eastAsia="黑体"/>
          <w:szCs w:val="32"/>
        </w:rPr>
        <w:tab/>
      </w:r>
    </w:p>
    <w:p w14:paraId="5D62B1E9">
      <w:pPr>
        <w:spacing w:line="440" w:lineRule="exact"/>
        <w:ind w:firstLine="420" w:firstLineChars="200"/>
        <w:jc w:val="left"/>
        <w:rPr>
          <w:rFonts w:ascii="黑体" w:hAnsi="黑体" w:eastAsia="黑体"/>
          <w:szCs w:val="32"/>
        </w:rPr>
      </w:pPr>
      <w:r>
        <w:rPr>
          <w:rFonts w:hint="eastAsia" w:ascii="黑体" w:hAnsi="黑体" w:eastAsia="黑体"/>
          <w:szCs w:val="32"/>
        </w:rPr>
        <w:t>(二)绩效评价工作方案制定过程</w:t>
      </w:r>
      <w:r>
        <w:rPr>
          <w:rFonts w:hint="eastAsia" w:ascii="黑体" w:hAnsi="黑体" w:eastAsia="黑体"/>
          <w:szCs w:val="32"/>
        </w:rPr>
        <w:tab/>
      </w:r>
    </w:p>
    <w:p w14:paraId="16AEDBF3">
      <w:pPr>
        <w:spacing w:line="440" w:lineRule="exact"/>
        <w:ind w:firstLine="420" w:firstLineChars="200"/>
        <w:jc w:val="left"/>
        <w:rPr>
          <w:rFonts w:ascii="黑体" w:hAnsi="黑体" w:eastAsia="黑体"/>
          <w:szCs w:val="32"/>
        </w:rPr>
      </w:pPr>
      <w:r>
        <w:rPr>
          <w:rFonts w:hint="eastAsia" w:ascii="黑体" w:hAnsi="黑体" w:eastAsia="黑体"/>
          <w:szCs w:val="32"/>
        </w:rPr>
        <w:t>(三)绩效评价原则、评价方法等</w:t>
      </w:r>
      <w:r>
        <w:rPr>
          <w:rFonts w:hint="eastAsia" w:ascii="黑体" w:hAnsi="黑体" w:eastAsia="黑体"/>
          <w:szCs w:val="32"/>
        </w:rPr>
        <w:tab/>
      </w:r>
    </w:p>
    <w:p w14:paraId="2F92BEB3">
      <w:pPr>
        <w:spacing w:line="440" w:lineRule="exact"/>
        <w:ind w:firstLine="420" w:firstLineChars="200"/>
        <w:jc w:val="left"/>
        <w:rPr>
          <w:rFonts w:ascii="黑体" w:hAnsi="黑体" w:eastAsia="黑体"/>
          <w:szCs w:val="32"/>
        </w:rPr>
      </w:pPr>
      <w:r>
        <w:rPr>
          <w:rFonts w:hint="eastAsia" w:ascii="黑体" w:hAnsi="黑体" w:eastAsia="黑体"/>
          <w:szCs w:val="32"/>
        </w:rPr>
        <w:t>(四)绩效评价实施过程</w:t>
      </w:r>
      <w:r>
        <w:rPr>
          <w:rFonts w:hint="eastAsia" w:ascii="黑体" w:hAnsi="黑体" w:eastAsia="黑体"/>
          <w:szCs w:val="32"/>
        </w:rPr>
        <w:tab/>
      </w:r>
    </w:p>
    <w:p w14:paraId="471A26FE">
      <w:pPr>
        <w:spacing w:line="440" w:lineRule="exact"/>
        <w:ind w:firstLine="420" w:firstLineChars="200"/>
        <w:jc w:val="left"/>
        <w:rPr>
          <w:rFonts w:ascii="黑体" w:hAnsi="黑体" w:eastAsia="黑体"/>
          <w:szCs w:val="32"/>
        </w:rPr>
      </w:pPr>
      <w:r>
        <w:rPr>
          <w:rFonts w:hint="eastAsia" w:ascii="黑体" w:hAnsi="黑体" w:eastAsia="黑体"/>
          <w:szCs w:val="32"/>
        </w:rPr>
        <w:t>(五)绩效评价的局限性</w:t>
      </w:r>
      <w:r>
        <w:rPr>
          <w:rFonts w:hint="eastAsia" w:ascii="黑体" w:hAnsi="黑体" w:eastAsia="黑体"/>
          <w:szCs w:val="32"/>
        </w:rPr>
        <w:tab/>
      </w:r>
    </w:p>
    <w:p w14:paraId="6E1055A5">
      <w:pPr>
        <w:spacing w:line="440" w:lineRule="exact"/>
        <w:ind w:firstLine="420" w:firstLineChars="200"/>
        <w:jc w:val="left"/>
        <w:rPr>
          <w:rFonts w:ascii="黑体" w:hAnsi="黑体" w:eastAsia="黑体"/>
          <w:szCs w:val="32"/>
        </w:rPr>
      </w:pPr>
      <w:r>
        <w:rPr>
          <w:rFonts w:hint="eastAsia" w:ascii="黑体" w:hAnsi="黑体" w:eastAsia="黑体"/>
          <w:szCs w:val="32"/>
        </w:rPr>
        <w:t>三、评价结论及绩效分析</w:t>
      </w:r>
    </w:p>
    <w:p w14:paraId="0EA4E2C3">
      <w:pPr>
        <w:spacing w:line="440" w:lineRule="exact"/>
        <w:ind w:firstLine="420" w:firstLineChars="200"/>
        <w:jc w:val="left"/>
        <w:rPr>
          <w:rFonts w:ascii="黑体" w:hAnsi="黑体" w:eastAsia="黑体"/>
          <w:szCs w:val="32"/>
        </w:rPr>
      </w:pPr>
      <w:r>
        <w:rPr>
          <w:rFonts w:hint="eastAsia" w:ascii="黑体" w:hAnsi="黑体" w:eastAsia="黑体"/>
          <w:szCs w:val="32"/>
        </w:rPr>
        <w:t>(一)评价结论</w:t>
      </w:r>
      <w:r>
        <w:rPr>
          <w:rFonts w:hint="eastAsia" w:ascii="黑体" w:hAnsi="黑体" w:eastAsia="黑体"/>
          <w:szCs w:val="32"/>
        </w:rPr>
        <w:tab/>
      </w:r>
    </w:p>
    <w:p w14:paraId="0855949D">
      <w:pPr>
        <w:spacing w:line="440" w:lineRule="exact"/>
        <w:ind w:firstLine="420" w:firstLineChars="200"/>
        <w:jc w:val="left"/>
        <w:rPr>
          <w:rFonts w:ascii="黑体" w:hAnsi="黑体" w:eastAsia="黑体"/>
          <w:szCs w:val="32"/>
        </w:rPr>
      </w:pPr>
      <w:r>
        <w:rPr>
          <w:rFonts w:hint="eastAsia" w:ascii="黑体" w:hAnsi="黑体" w:eastAsia="黑体"/>
          <w:szCs w:val="32"/>
        </w:rPr>
        <w:t>(二)绩效分析</w:t>
      </w:r>
      <w:r>
        <w:rPr>
          <w:rFonts w:hint="eastAsia" w:ascii="黑体" w:hAnsi="黑体" w:eastAsia="黑体"/>
          <w:szCs w:val="32"/>
        </w:rPr>
        <w:tab/>
      </w:r>
    </w:p>
    <w:p w14:paraId="19DD6660">
      <w:pPr>
        <w:spacing w:line="440" w:lineRule="exact"/>
        <w:ind w:firstLine="420" w:firstLineChars="200"/>
        <w:jc w:val="left"/>
        <w:rPr>
          <w:rFonts w:ascii="黑体" w:hAnsi="黑体" w:eastAsia="黑体"/>
          <w:szCs w:val="32"/>
        </w:rPr>
      </w:pPr>
      <w:r>
        <w:rPr>
          <w:rFonts w:hint="eastAsia" w:ascii="黑体" w:hAnsi="黑体" w:eastAsia="黑体"/>
          <w:szCs w:val="32"/>
        </w:rPr>
        <w:t>四、成本效益分析</w:t>
      </w:r>
    </w:p>
    <w:p w14:paraId="61839928">
      <w:pPr>
        <w:spacing w:line="440" w:lineRule="exact"/>
        <w:ind w:firstLine="420" w:firstLineChars="200"/>
        <w:jc w:val="left"/>
        <w:rPr>
          <w:rFonts w:ascii="黑体" w:hAnsi="黑体" w:eastAsia="黑体"/>
          <w:szCs w:val="32"/>
        </w:rPr>
      </w:pPr>
      <w:r>
        <w:rPr>
          <w:rFonts w:hint="eastAsia" w:ascii="黑体" w:hAnsi="黑体" w:eastAsia="黑体"/>
          <w:szCs w:val="32"/>
        </w:rPr>
        <w:t>五、项目主要经验及做法、存在的问题和建议</w:t>
      </w:r>
    </w:p>
    <w:p w14:paraId="6DD21479">
      <w:pPr>
        <w:spacing w:line="440" w:lineRule="exact"/>
        <w:ind w:firstLine="420" w:firstLineChars="200"/>
        <w:jc w:val="left"/>
        <w:rPr>
          <w:rFonts w:ascii="黑体" w:hAnsi="黑体" w:eastAsia="黑体"/>
          <w:szCs w:val="32"/>
        </w:rPr>
      </w:pPr>
      <w:r>
        <w:rPr>
          <w:rFonts w:hint="eastAsia" w:ascii="黑体" w:hAnsi="黑体" w:eastAsia="黑体"/>
          <w:szCs w:val="32"/>
        </w:rPr>
        <w:t>(一)主要经验及做法</w:t>
      </w:r>
      <w:r>
        <w:rPr>
          <w:rFonts w:hint="eastAsia" w:ascii="黑体" w:hAnsi="黑体" w:eastAsia="黑体"/>
          <w:szCs w:val="32"/>
        </w:rPr>
        <w:tab/>
      </w:r>
    </w:p>
    <w:p w14:paraId="75152937">
      <w:pPr>
        <w:spacing w:line="440" w:lineRule="exact"/>
        <w:ind w:firstLine="420" w:firstLineChars="200"/>
        <w:jc w:val="left"/>
        <w:rPr>
          <w:rFonts w:ascii="黑体" w:hAnsi="黑体" w:eastAsia="黑体"/>
          <w:szCs w:val="32"/>
        </w:rPr>
      </w:pPr>
      <w:r>
        <w:rPr>
          <w:rFonts w:hint="eastAsia" w:ascii="黑体" w:hAnsi="黑体" w:eastAsia="黑体"/>
          <w:szCs w:val="32"/>
        </w:rPr>
        <w:t>(二)存在的问题</w:t>
      </w:r>
      <w:r>
        <w:rPr>
          <w:rFonts w:hint="eastAsia" w:ascii="黑体" w:hAnsi="黑体" w:eastAsia="黑体"/>
          <w:szCs w:val="32"/>
        </w:rPr>
        <w:tab/>
      </w:r>
    </w:p>
    <w:p w14:paraId="1544EE26">
      <w:pPr>
        <w:spacing w:line="440" w:lineRule="exact"/>
        <w:ind w:firstLine="420" w:firstLineChars="200"/>
        <w:jc w:val="left"/>
        <w:rPr>
          <w:rFonts w:ascii="黑体" w:hAnsi="黑体" w:eastAsia="黑体"/>
          <w:szCs w:val="32"/>
        </w:rPr>
      </w:pPr>
      <w:r>
        <w:rPr>
          <w:rFonts w:hint="eastAsia" w:ascii="黑体" w:hAnsi="黑体" w:eastAsia="黑体"/>
          <w:szCs w:val="32"/>
        </w:rPr>
        <w:t>(三)建议和改进措施</w:t>
      </w:r>
    </w:p>
    <w:p w14:paraId="408A0E2D">
      <w:pPr>
        <w:spacing w:line="440" w:lineRule="exact"/>
        <w:ind w:firstLine="420" w:firstLineChars="200"/>
        <w:jc w:val="left"/>
        <w:rPr>
          <w:rFonts w:ascii="黑体" w:hAnsi="黑体" w:eastAsia="黑体"/>
          <w:szCs w:val="32"/>
        </w:rPr>
      </w:pPr>
    </w:p>
    <w:p w14:paraId="4D799206">
      <w:pPr>
        <w:spacing w:line="440" w:lineRule="exact"/>
        <w:ind w:firstLine="420" w:firstLineChars="200"/>
        <w:jc w:val="left"/>
        <w:rPr>
          <w:rFonts w:ascii="黑体" w:hAnsi="黑体" w:eastAsia="黑体"/>
          <w:szCs w:val="32"/>
        </w:rPr>
      </w:pPr>
    </w:p>
    <w:p w14:paraId="50EDD5F8">
      <w:pPr>
        <w:spacing w:line="440" w:lineRule="exact"/>
        <w:ind w:firstLine="420" w:firstLineChars="200"/>
        <w:jc w:val="left"/>
        <w:rPr>
          <w:rFonts w:ascii="黑体" w:hAnsi="黑体" w:eastAsia="黑体"/>
          <w:szCs w:val="32"/>
        </w:rPr>
      </w:pPr>
      <w:r>
        <w:rPr>
          <w:rFonts w:hint="eastAsia" w:ascii="黑体" w:hAnsi="黑体" w:eastAsia="黑体"/>
          <w:szCs w:val="32"/>
        </w:rPr>
        <w:tab/>
      </w:r>
    </w:p>
    <w:p w14:paraId="48AF3789">
      <w:pPr>
        <w:spacing w:line="540" w:lineRule="exact"/>
        <w:rPr>
          <w:rFonts w:ascii="方正小标宋_GBK" w:hAnsi="黑体" w:eastAsia="方正小标宋_GBK"/>
          <w:szCs w:val="32"/>
        </w:rPr>
      </w:pPr>
    </w:p>
    <w:p w14:paraId="49779971">
      <w:pPr>
        <w:spacing w:line="440" w:lineRule="exact"/>
        <w:jc w:val="center"/>
        <w:rPr>
          <w:rFonts w:ascii="方正小标宋_GBK" w:eastAsia="方正小标宋_GBK"/>
          <w:sz w:val="36"/>
          <w:szCs w:val="36"/>
        </w:rPr>
      </w:pPr>
    </w:p>
    <w:p w14:paraId="05E325B5">
      <w:pPr>
        <w:spacing w:line="440" w:lineRule="exact"/>
        <w:jc w:val="center"/>
        <w:rPr>
          <w:rFonts w:ascii="方正小标宋_GBK" w:eastAsia="方正小标宋_GBK"/>
          <w:sz w:val="36"/>
          <w:szCs w:val="36"/>
        </w:rPr>
      </w:pPr>
    </w:p>
    <w:p w14:paraId="201BFDE2">
      <w:pPr>
        <w:spacing w:line="440" w:lineRule="exact"/>
        <w:jc w:val="center"/>
        <w:rPr>
          <w:rFonts w:ascii="方正小标宋_GBK" w:eastAsia="方正小标宋_GBK"/>
          <w:sz w:val="36"/>
          <w:szCs w:val="36"/>
        </w:rPr>
      </w:pPr>
      <w:r>
        <w:rPr>
          <w:rFonts w:hint="eastAsia" w:ascii="方正小标宋_GBK" w:eastAsia="方正小标宋_GBK"/>
          <w:sz w:val="36"/>
          <w:szCs w:val="36"/>
        </w:rPr>
        <w:t>昆迪合作帮扶资金项目支出绩效自评报告</w:t>
      </w:r>
    </w:p>
    <w:p w14:paraId="02C677BD">
      <w:pPr>
        <w:spacing w:line="440" w:lineRule="exact"/>
        <w:jc w:val="center"/>
        <w:rPr>
          <w:rFonts w:ascii="黑体" w:hAnsi="黑体" w:eastAsia="黑体"/>
          <w:sz w:val="36"/>
          <w:szCs w:val="36"/>
        </w:rPr>
      </w:pPr>
    </w:p>
    <w:p w14:paraId="49AA1D25">
      <w:pPr>
        <w:topLinePunct/>
        <w:spacing w:line="440" w:lineRule="exact"/>
        <w:ind w:firstLine="525" w:firstLineChars="250"/>
        <w:rPr>
          <w:rFonts w:ascii="黑体" w:eastAsia="黑体"/>
          <w:szCs w:val="32"/>
        </w:rPr>
      </w:pPr>
    </w:p>
    <w:p w14:paraId="31ABF7B2">
      <w:pPr>
        <w:topLinePunct/>
        <w:spacing w:line="440" w:lineRule="exact"/>
        <w:ind w:firstLine="800" w:firstLineChars="250"/>
        <w:rPr>
          <w:rFonts w:ascii="黑体" w:eastAsia="黑体"/>
          <w:sz w:val="32"/>
          <w:szCs w:val="32"/>
        </w:rPr>
      </w:pPr>
      <w:r>
        <w:rPr>
          <w:rFonts w:hint="eastAsia" w:ascii="黑体" w:eastAsia="黑体"/>
          <w:sz w:val="32"/>
          <w:szCs w:val="32"/>
        </w:rPr>
        <w:t>一、项目基本情况</w:t>
      </w:r>
    </w:p>
    <w:p w14:paraId="03570CB2">
      <w:pPr>
        <w:topLinePunct/>
        <w:spacing w:line="440" w:lineRule="exact"/>
        <w:ind w:firstLine="800" w:firstLineChars="250"/>
        <w:rPr>
          <w:rFonts w:ascii="楷体" w:hAnsi="楷体" w:eastAsia="楷体"/>
          <w:sz w:val="32"/>
          <w:szCs w:val="32"/>
        </w:rPr>
      </w:pPr>
      <w:r>
        <w:rPr>
          <w:rFonts w:hint="eastAsia" w:ascii="楷体" w:hAnsi="楷体" w:eastAsia="楷体"/>
          <w:sz w:val="32"/>
          <w:szCs w:val="32"/>
        </w:rPr>
        <w:t>（一）项目概况。</w:t>
      </w:r>
    </w:p>
    <w:p w14:paraId="06A75341">
      <w:pPr>
        <w:topLinePunct/>
        <w:spacing w:line="440" w:lineRule="exact"/>
        <w:ind w:firstLine="800" w:firstLineChars="250"/>
        <w:rPr>
          <w:rFonts w:ascii="仿宋_GB2312" w:hAnsi="楷体" w:eastAsia="仿宋_GB2312"/>
          <w:sz w:val="32"/>
          <w:szCs w:val="32"/>
        </w:rPr>
      </w:pPr>
      <w:r>
        <w:rPr>
          <w:rFonts w:hint="eastAsia" w:ascii="仿宋_GB2312" w:hAnsi="楷体" w:eastAsia="仿宋_GB2312"/>
          <w:sz w:val="32"/>
          <w:szCs w:val="32"/>
        </w:rPr>
        <w:t>1.立项背景及目的。</w:t>
      </w:r>
    </w:p>
    <w:p w14:paraId="5EF99A76">
      <w:pPr>
        <w:spacing w:line="560" w:lineRule="exact"/>
        <w:ind w:firstLine="640" w:firstLineChars="200"/>
        <w:rPr>
          <w:rFonts w:ascii="Times New Roman" w:hAnsi="Times New Roman" w:eastAsia="黑体"/>
          <w:sz w:val="32"/>
          <w:szCs w:val="32"/>
        </w:rPr>
      </w:pPr>
      <w:r>
        <w:rPr>
          <w:rFonts w:hint="eastAsia" w:ascii="仿宋_GB2312" w:eastAsia="仿宋_GB2312"/>
          <w:sz w:val="32"/>
          <w:szCs w:val="32"/>
        </w:rPr>
        <w:t>为</w:t>
      </w:r>
      <w:r>
        <w:rPr>
          <w:rFonts w:hint="eastAsia" w:eastAsia="仿宋_GB2312"/>
          <w:sz w:val="32"/>
          <w:szCs w:val="32"/>
        </w:rPr>
        <w:t>贯彻落实中央第六次西藏工作座谈会、</w:t>
      </w:r>
      <w:r>
        <w:rPr>
          <w:rFonts w:hint="eastAsia" w:ascii="仿宋_GB2312" w:eastAsia="仿宋_GB2312"/>
          <w:color w:val="000000"/>
          <w:sz w:val="32"/>
          <w:szCs w:val="32"/>
        </w:rPr>
        <w:t>省委第二次藏区工作会议、省委省政府迪庆藏区脱贫攻坚暨“挂包帮”工作总体安排部署，</w:t>
      </w:r>
      <w:r>
        <w:rPr>
          <w:rFonts w:ascii="Times New Roman" w:hAnsi="Times New Roman" w:eastAsia="仿宋_GB2312"/>
          <w:color w:val="000000" w:themeColor="text1"/>
          <w:sz w:val="32"/>
          <w:szCs w:val="32"/>
        </w:rPr>
        <w:t xml:space="preserve"> “十四五”期间，继续巩固两地帮扶合作基础，不断完善帮扶合作协调机制，进一步拓展帮扶合作的领域和空间，切实提高帮扶的质量和效果，以对口</w:t>
      </w:r>
      <w:r>
        <w:rPr>
          <w:rFonts w:hint="eastAsia" w:ascii="Times New Roman" w:hAnsi="Times New Roman" w:eastAsia="仿宋_GB2312"/>
          <w:color w:val="000000" w:themeColor="text1"/>
          <w:sz w:val="32"/>
          <w:szCs w:val="32"/>
          <w:lang w:eastAsia="zh-CN"/>
        </w:rPr>
        <w:t>脱贫攻坚</w:t>
      </w:r>
      <w:r>
        <w:rPr>
          <w:rFonts w:ascii="Times New Roman" w:hAnsi="Times New Roman" w:eastAsia="仿宋_GB2312"/>
          <w:color w:val="000000" w:themeColor="text1"/>
          <w:sz w:val="32"/>
          <w:szCs w:val="32"/>
        </w:rPr>
        <w:t>为抓手，以改善民生为重点，以帮扶项目为核心，注重实效、提升层次、扩大影响，努力开创昆迪合作新局面。积极建立“脱贫共抓、资源共享、市场共建、合作共赢，推动‘输血式’帮扶向‘造血式’合作转变、对口支援协作向全面战略合作转变”的协作模式，着力构建各类合作平台，加快形成特色产业、人才培养、教育医疗、劳务输出、社会帮扶等全方位、多领域支援合作格局，有力促进当地精准脱贫，实现互利共赢、共同发展。双方围绕产业布局与发展、城镇功能定位与空间布局、自主创新能力建设、文化大发展、推进生态环境一体化建设、推进公共服务发展、促进重大基础设施共建共享等领域，争取国家在土地、税收、生态补偿、国家重大项目布局等方面共同推进友好合作。建立年度帮扶资金稳步增长机制，</w:t>
      </w:r>
      <w:r>
        <w:rPr>
          <w:rFonts w:ascii="Times New Roman" w:hAnsi="Times New Roman" w:eastAsia="仿宋_GB2312"/>
          <w:sz w:val="32"/>
          <w:szCs w:val="32"/>
        </w:rPr>
        <w:t>“十四五”期间，昆明市无偿援助迪庆州项目资金争取平均每年不低于3800万元，五年合计不低于19000万元。其中：对香格里拉市无偿援助资金争取平均每年不低于2200万元，五年合计不低于11000万元。</w:t>
      </w:r>
    </w:p>
    <w:p w14:paraId="501DE14E">
      <w:pPr>
        <w:topLinePunct/>
        <w:spacing w:line="440" w:lineRule="exact"/>
        <w:ind w:firstLine="640" w:firstLineChars="200"/>
        <w:rPr>
          <w:rFonts w:ascii="仿宋_GB2312" w:hAnsi="楷体" w:eastAsia="仿宋_GB2312"/>
          <w:sz w:val="32"/>
          <w:szCs w:val="32"/>
        </w:rPr>
      </w:pPr>
      <w:r>
        <w:rPr>
          <w:rFonts w:hint="eastAsia" w:ascii="仿宋_GB2312" w:hAnsi="楷体" w:eastAsia="仿宋_GB2312"/>
          <w:sz w:val="32"/>
          <w:szCs w:val="32"/>
        </w:rPr>
        <w:t>2.项目实施情况。</w:t>
      </w:r>
    </w:p>
    <w:p w14:paraId="05C2068F">
      <w:pPr>
        <w:spacing w:line="560" w:lineRule="exact"/>
        <w:ind w:firstLine="640" w:firstLineChars="200"/>
        <w:rPr>
          <w:rFonts w:ascii="仿宋_GB2312" w:eastAsia="仿宋_GB2312"/>
          <w:sz w:val="32"/>
          <w:szCs w:val="32"/>
        </w:rPr>
      </w:pPr>
      <w:r>
        <w:rPr>
          <w:rFonts w:hint="eastAsia" w:ascii="仿宋_GB2312" w:eastAsia="仿宋_GB2312"/>
          <w:sz w:val="32"/>
          <w:szCs w:val="32"/>
        </w:rPr>
        <w:t>根据区财政202</w:t>
      </w:r>
      <w:r>
        <w:rPr>
          <w:rFonts w:hint="eastAsia" w:ascii="仿宋_GB2312" w:eastAsia="仿宋_GB2312"/>
          <w:sz w:val="32"/>
          <w:szCs w:val="32"/>
          <w:lang w:val="en-US" w:eastAsia="zh-CN"/>
        </w:rPr>
        <w:t>2</w:t>
      </w:r>
      <w:r>
        <w:rPr>
          <w:rFonts w:hint="eastAsia" w:ascii="仿宋_GB2312" w:eastAsia="仿宋_GB2312"/>
          <w:sz w:val="32"/>
          <w:szCs w:val="32"/>
        </w:rPr>
        <w:t>年初预算安排，下达用于盘龙区昆迪</w:t>
      </w:r>
    </w:p>
    <w:p w14:paraId="03840467">
      <w:pPr>
        <w:spacing w:line="560" w:lineRule="exact"/>
        <w:rPr>
          <w:rFonts w:ascii="仿宋_GB2312" w:eastAsia="仿宋_GB2312"/>
          <w:sz w:val="32"/>
          <w:szCs w:val="32"/>
        </w:rPr>
      </w:pPr>
      <w:r>
        <w:rPr>
          <w:rFonts w:hint="eastAsia" w:ascii="仿宋_GB2312" w:eastAsia="仿宋_GB2312"/>
          <w:sz w:val="32"/>
          <w:szCs w:val="32"/>
        </w:rPr>
        <w:t>合作帮扶项目资金200万元，年中按照市投促局的资金拨付时间要求全额拨至市投促局，再由市局统筹拨付迪庆州商务局。</w:t>
      </w:r>
    </w:p>
    <w:p w14:paraId="7BD061F8">
      <w:pPr>
        <w:topLinePunct/>
        <w:spacing w:line="440" w:lineRule="exact"/>
        <w:ind w:firstLine="640" w:firstLineChars="200"/>
        <w:rPr>
          <w:rFonts w:ascii="仿宋_GB2312" w:hAnsi="楷体" w:eastAsia="仿宋_GB2312"/>
          <w:sz w:val="32"/>
          <w:szCs w:val="32"/>
        </w:rPr>
      </w:pPr>
      <w:r>
        <w:rPr>
          <w:rFonts w:hint="eastAsia" w:ascii="仿宋_GB2312" w:hAnsi="楷体" w:eastAsia="仿宋_GB2312"/>
          <w:sz w:val="32"/>
          <w:szCs w:val="32"/>
        </w:rPr>
        <w:t>3.资金来源及使用情况。</w:t>
      </w:r>
    </w:p>
    <w:p w14:paraId="75AFF6EA">
      <w:pPr>
        <w:spacing w:line="560" w:lineRule="exact"/>
        <w:ind w:firstLine="640" w:firstLineChars="200"/>
        <w:rPr>
          <w:rFonts w:ascii="仿宋_GB2312" w:eastAsia="仿宋_GB2312"/>
          <w:sz w:val="32"/>
          <w:szCs w:val="32"/>
        </w:rPr>
      </w:pPr>
      <w:r>
        <w:rPr>
          <w:rFonts w:hint="eastAsia" w:ascii="仿宋_GB2312" w:eastAsia="仿宋_GB2312"/>
          <w:sz w:val="32"/>
          <w:szCs w:val="32"/>
        </w:rPr>
        <w:t>区财政202</w:t>
      </w:r>
      <w:r>
        <w:rPr>
          <w:rFonts w:hint="eastAsia" w:ascii="仿宋_GB2312" w:eastAsia="仿宋_GB2312"/>
          <w:sz w:val="32"/>
          <w:szCs w:val="32"/>
          <w:lang w:val="en-US" w:eastAsia="zh-CN"/>
        </w:rPr>
        <w:t>2</w:t>
      </w:r>
      <w:r>
        <w:rPr>
          <w:rFonts w:hint="eastAsia" w:ascii="仿宋_GB2312" w:eastAsia="仿宋_GB2312"/>
          <w:sz w:val="32"/>
          <w:szCs w:val="32"/>
        </w:rPr>
        <w:t>年初安排该项目资金预算200万元，以预算指标的形式下达我局。202</w:t>
      </w:r>
      <w:r>
        <w:rPr>
          <w:rFonts w:hint="eastAsia" w:ascii="仿宋_GB2312" w:eastAsia="仿宋_GB2312"/>
          <w:sz w:val="32"/>
          <w:szCs w:val="32"/>
          <w:lang w:val="en-US" w:eastAsia="zh-CN"/>
        </w:rPr>
        <w:t>2</w:t>
      </w:r>
      <w:r>
        <w:rPr>
          <w:rFonts w:hint="eastAsia" w:ascii="仿宋_GB2312" w:eastAsia="仿宋_GB2312"/>
          <w:sz w:val="32"/>
          <w:szCs w:val="32"/>
        </w:rPr>
        <w:t>年</w:t>
      </w:r>
      <w:r>
        <w:rPr>
          <w:rFonts w:hint="eastAsia" w:ascii="仿宋_GB2312" w:eastAsia="仿宋_GB2312"/>
          <w:sz w:val="32"/>
          <w:szCs w:val="32"/>
          <w:lang w:val="en-US" w:eastAsia="zh-CN"/>
        </w:rPr>
        <w:t>6</w:t>
      </w:r>
      <w:r>
        <w:rPr>
          <w:rFonts w:hint="eastAsia" w:ascii="仿宋_GB2312" w:eastAsia="仿宋_GB2312"/>
          <w:sz w:val="32"/>
          <w:szCs w:val="32"/>
        </w:rPr>
        <w:t>月按照市投促局的资金拨付时间要求全额拨至市投促局。</w:t>
      </w:r>
    </w:p>
    <w:p w14:paraId="4323AEC9">
      <w:pPr>
        <w:spacing w:line="560" w:lineRule="exact"/>
        <w:ind w:firstLine="640" w:firstLineChars="200"/>
        <w:rPr>
          <w:rFonts w:ascii="仿宋_GB2312" w:eastAsia="仿宋_GB2312"/>
          <w:sz w:val="32"/>
          <w:szCs w:val="32"/>
        </w:rPr>
      </w:pPr>
      <w:r>
        <w:rPr>
          <w:rFonts w:hint="eastAsia" w:ascii="仿宋_GB2312" w:eastAsia="仿宋_GB2312"/>
          <w:sz w:val="32"/>
          <w:szCs w:val="32"/>
        </w:rPr>
        <w:t>4.组织及管理情况。</w:t>
      </w:r>
    </w:p>
    <w:p w14:paraId="79A03829">
      <w:pPr>
        <w:spacing w:line="560" w:lineRule="exact"/>
        <w:ind w:firstLine="640" w:firstLineChars="200"/>
        <w:rPr>
          <w:rFonts w:ascii="仿宋_GB2312" w:eastAsia="仿宋_GB2312"/>
          <w:sz w:val="32"/>
          <w:szCs w:val="32"/>
        </w:rPr>
      </w:pPr>
      <w:r>
        <w:rPr>
          <w:rFonts w:hint="eastAsia" w:ascii="仿宋_GB2312" w:eastAsia="仿宋_GB2312"/>
          <w:sz w:val="32"/>
          <w:szCs w:val="32"/>
        </w:rPr>
        <w:t>区财政202</w:t>
      </w:r>
      <w:r>
        <w:rPr>
          <w:rFonts w:hint="eastAsia" w:ascii="仿宋_GB2312" w:eastAsia="仿宋_GB2312"/>
          <w:sz w:val="32"/>
          <w:szCs w:val="32"/>
          <w:lang w:val="en-US" w:eastAsia="zh-CN"/>
        </w:rPr>
        <w:t>2</w:t>
      </w:r>
      <w:r>
        <w:rPr>
          <w:rFonts w:hint="eastAsia" w:ascii="仿宋_GB2312" w:eastAsia="仿宋_GB2312"/>
          <w:sz w:val="32"/>
          <w:szCs w:val="32"/>
        </w:rPr>
        <w:t>年初安排该项目资金预算200万元，以预算指标的形式下达我局。202</w:t>
      </w:r>
      <w:r>
        <w:rPr>
          <w:rFonts w:hint="eastAsia" w:ascii="仿宋_GB2312" w:eastAsia="仿宋_GB2312"/>
          <w:sz w:val="32"/>
          <w:szCs w:val="32"/>
          <w:lang w:val="en-US" w:eastAsia="zh-CN"/>
        </w:rPr>
        <w:t>2</w:t>
      </w:r>
      <w:r>
        <w:rPr>
          <w:rFonts w:hint="eastAsia" w:ascii="仿宋_GB2312" w:eastAsia="仿宋_GB2312"/>
          <w:sz w:val="32"/>
          <w:szCs w:val="32"/>
        </w:rPr>
        <w:t>年</w:t>
      </w:r>
      <w:r>
        <w:rPr>
          <w:rFonts w:hint="eastAsia" w:ascii="仿宋_GB2312" w:eastAsia="仿宋_GB2312"/>
          <w:sz w:val="32"/>
          <w:szCs w:val="32"/>
          <w:lang w:val="en-US" w:eastAsia="zh-CN"/>
        </w:rPr>
        <w:t>6</w:t>
      </w:r>
      <w:r>
        <w:rPr>
          <w:rFonts w:hint="eastAsia" w:ascii="仿宋_GB2312" w:eastAsia="仿宋_GB2312"/>
          <w:sz w:val="32"/>
          <w:szCs w:val="32"/>
        </w:rPr>
        <w:t>月我局按照市投促局的资金拨付时间要求以转账方式全额拨至市投促局。</w:t>
      </w:r>
    </w:p>
    <w:p w14:paraId="41F087B7">
      <w:pPr>
        <w:topLinePunct/>
        <w:spacing w:line="440" w:lineRule="exact"/>
        <w:ind w:firstLine="800" w:firstLineChars="250"/>
        <w:rPr>
          <w:rFonts w:ascii="仿宋_GB2312" w:hAnsi="楷体" w:eastAsia="仿宋_GB2312"/>
          <w:sz w:val="32"/>
          <w:szCs w:val="32"/>
        </w:rPr>
      </w:pPr>
    </w:p>
    <w:p w14:paraId="7096B0D7">
      <w:pPr>
        <w:topLinePunct/>
        <w:spacing w:line="440" w:lineRule="exact"/>
        <w:ind w:firstLine="800" w:firstLineChars="250"/>
        <w:rPr>
          <w:rFonts w:ascii="楷体" w:hAnsi="楷体" w:eastAsia="楷体"/>
          <w:sz w:val="32"/>
          <w:szCs w:val="32"/>
        </w:rPr>
      </w:pPr>
      <w:r>
        <w:rPr>
          <w:rFonts w:hint="eastAsia" w:ascii="楷体" w:hAnsi="楷体" w:eastAsia="楷体"/>
          <w:sz w:val="32"/>
          <w:szCs w:val="32"/>
        </w:rPr>
        <w:t>（二）绩效目标。</w:t>
      </w:r>
    </w:p>
    <w:p w14:paraId="423BC126">
      <w:pPr>
        <w:spacing w:line="560" w:lineRule="exact"/>
        <w:ind w:firstLine="640" w:firstLineChars="200"/>
        <w:rPr>
          <w:rFonts w:ascii="仿宋_GB2312" w:eastAsia="仿宋_GB2312"/>
          <w:sz w:val="32"/>
          <w:szCs w:val="32"/>
        </w:rPr>
      </w:pPr>
      <w:r>
        <w:rPr>
          <w:rFonts w:hint="eastAsia" w:ascii="仿宋_GB2312" w:eastAsia="仿宋_GB2312"/>
          <w:sz w:val="32"/>
          <w:szCs w:val="32"/>
        </w:rPr>
        <w:t>1.总目标。</w:t>
      </w:r>
    </w:p>
    <w:p w14:paraId="1FE7CC72">
      <w:pPr>
        <w:spacing w:line="560" w:lineRule="exact"/>
        <w:ind w:firstLine="640" w:firstLineChars="200"/>
        <w:rPr>
          <w:rFonts w:ascii="仿宋_GB2312" w:eastAsia="仿宋_GB2312"/>
          <w:sz w:val="32"/>
          <w:szCs w:val="32"/>
        </w:rPr>
      </w:pPr>
      <w:r>
        <w:rPr>
          <w:rFonts w:hint="eastAsia" w:ascii="仿宋_GB2312" w:eastAsia="仿宋_GB2312"/>
          <w:sz w:val="32"/>
          <w:szCs w:val="32"/>
        </w:rPr>
        <w:t>“十四五”期间，继续巩固两地帮扶合作基础，不断完善帮扶合作协调机制，进一步拓展帮扶合作的领域和空间，切实提高帮扶的质量和效果，以对口</w:t>
      </w:r>
      <w:r>
        <w:rPr>
          <w:rFonts w:hint="eastAsia" w:ascii="仿宋_GB2312" w:eastAsia="仿宋_GB2312"/>
          <w:sz w:val="32"/>
          <w:szCs w:val="32"/>
          <w:lang w:eastAsia="zh-CN"/>
        </w:rPr>
        <w:t>脱贫攻坚</w:t>
      </w:r>
      <w:r>
        <w:rPr>
          <w:rFonts w:hint="eastAsia" w:ascii="仿宋_GB2312" w:eastAsia="仿宋_GB2312"/>
          <w:sz w:val="32"/>
          <w:szCs w:val="32"/>
        </w:rPr>
        <w:t>为抓手，以改善民生为重点，以帮扶项目为核心，注重实效、提升层次、扩大影响，努力开创昆迪合作新局面。五华、盘龙、官渡、西山四主城区每年平均各安排昆迪对口帮扶专项资金不低于200万元。</w:t>
      </w:r>
    </w:p>
    <w:p w14:paraId="2F45CDD7">
      <w:pPr>
        <w:numPr>
          <w:ilvl w:val="0"/>
          <w:numId w:val="1"/>
        </w:numPr>
        <w:spacing w:line="560" w:lineRule="exact"/>
        <w:ind w:firstLine="640" w:firstLineChars="200"/>
        <w:rPr>
          <w:rFonts w:ascii="仿宋_GB2312" w:eastAsia="仿宋_GB2312"/>
          <w:sz w:val="32"/>
          <w:szCs w:val="32"/>
        </w:rPr>
      </w:pPr>
      <w:r>
        <w:rPr>
          <w:rFonts w:hint="eastAsia" w:ascii="仿宋_GB2312" w:eastAsia="仿宋_GB2312"/>
          <w:sz w:val="32"/>
          <w:szCs w:val="32"/>
        </w:rPr>
        <w:t>年度目标。包括产出目标、效果目标。</w:t>
      </w:r>
    </w:p>
    <w:p w14:paraId="4583CDFF">
      <w:pPr>
        <w:spacing w:line="560" w:lineRule="exact"/>
        <w:ind w:firstLine="320" w:firstLineChars="100"/>
        <w:rPr>
          <w:rFonts w:ascii="仿宋_GB2312" w:eastAsia="仿宋_GB2312"/>
          <w:sz w:val="32"/>
          <w:szCs w:val="32"/>
        </w:rPr>
      </w:pPr>
      <w:r>
        <w:rPr>
          <w:rFonts w:hint="eastAsia" w:ascii="仿宋_GB2312" w:eastAsia="仿宋_GB2312"/>
          <w:sz w:val="32"/>
          <w:szCs w:val="32"/>
        </w:rPr>
        <w:t xml:space="preserve">  数量目标：根据要求对迪庆进行对口帮扶。</w:t>
      </w:r>
    </w:p>
    <w:p w14:paraId="6A1736EB">
      <w:pPr>
        <w:spacing w:line="560" w:lineRule="exact"/>
        <w:ind w:firstLine="640" w:firstLineChars="200"/>
        <w:rPr>
          <w:rFonts w:ascii="仿宋_GB2312" w:eastAsia="仿宋_GB2312"/>
          <w:sz w:val="32"/>
          <w:szCs w:val="32"/>
        </w:rPr>
      </w:pPr>
      <w:r>
        <w:rPr>
          <w:rFonts w:hint="eastAsia" w:ascii="仿宋_GB2312" w:eastAsia="仿宋_GB2312"/>
          <w:sz w:val="32"/>
          <w:szCs w:val="32"/>
        </w:rPr>
        <w:t>质量目标：严格按照扶贫资金及专项资金管理办法管理及使用资金。</w:t>
      </w:r>
    </w:p>
    <w:p w14:paraId="0E9D7943">
      <w:pPr>
        <w:spacing w:line="560" w:lineRule="exact"/>
        <w:ind w:firstLine="640" w:firstLineChars="200"/>
        <w:rPr>
          <w:rFonts w:ascii="仿宋_GB2312" w:eastAsia="仿宋_GB2312"/>
          <w:sz w:val="32"/>
          <w:szCs w:val="32"/>
        </w:rPr>
      </w:pPr>
      <w:r>
        <w:rPr>
          <w:rFonts w:hint="eastAsia" w:ascii="仿宋_GB2312" w:eastAsia="仿宋_GB2312"/>
          <w:sz w:val="32"/>
          <w:szCs w:val="32"/>
        </w:rPr>
        <w:t>时效目标：资金到位后按照市投促局的时间要求及时拨付帮扶资金。</w:t>
      </w:r>
    </w:p>
    <w:p w14:paraId="0BE6ABCF">
      <w:pPr>
        <w:spacing w:line="560" w:lineRule="exact"/>
        <w:ind w:firstLine="640" w:firstLineChars="200"/>
        <w:rPr>
          <w:rFonts w:ascii="仿宋_GB2312" w:eastAsia="仿宋_GB2312"/>
          <w:sz w:val="32"/>
          <w:szCs w:val="32"/>
        </w:rPr>
      </w:pPr>
      <w:r>
        <w:rPr>
          <w:rFonts w:hint="eastAsia" w:ascii="仿宋_GB2312" w:eastAsia="仿宋_GB2312"/>
          <w:sz w:val="32"/>
          <w:szCs w:val="32"/>
        </w:rPr>
        <w:t>成本指标：预算完成率达到100%。</w:t>
      </w:r>
    </w:p>
    <w:p w14:paraId="54DF64BD">
      <w:pPr>
        <w:spacing w:line="560" w:lineRule="exact"/>
        <w:ind w:firstLine="640" w:firstLineChars="200"/>
        <w:rPr>
          <w:rFonts w:ascii="仿宋_GB2312" w:eastAsia="仿宋_GB2312"/>
          <w:sz w:val="32"/>
          <w:szCs w:val="32"/>
        </w:rPr>
      </w:pPr>
      <w:r>
        <w:rPr>
          <w:rFonts w:hint="eastAsia" w:ascii="仿宋_GB2312" w:eastAsia="仿宋_GB2312"/>
          <w:sz w:val="32"/>
          <w:szCs w:val="32"/>
        </w:rPr>
        <w:t>社会效益目标：帮扶资金对迪庆州经济发展有所帮助。</w:t>
      </w:r>
    </w:p>
    <w:p w14:paraId="1444200C">
      <w:pPr>
        <w:spacing w:line="560" w:lineRule="exact"/>
        <w:ind w:firstLine="640" w:firstLineChars="200"/>
        <w:rPr>
          <w:rFonts w:ascii="仿宋_GB2312" w:eastAsia="仿宋_GB2312"/>
          <w:sz w:val="32"/>
          <w:szCs w:val="32"/>
        </w:rPr>
      </w:pPr>
      <w:r>
        <w:rPr>
          <w:rFonts w:hint="eastAsia" w:ascii="仿宋_GB2312" w:eastAsia="仿宋_GB2312"/>
          <w:sz w:val="32"/>
          <w:szCs w:val="32"/>
        </w:rPr>
        <w:t>服务对象满意度目标：迪庆州具体享受帮扶资金帮扶人员的满意程度达95%。</w:t>
      </w:r>
    </w:p>
    <w:p w14:paraId="02D64647">
      <w:pPr>
        <w:topLinePunct/>
        <w:spacing w:line="440" w:lineRule="exact"/>
        <w:ind w:firstLine="800" w:firstLineChars="250"/>
        <w:rPr>
          <w:rFonts w:ascii="仿宋_GB2312" w:hAnsi="楷体" w:eastAsia="仿宋_GB2312"/>
          <w:sz w:val="32"/>
          <w:szCs w:val="32"/>
        </w:rPr>
      </w:pPr>
    </w:p>
    <w:p w14:paraId="33671E8E">
      <w:pPr>
        <w:topLinePunct/>
        <w:spacing w:line="440" w:lineRule="exact"/>
        <w:ind w:firstLine="800" w:firstLineChars="250"/>
        <w:rPr>
          <w:rFonts w:ascii="黑体" w:hAnsi="黑体" w:eastAsia="黑体"/>
          <w:sz w:val="32"/>
          <w:szCs w:val="32"/>
        </w:rPr>
      </w:pPr>
      <w:r>
        <w:rPr>
          <w:rFonts w:hint="eastAsia" w:ascii="黑体" w:hAnsi="黑体" w:eastAsia="黑体"/>
          <w:sz w:val="32"/>
          <w:szCs w:val="32"/>
        </w:rPr>
        <w:t>二、绩效评价工作情况</w:t>
      </w:r>
    </w:p>
    <w:p w14:paraId="442DBD77">
      <w:pPr>
        <w:spacing w:line="560" w:lineRule="exact"/>
        <w:ind w:firstLine="640" w:firstLineChars="200"/>
        <w:rPr>
          <w:rFonts w:ascii="仿宋_GB2312" w:eastAsia="仿宋_GB2312"/>
          <w:sz w:val="32"/>
          <w:szCs w:val="32"/>
        </w:rPr>
      </w:pPr>
      <w:r>
        <w:rPr>
          <w:rFonts w:hint="eastAsia" w:ascii="仿宋_GB2312" w:eastAsia="仿宋_GB2312"/>
          <w:sz w:val="32"/>
          <w:szCs w:val="32"/>
        </w:rPr>
        <w:t>（一）绩效评价目的。</w:t>
      </w:r>
    </w:p>
    <w:p w14:paraId="1CB76C53">
      <w:pPr>
        <w:spacing w:line="560" w:lineRule="exact"/>
        <w:ind w:firstLine="640" w:firstLineChars="200"/>
        <w:rPr>
          <w:rFonts w:ascii="仿宋_GB2312" w:eastAsia="仿宋_GB2312"/>
          <w:sz w:val="32"/>
          <w:szCs w:val="32"/>
        </w:rPr>
      </w:pPr>
      <w:r>
        <w:rPr>
          <w:rFonts w:hint="eastAsia" w:ascii="仿宋_GB2312" w:eastAsia="仿宋_GB2312"/>
          <w:sz w:val="32"/>
          <w:szCs w:val="32"/>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14:paraId="60C2434A">
      <w:pPr>
        <w:spacing w:line="560" w:lineRule="exact"/>
        <w:ind w:firstLine="640" w:firstLineChars="200"/>
        <w:rPr>
          <w:rFonts w:ascii="仿宋_GB2312" w:eastAsia="仿宋_GB2312"/>
          <w:sz w:val="32"/>
          <w:szCs w:val="32"/>
        </w:rPr>
      </w:pPr>
      <w:r>
        <w:rPr>
          <w:rFonts w:hint="eastAsia" w:ascii="仿宋_GB2312" w:eastAsia="仿宋_GB2312"/>
          <w:sz w:val="32"/>
          <w:szCs w:val="32"/>
        </w:rPr>
        <w:t>（二）绩效评价工作方案制定过程。</w:t>
      </w:r>
    </w:p>
    <w:p w14:paraId="4C05502C">
      <w:pPr>
        <w:spacing w:line="560" w:lineRule="exact"/>
        <w:ind w:firstLine="640" w:firstLineChars="200"/>
        <w:rPr>
          <w:rFonts w:ascii="仿宋_GB2312" w:eastAsia="仿宋_GB2312"/>
          <w:sz w:val="32"/>
          <w:szCs w:val="32"/>
        </w:rPr>
      </w:pPr>
      <w:r>
        <w:rPr>
          <w:rFonts w:hint="eastAsia" w:ascii="仿宋_GB2312" w:eastAsia="仿宋_GB2312"/>
          <w:sz w:val="32"/>
          <w:szCs w:val="32"/>
        </w:rPr>
        <w:t>按照市委市政府贯彻《“十四五”昆迪友好合作框架协议》的精神，我局编制了202</w:t>
      </w:r>
      <w:r>
        <w:rPr>
          <w:rFonts w:hint="eastAsia" w:ascii="仿宋_GB2312" w:eastAsia="仿宋_GB2312"/>
          <w:sz w:val="32"/>
          <w:szCs w:val="32"/>
          <w:lang w:val="en-US" w:eastAsia="zh-CN"/>
        </w:rPr>
        <w:t>2</w:t>
      </w:r>
      <w:r>
        <w:rPr>
          <w:rFonts w:hint="eastAsia" w:ascii="仿宋_GB2312" w:eastAsia="仿宋_GB2312"/>
          <w:sz w:val="32"/>
          <w:szCs w:val="32"/>
        </w:rPr>
        <w:t>年昆迪合作帮扶资金200万的项目资金预算及该资金的预算绩效目标申报表，经区财政审核下达了资金的预算批复，我局投资管理科按照制定的绩效目标开展该项目资金的使用、绩效跟踪、绩效自评工作。</w:t>
      </w:r>
    </w:p>
    <w:p w14:paraId="02BE142D">
      <w:pPr>
        <w:spacing w:line="560" w:lineRule="exact"/>
        <w:ind w:firstLine="640" w:firstLineChars="200"/>
        <w:rPr>
          <w:rFonts w:ascii="仿宋_GB2312" w:eastAsia="仿宋_GB2312"/>
          <w:sz w:val="32"/>
          <w:szCs w:val="32"/>
        </w:rPr>
      </w:pPr>
      <w:r>
        <w:rPr>
          <w:rFonts w:hint="eastAsia" w:ascii="仿宋_GB2312" w:eastAsia="仿宋_GB2312"/>
          <w:sz w:val="32"/>
          <w:szCs w:val="32"/>
        </w:rPr>
        <w:t>（三）绩效评价原则、评价方法。</w:t>
      </w:r>
    </w:p>
    <w:p w14:paraId="166DE7A6">
      <w:pPr>
        <w:spacing w:line="560" w:lineRule="exact"/>
        <w:ind w:firstLine="640" w:firstLineChars="200"/>
        <w:rPr>
          <w:rFonts w:ascii="仿宋_GB2312" w:eastAsia="仿宋_GB2312"/>
          <w:sz w:val="32"/>
          <w:szCs w:val="32"/>
        </w:rPr>
      </w:pPr>
      <w:r>
        <w:rPr>
          <w:rFonts w:hint="eastAsia" w:ascii="仿宋_GB2312" w:eastAsia="仿宋_GB2312"/>
          <w:sz w:val="32"/>
          <w:szCs w:val="32"/>
        </w:rPr>
        <w:t>1.绩效评价原则。包括科学规范、公开公正、绩效相关等原则。</w:t>
      </w:r>
    </w:p>
    <w:p w14:paraId="292DD32D">
      <w:pPr>
        <w:spacing w:line="560" w:lineRule="exact"/>
        <w:ind w:firstLine="640" w:firstLineChars="200"/>
        <w:rPr>
          <w:rFonts w:ascii="仿宋_GB2312" w:eastAsia="仿宋_GB2312"/>
          <w:sz w:val="32"/>
          <w:szCs w:val="32"/>
        </w:rPr>
      </w:pPr>
      <w:r>
        <w:rPr>
          <w:rFonts w:hint="eastAsia" w:ascii="仿宋_GB2312" w:eastAsia="仿宋_GB2312"/>
          <w:sz w:val="32"/>
          <w:szCs w:val="32"/>
        </w:rPr>
        <w:t>科学规范：年初按照预算绩效管理的相关办法，由相关业务科室制定绩效目标，并做好绩效跟踪、绩效评价等工作管理。</w:t>
      </w:r>
    </w:p>
    <w:p w14:paraId="2F888FB9">
      <w:pPr>
        <w:spacing w:line="560" w:lineRule="exact"/>
        <w:ind w:firstLine="640" w:firstLineChars="200"/>
        <w:rPr>
          <w:rFonts w:ascii="仿宋_GB2312" w:eastAsia="仿宋_GB2312"/>
          <w:sz w:val="32"/>
          <w:szCs w:val="32"/>
        </w:rPr>
      </w:pPr>
      <w:r>
        <w:rPr>
          <w:rFonts w:hint="eastAsia" w:ascii="仿宋_GB2312" w:eastAsia="仿宋_GB2312"/>
          <w:sz w:val="32"/>
          <w:szCs w:val="32"/>
        </w:rPr>
        <w:t>公开公正：该项目资金预算编制依据合规，并严格按照预算公开的要求进行了公开。</w:t>
      </w:r>
    </w:p>
    <w:p w14:paraId="4F4B97D6">
      <w:pPr>
        <w:spacing w:line="560" w:lineRule="exact"/>
        <w:ind w:firstLine="640" w:firstLineChars="200"/>
        <w:rPr>
          <w:rFonts w:ascii="仿宋_GB2312" w:eastAsia="仿宋_GB2312"/>
          <w:sz w:val="32"/>
          <w:szCs w:val="32"/>
        </w:rPr>
      </w:pPr>
      <w:r>
        <w:rPr>
          <w:rFonts w:hint="eastAsia" w:ascii="仿宋_GB2312" w:eastAsia="仿宋_GB2312"/>
          <w:sz w:val="32"/>
          <w:szCs w:val="32"/>
        </w:rPr>
        <w:t>绩效相关：年初设立了数量、产出、时效、成本、效果等目标，年终对照是否完成绩效目标。</w:t>
      </w:r>
    </w:p>
    <w:p w14:paraId="28CE3BF4">
      <w:pPr>
        <w:spacing w:line="560" w:lineRule="exact"/>
        <w:ind w:firstLine="640" w:firstLineChars="200"/>
        <w:rPr>
          <w:rFonts w:ascii="仿宋_GB2312" w:eastAsia="仿宋_GB2312"/>
          <w:sz w:val="32"/>
          <w:szCs w:val="32"/>
        </w:rPr>
      </w:pPr>
      <w:r>
        <w:rPr>
          <w:rFonts w:hint="eastAsia" w:ascii="仿宋_GB2312" w:eastAsia="仿宋_GB2312"/>
          <w:sz w:val="32"/>
          <w:szCs w:val="32"/>
        </w:rPr>
        <w:t>2.绩效评价方法。资金使用完毕后次年进行自评。</w:t>
      </w:r>
    </w:p>
    <w:p w14:paraId="57CEB192">
      <w:pPr>
        <w:spacing w:line="560" w:lineRule="exact"/>
        <w:ind w:firstLine="640" w:firstLineChars="200"/>
        <w:rPr>
          <w:rFonts w:ascii="仿宋_GB2312" w:eastAsia="仿宋_GB2312"/>
          <w:sz w:val="32"/>
          <w:szCs w:val="32"/>
        </w:rPr>
      </w:pPr>
      <w:r>
        <w:rPr>
          <w:rFonts w:hint="eastAsia" w:ascii="仿宋_GB2312" w:eastAsia="仿宋_GB2312"/>
          <w:sz w:val="32"/>
          <w:szCs w:val="32"/>
        </w:rPr>
        <w:t>（四）绩效评价实施过程</w:t>
      </w:r>
    </w:p>
    <w:p w14:paraId="124E68A4">
      <w:pPr>
        <w:spacing w:line="560" w:lineRule="exact"/>
        <w:ind w:firstLine="640" w:firstLineChars="200"/>
        <w:rPr>
          <w:rFonts w:ascii="仿宋_GB2312" w:eastAsia="仿宋_GB2312"/>
          <w:sz w:val="32"/>
          <w:szCs w:val="32"/>
        </w:rPr>
      </w:pPr>
      <w:r>
        <w:rPr>
          <w:rFonts w:hint="eastAsia" w:ascii="仿宋_GB2312" w:eastAsia="仿宋_GB2312"/>
          <w:sz w:val="32"/>
          <w:szCs w:val="32"/>
        </w:rPr>
        <w:t>1.数据填报和采集。</w:t>
      </w:r>
    </w:p>
    <w:p w14:paraId="0690E929">
      <w:pPr>
        <w:spacing w:line="560" w:lineRule="exact"/>
        <w:ind w:firstLine="640" w:firstLineChars="200"/>
        <w:rPr>
          <w:rFonts w:ascii="仿宋_GB2312" w:eastAsia="仿宋_GB2312"/>
          <w:sz w:val="32"/>
          <w:szCs w:val="32"/>
        </w:rPr>
      </w:pPr>
      <w:r>
        <w:rPr>
          <w:rFonts w:hint="eastAsia" w:ascii="仿宋_GB2312" w:eastAsia="仿宋_GB2312"/>
          <w:sz w:val="32"/>
          <w:szCs w:val="32"/>
        </w:rPr>
        <w:t>2.数据分析和撰写报告。</w:t>
      </w:r>
    </w:p>
    <w:p w14:paraId="50EDE27A">
      <w:pPr>
        <w:spacing w:line="560" w:lineRule="exact"/>
        <w:ind w:firstLine="640" w:firstLineChars="200"/>
        <w:rPr>
          <w:rFonts w:ascii="仿宋_GB2312" w:eastAsia="仿宋_GB2312"/>
          <w:sz w:val="32"/>
          <w:szCs w:val="32"/>
        </w:rPr>
      </w:pPr>
      <w:r>
        <w:rPr>
          <w:rFonts w:hint="eastAsia" w:ascii="仿宋_GB2312" w:eastAsia="仿宋_GB2312"/>
          <w:sz w:val="32"/>
          <w:szCs w:val="32"/>
        </w:rPr>
        <w:t>（五）本次绩效评价的局限性。</w:t>
      </w:r>
    </w:p>
    <w:p w14:paraId="117508EE">
      <w:pPr>
        <w:spacing w:line="560" w:lineRule="exact"/>
        <w:ind w:firstLine="640" w:firstLineChars="200"/>
        <w:rPr>
          <w:rFonts w:ascii="仿宋_GB2312" w:eastAsia="仿宋_GB2312"/>
          <w:sz w:val="32"/>
          <w:szCs w:val="32"/>
        </w:rPr>
      </w:pPr>
      <w:r>
        <w:rPr>
          <w:rFonts w:hint="eastAsia" w:ascii="仿宋_GB2312" w:eastAsia="仿宋_GB2312"/>
          <w:sz w:val="32"/>
          <w:szCs w:val="32"/>
        </w:rPr>
        <w:t>因该项目的支出是按照市投促局要求拨至市里，再由市局统筹各县区帮扶资金进行对口帮扶，故我单位难以进行该项目资金的社会调查和成本效益分析。</w:t>
      </w:r>
    </w:p>
    <w:p w14:paraId="6F0E3135">
      <w:pPr>
        <w:topLinePunct/>
        <w:spacing w:line="440" w:lineRule="exact"/>
        <w:ind w:firstLine="800" w:firstLineChars="250"/>
        <w:rPr>
          <w:rFonts w:ascii="楷体" w:hAnsi="楷体" w:eastAsia="楷体"/>
          <w:sz w:val="32"/>
          <w:szCs w:val="32"/>
        </w:rPr>
      </w:pPr>
    </w:p>
    <w:p w14:paraId="36BE5760">
      <w:pPr>
        <w:topLinePunct/>
        <w:spacing w:line="440" w:lineRule="exact"/>
        <w:ind w:firstLine="800" w:firstLineChars="250"/>
        <w:rPr>
          <w:rFonts w:ascii="黑体" w:hAnsi="黑体" w:eastAsia="黑体"/>
          <w:sz w:val="32"/>
          <w:szCs w:val="32"/>
        </w:rPr>
      </w:pPr>
      <w:r>
        <w:rPr>
          <w:rFonts w:hint="eastAsia" w:ascii="黑体" w:hAnsi="黑体" w:eastAsia="黑体"/>
          <w:sz w:val="32"/>
          <w:szCs w:val="32"/>
        </w:rPr>
        <w:t>三、评价结论和绩效分析</w:t>
      </w:r>
    </w:p>
    <w:p w14:paraId="667ED69B">
      <w:pPr>
        <w:topLinePunct/>
        <w:spacing w:line="440" w:lineRule="exact"/>
        <w:ind w:firstLine="800" w:firstLineChars="250"/>
        <w:rPr>
          <w:rFonts w:ascii="楷体" w:hAnsi="楷体" w:eastAsia="楷体"/>
          <w:sz w:val="32"/>
          <w:szCs w:val="32"/>
        </w:rPr>
      </w:pPr>
      <w:r>
        <w:rPr>
          <w:rFonts w:hint="eastAsia" w:ascii="楷体" w:hAnsi="楷体" w:eastAsia="楷体"/>
          <w:sz w:val="32"/>
          <w:szCs w:val="32"/>
        </w:rPr>
        <w:t>（一）评价结论。</w:t>
      </w:r>
    </w:p>
    <w:p w14:paraId="6CA4CB9E">
      <w:pPr>
        <w:spacing w:line="560" w:lineRule="exact"/>
        <w:ind w:firstLine="640" w:firstLineChars="200"/>
        <w:rPr>
          <w:rFonts w:ascii="仿宋_GB2312" w:eastAsia="仿宋_GB2312"/>
          <w:sz w:val="32"/>
          <w:szCs w:val="32"/>
        </w:rPr>
      </w:pPr>
      <w:r>
        <w:rPr>
          <w:rFonts w:hint="eastAsia" w:ascii="仿宋_GB2312" w:eastAsia="仿宋_GB2312"/>
          <w:sz w:val="32"/>
          <w:szCs w:val="32"/>
        </w:rPr>
        <w:t>1.评价结果。</w:t>
      </w:r>
    </w:p>
    <w:p w14:paraId="2CD41BD4">
      <w:pPr>
        <w:spacing w:line="560" w:lineRule="exact"/>
        <w:ind w:firstLine="640" w:firstLineChars="200"/>
        <w:rPr>
          <w:rFonts w:ascii="仿宋_GB2312" w:eastAsia="仿宋_GB2312"/>
          <w:sz w:val="32"/>
          <w:szCs w:val="32"/>
        </w:rPr>
      </w:pPr>
      <w:r>
        <w:rPr>
          <w:rFonts w:hint="eastAsia" w:ascii="仿宋_GB2312" w:eastAsia="仿宋_GB2312"/>
          <w:sz w:val="32"/>
          <w:szCs w:val="32"/>
        </w:rPr>
        <w:t>202</w:t>
      </w:r>
      <w:r>
        <w:rPr>
          <w:rFonts w:hint="eastAsia" w:ascii="仿宋_GB2312" w:eastAsia="仿宋_GB2312"/>
          <w:sz w:val="32"/>
          <w:szCs w:val="32"/>
          <w:lang w:val="en-US" w:eastAsia="zh-CN"/>
        </w:rPr>
        <w:t>2</w:t>
      </w:r>
      <w:r>
        <w:rPr>
          <w:rFonts w:hint="eastAsia" w:ascii="仿宋_GB2312" w:eastAsia="仿宋_GB2312"/>
          <w:sz w:val="32"/>
          <w:szCs w:val="32"/>
        </w:rPr>
        <w:t>年我局顺利完成该项工作与年初设立的绩效目标，各项指标顺利完成，资金到位100%。支出依据合规，自评认为支出实施达到预期目标。</w:t>
      </w:r>
    </w:p>
    <w:p w14:paraId="68638D7F">
      <w:pPr>
        <w:spacing w:line="560" w:lineRule="exact"/>
        <w:ind w:firstLine="640" w:firstLineChars="200"/>
        <w:rPr>
          <w:rFonts w:ascii="仿宋_GB2312" w:eastAsia="仿宋_GB2312"/>
          <w:sz w:val="32"/>
          <w:szCs w:val="32"/>
        </w:rPr>
      </w:pPr>
      <w:r>
        <w:rPr>
          <w:rFonts w:hint="eastAsia" w:ascii="仿宋_GB2312" w:eastAsia="仿宋_GB2312"/>
          <w:sz w:val="32"/>
          <w:szCs w:val="32"/>
        </w:rPr>
        <w:t>2.主要绩效。</w:t>
      </w:r>
    </w:p>
    <w:p w14:paraId="79987E3E">
      <w:pPr>
        <w:spacing w:line="560" w:lineRule="exact"/>
        <w:ind w:firstLine="640" w:firstLineChars="200"/>
        <w:rPr>
          <w:rFonts w:ascii="仿宋_GB2312" w:eastAsia="仿宋_GB2312"/>
          <w:sz w:val="32"/>
          <w:szCs w:val="32"/>
        </w:rPr>
      </w:pPr>
      <w:r>
        <w:rPr>
          <w:rFonts w:hint="eastAsia" w:ascii="仿宋_GB2312" w:eastAsia="仿宋_GB2312"/>
          <w:sz w:val="32"/>
          <w:szCs w:val="32"/>
        </w:rPr>
        <w:t>数量目标：对迪庆香格里拉市进行对口帮扶，资金200万元。</w:t>
      </w:r>
    </w:p>
    <w:p w14:paraId="44614C02">
      <w:pPr>
        <w:spacing w:line="560" w:lineRule="exact"/>
        <w:ind w:firstLine="640" w:firstLineChars="200"/>
        <w:rPr>
          <w:rFonts w:ascii="仿宋_GB2312" w:eastAsia="仿宋_GB2312"/>
          <w:sz w:val="32"/>
          <w:szCs w:val="32"/>
        </w:rPr>
      </w:pPr>
      <w:r>
        <w:rPr>
          <w:rFonts w:hint="eastAsia" w:ascii="仿宋_GB2312" w:eastAsia="仿宋_GB2312"/>
          <w:sz w:val="32"/>
          <w:szCs w:val="32"/>
        </w:rPr>
        <w:t>质量目标：严格按照扶贫资金及专项资金管理办法管理及使用资金。</w:t>
      </w:r>
    </w:p>
    <w:p w14:paraId="5217F17A">
      <w:pPr>
        <w:spacing w:line="560" w:lineRule="exact"/>
        <w:ind w:firstLine="640" w:firstLineChars="200"/>
        <w:rPr>
          <w:rFonts w:ascii="仿宋_GB2312" w:eastAsia="仿宋_GB2312"/>
          <w:sz w:val="32"/>
          <w:szCs w:val="32"/>
        </w:rPr>
      </w:pPr>
      <w:r>
        <w:rPr>
          <w:rFonts w:hint="eastAsia" w:ascii="仿宋_GB2312" w:eastAsia="仿宋_GB2312"/>
          <w:sz w:val="32"/>
          <w:szCs w:val="32"/>
        </w:rPr>
        <w:t>时效目标：资金到位后按照市投促局的时间要求于202</w:t>
      </w:r>
      <w:r>
        <w:rPr>
          <w:rFonts w:hint="eastAsia" w:ascii="仿宋_GB2312" w:eastAsia="仿宋_GB2312"/>
          <w:sz w:val="32"/>
          <w:szCs w:val="32"/>
          <w:lang w:val="en-US" w:eastAsia="zh-CN"/>
        </w:rPr>
        <w:t>2</w:t>
      </w:r>
      <w:r>
        <w:rPr>
          <w:rFonts w:hint="eastAsia" w:ascii="仿宋_GB2312" w:eastAsia="仿宋_GB2312"/>
          <w:sz w:val="32"/>
          <w:szCs w:val="32"/>
        </w:rPr>
        <w:t>年</w:t>
      </w:r>
      <w:r>
        <w:rPr>
          <w:rFonts w:hint="eastAsia" w:ascii="仿宋_GB2312" w:eastAsia="仿宋_GB2312"/>
          <w:sz w:val="32"/>
          <w:szCs w:val="32"/>
          <w:lang w:val="en-US" w:eastAsia="zh-CN"/>
        </w:rPr>
        <w:t>6</w:t>
      </w:r>
      <w:r>
        <w:rPr>
          <w:rFonts w:hint="eastAsia" w:ascii="仿宋_GB2312" w:eastAsia="仿宋_GB2312"/>
          <w:sz w:val="32"/>
          <w:szCs w:val="32"/>
        </w:rPr>
        <w:t>月拨至市局。</w:t>
      </w:r>
    </w:p>
    <w:p w14:paraId="66BCC3A8">
      <w:pPr>
        <w:spacing w:line="560" w:lineRule="exact"/>
        <w:ind w:firstLine="640" w:firstLineChars="200"/>
        <w:rPr>
          <w:rFonts w:ascii="仿宋_GB2312" w:eastAsia="仿宋_GB2312"/>
          <w:sz w:val="32"/>
          <w:szCs w:val="32"/>
        </w:rPr>
      </w:pPr>
      <w:r>
        <w:rPr>
          <w:rFonts w:hint="eastAsia" w:ascii="仿宋_GB2312" w:eastAsia="仿宋_GB2312"/>
          <w:sz w:val="32"/>
          <w:szCs w:val="32"/>
        </w:rPr>
        <w:t>成本指标：预算完成率达到100%。</w:t>
      </w:r>
    </w:p>
    <w:p w14:paraId="4DF9C2AC">
      <w:pPr>
        <w:spacing w:line="560" w:lineRule="exact"/>
        <w:ind w:firstLine="640" w:firstLineChars="200"/>
        <w:rPr>
          <w:rFonts w:ascii="仿宋_GB2312" w:eastAsia="仿宋_GB2312"/>
          <w:sz w:val="32"/>
          <w:szCs w:val="32"/>
        </w:rPr>
      </w:pPr>
      <w:r>
        <w:rPr>
          <w:rFonts w:hint="eastAsia" w:ascii="仿宋_GB2312" w:eastAsia="仿宋_GB2312"/>
          <w:sz w:val="32"/>
          <w:szCs w:val="32"/>
        </w:rPr>
        <w:t>社会效益目标：帮扶资金对迪庆州经济发展有所帮助，</w:t>
      </w:r>
    </w:p>
    <w:p w14:paraId="293BBAEB">
      <w:pPr>
        <w:spacing w:line="560" w:lineRule="exact"/>
        <w:rPr>
          <w:rFonts w:ascii="仿宋_GB2312" w:eastAsia="仿宋_GB2312"/>
          <w:sz w:val="32"/>
          <w:szCs w:val="32"/>
        </w:rPr>
      </w:pPr>
      <w:r>
        <w:rPr>
          <w:rFonts w:hint="eastAsia" w:ascii="仿宋_GB2312" w:eastAsia="仿宋_GB2312"/>
          <w:sz w:val="32"/>
          <w:szCs w:val="32"/>
        </w:rPr>
        <w:t>在促进藏区社会进步和改善人民生活中发挥了重要作用。</w:t>
      </w:r>
    </w:p>
    <w:p w14:paraId="0288B308">
      <w:pPr>
        <w:spacing w:line="560" w:lineRule="exact"/>
        <w:ind w:firstLine="640" w:firstLineChars="200"/>
        <w:rPr>
          <w:rFonts w:ascii="仿宋_GB2312" w:eastAsia="仿宋_GB2312"/>
          <w:sz w:val="32"/>
          <w:szCs w:val="32"/>
        </w:rPr>
      </w:pPr>
      <w:r>
        <w:rPr>
          <w:rFonts w:hint="eastAsia" w:ascii="仿宋_GB2312" w:eastAsia="仿宋_GB2312"/>
          <w:sz w:val="32"/>
          <w:szCs w:val="32"/>
        </w:rPr>
        <w:t>服务对象满意度目标：迪庆州具体享受帮扶资金对象的满意程度达标。以市投促局统筹拨至迪庆州对口帮扶项目的服务对象满意度指标为准。</w:t>
      </w:r>
    </w:p>
    <w:p w14:paraId="49010761">
      <w:pPr>
        <w:topLinePunct/>
        <w:spacing w:line="440" w:lineRule="exact"/>
        <w:ind w:firstLine="800" w:firstLineChars="250"/>
        <w:rPr>
          <w:rFonts w:ascii="仿宋_GB2312" w:hAnsi="仿宋" w:eastAsia="仿宋_GB2312"/>
          <w:sz w:val="32"/>
          <w:szCs w:val="32"/>
        </w:rPr>
      </w:pPr>
    </w:p>
    <w:p w14:paraId="7B121E1B">
      <w:pPr>
        <w:topLinePunct/>
        <w:spacing w:line="440" w:lineRule="exact"/>
        <w:ind w:firstLine="800" w:firstLineChars="250"/>
        <w:rPr>
          <w:rFonts w:ascii="楷体" w:hAnsi="楷体" w:eastAsia="楷体"/>
          <w:sz w:val="32"/>
          <w:szCs w:val="32"/>
        </w:rPr>
      </w:pPr>
      <w:r>
        <w:rPr>
          <w:rFonts w:hint="eastAsia" w:ascii="楷体" w:hAnsi="楷体" w:eastAsia="楷体"/>
          <w:sz w:val="32"/>
          <w:szCs w:val="32"/>
        </w:rPr>
        <w:t>（二）具体绩效分析。</w:t>
      </w:r>
    </w:p>
    <w:p w14:paraId="0DE898F9">
      <w:pPr>
        <w:spacing w:line="560" w:lineRule="exact"/>
        <w:ind w:firstLine="640" w:firstLineChars="200"/>
        <w:rPr>
          <w:rFonts w:ascii="仿宋_GB2312" w:eastAsia="仿宋_GB2312"/>
          <w:sz w:val="32"/>
          <w:szCs w:val="32"/>
        </w:rPr>
      </w:pPr>
      <w:r>
        <w:rPr>
          <w:rFonts w:hint="eastAsia" w:ascii="仿宋_GB2312" w:eastAsia="仿宋_GB2312"/>
          <w:sz w:val="32"/>
          <w:szCs w:val="32"/>
        </w:rPr>
        <w:t>区财政202</w:t>
      </w:r>
      <w:r>
        <w:rPr>
          <w:rFonts w:hint="eastAsia" w:ascii="仿宋_GB2312" w:eastAsia="仿宋_GB2312"/>
          <w:sz w:val="32"/>
          <w:szCs w:val="32"/>
          <w:lang w:val="en-US" w:eastAsia="zh-CN"/>
        </w:rPr>
        <w:t>2</w:t>
      </w:r>
      <w:r>
        <w:rPr>
          <w:rFonts w:hint="eastAsia" w:ascii="仿宋_GB2312" w:eastAsia="仿宋_GB2312"/>
          <w:sz w:val="32"/>
          <w:szCs w:val="32"/>
        </w:rPr>
        <w:t>年初安排昆迪合作项目帮扶资金预算200万元，以预算指标的形式下达我局。202</w:t>
      </w:r>
      <w:r>
        <w:rPr>
          <w:rFonts w:hint="eastAsia" w:ascii="仿宋_GB2312" w:eastAsia="仿宋_GB2312"/>
          <w:sz w:val="32"/>
          <w:szCs w:val="32"/>
          <w:lang w:val="en-US" w:eastAsia="zh-CN"/>
        </w:rPr>
        <w:t>2</w:t>
      </w:r>
      <w:r>
        <w:rPr>
          <w:rFonts w:hint="eastAsia" w:ascii="仿宋_GB2312" w:eastAsia="仿宋_GB2312"/>
          <w:sz w:val="32"/>
          <w:szCs w:val="32"/>
        </w:rPr>
        <w:t>年</w:t>
      </w:r>
      <w:r>
        <w:rPr>
          <w:rFonts w:hint="eastAsia" w:ascii="仿宋_GB2312" w:eastAsia="仿宋_GB2312"/>
          <w:sz w:val="32"/>
          <w:szCs w:val="32"/>
          <w:lang w:val="en-US" w:eastAsia="zh-CN"/>
        </w:rPr>
        <w:t>6</w:t>
      </w:r>
      <w:r>
        <w:rPr>
          <w:rFonts w:hint="eastAsia" w:ascii="仿宋_GB2312" w:eastAsia="仿宋_GB2312"/>
          <w:sz w:val="32"/>
          <w:szCs w:val="32"/>
        </w:rPr>
        <w:t>月按照市投促局的资金拨付时间要求及时全额拨至市投促局按照《“十四五”昆迪友好合作框架协议》统筹使用，</w:t>
      </w:r>
      <w:r>
        <w:rPr>
          <w:rFonts w:ascii="Times New Roman" w:hAnsi="Times New Roman" w:eastAsia="仿宋_GB2312"/>
          <w:color w:val="000000" w:themeColor="text1"/>
          <w:sz w:val="32"/>
          <w:szCs w:val="32"/>
        </w:rPr>
        <w:t>切实增强扶贫协作和对口帮扶工作效果，使昆迪友好合作在促进藏区稳定、民族团结、社会进步和改善人民生活中发挥重要作用</w:t>
      </w:r>
      <w:r>
        <w:rPr>
          <w:rFonts w:hint="eastAsia" w:ascii="Times New Roman" w:hAnsi="Times New Roman" w:eastAsia="仿宋_GB2312"/>
          <w:color w:val="000000" w:themeColor="text1"/>
          <w:sz w:val="32"/>
          <w:szCs w:val="32"/>
        </w:rPr>
        <w:t>。</w:t>
      </w:r>
    </w:p>
    <w:p w14:paraId="09D30BBB">
      <w:pPr>
        <w:topLinePunct/>
        <w:spacing w:line="540" w:lineRule="exact"/>
        <w:ind w:firstLine="800" w:firstLineChars="250"/>
        <w:rPr>
          <w:rFonts w:ascii="仿宋" w:hAnsi="仿宋" w:eastAsia="仿宋"/>
          <w:sz w:val="32"/>
          <w:szCs w:val="32"/>
        </w:rPr>
      </w:pPr>
    </w:p>
    <w:p w14:paraId="3E6CA9A8">
      <w:pPr>
        <w:topLinePunct/>
        <w:spacing w:line="440" w:lineRule="exact"/>
        <w:ind w:firstLine="800" w:firstLineChars="250"/>
        <w:rPr>
          <w:rFonts w:ascii="黑体" w:hAnsi="黑体" w:eastAsia="黑体"/>
          <w:sz w:val="32"/>
          <w:szCs w:val="32"/>
        </w:rPr>
      </w:pPr>
      <w:r>
        <w:rPr>
          <w:rFonts w:hint="eastAsia" w:ascii="黑体" w:hAnsi="黑体" w:eastAsia="黑体"/>
          <w:sz w:val="32"/>
          <w:szCs w:val="32"/>
        </w:rPr>
        <w:t>四、成本效益分析。</w:t>
      </w:r>
    </w:p>
    <w:p w14:paraId="2037FC63">
      <w:pPr>
        <w:spacing w:line="560" w:lineRule="exact"/>
        <w:ind w:firstLine="640" w:firstLineChars="200"/>
        <w:rPr>
          <w:rFonts w:ascii="仿宋_GB2312" w:eastAsia="仿宋_GB2312"/>
          <w:sz w:val="32"/>
          <w:szCs w:val="32"/>
        </w:rPr>
      </w:pPr>
      <w:r>
        <w:rPr>
          <w:rFonts w:hint="eastAsia" w:ascii="仿宋_GB2312" w:eastAsia="仿宋_GB2312"/>
          <w:sz w:val="32"/>
          <w:szCs w:val="32"/>
        </w:rPr>
        <w:t>区财政202</w:t>
      </w:r>
      <w:r>
        <w:rPr>
          <w:rFonts w:hint="eastAsia" w:ascii="仿宋_GB2312" w:eastAsia="仿宋_GB2312"/>
          <w:sz w:val="32"/>
          <w:szCs w:val="32"/>
          <w:lang w:val="en-US" w:eastAsia="zh-CN"/>
        </w:rPr>
        <w:t>2</w:t>
      </w:r>
      <w:r>
        <w:rPr>
          <w:rFonts w:hint="eastAsia" w:ascii="仿宋_GB2312" w:eastAsia="仿宋_GB2312"/>
          <w:sz w:val="32"/>
          <w:szCs w:val="32"/>
        </w:rPr>
        <w:t>年初安排该项目资金预算200万元，以预算指标的形式下达我局。202</w:t>
      </w:r>
      <w:r>
        <w:rPr>
          <w:rFonts w:hint="eastAsia" w:ascii="仿宋_GB2312" w:eastAsia="仿宋_GB2312"/>
          <w:sz w:val="32"/>
          <w:szCs w:val="32"/>
          <w:lang w:val="en-US" w:eastAsia="zh-CN"/>
        </w:rPr>
        <w:t>2</w:t>
      </w:r>
      <w:r>
        <w:rPr>
          <w:rFonts w:hint="eastAsia" w:ascii="仿宋_GB2312" w:eastAsia="仿宋_GB2312"/>
          <w:sz w:val="32"/>
          <w:szCs w:val="32"/>
        </w:rPr>
        <w:t>年</w:t>
      </w:r>
      <w:r>
        <w:rPr>
          <w:rFonts w:hint="eastAsia" w:ascii="仿宋_GB2312" w:eastAsia="仿宋_GB2312"/>
          <w:sz w:val="32"/>
          <w:szCs w:val="32"/>
          <w:lang w:val="en-US" w:eastAsia="zh-CN"/>
        </w:rPr>
        <w:t>6</w:t>
      </w:r>
      <w:r>
        <w:rPr>
          <w:rFonts w:hint="eastAsia" w:ascii="仿宋_GB2312" w:eastAsia="仿宋_GB2312"/>
          <w:sz w:val="32"/>
          <w:szCs w:val="32"/>
        </w:rPr>
        <w:t>月我局按照市投促局的资金拨付时间要求以转账方式全额拨至市投促局。202</w:t>
      </w:r>
      <w:r>
        <w:rPr>
          <w:rFonts w:hint="eastAsia" w:ascii="仿宋_GB2312" w:eastAsia="仿宋_GB2312"/>
          <w:sz w:val="32"/>
          <w:szCs w:val="32"/>
          <w:lang w:val="en-US" w:eastAsia="zh-CN"/>
        </w:rPr>
        <w:t>2</w:t>
      </w:r>
      <w:r>
        <w:rPr>
          <w:rFonts w:hint="eastAsia" w:ascii="仿宋_GB2312" w:eastAsia="仿宋_GB2312"/>
          <w:sz w:val="32"/>
          <w:szCs w:val="32"/>
        </w:rPr>
        <w:t>年我局顺利完成该项工作与年初设立的绩效目标，各项指标顺利完成，资金到位100%。支出依据合规，自评认为支出实施达到预期目标。</w:t>
      </w:r>
    </w:p>
    <w:p w14:paraId="7F2B3D23">
      <w:pPr>
        <w:topLinePunct/>
        <w:spacing w:line="440" w:lineRule="exact"/>
        <w:ind w:firstLine="800" w:firstLineChars="250"/>
        <w:rPr>
          <w:rFonts w:eastAsia="仿宋_GB2312"/>
          <w:sz w:val="32"/>
          <w:szCs w:val="32"/>
        </w:rPr>
      </w:pPr>
    </w:p>
    <w:p w14:paraId="04B1438C">
      <w:pPr>
        <w:topLinePunct/>
        <w:spacing w:line="440" w:lineRule="exact"/>
        <w:ind w:firstLine="800" w:firstLineChars="250"/>
        <w:rPr>
          <w:rFonts w:ascii="黑体" w:hAnsi="黑体" w:eastAsia="黑体"/>
          <w:sz w:val="32"/>
          <w:szCs w:val="32"/>
        </w:rPr>
      </w:pPr>
      <w:r>
        <w:rPr>
          <w:rFonts w:hint="eastAsia" w:ascii="黑体" w:hAnsi="黑体" w:eastAsia="黑体"/>
          <w:sz w:val="32"/>
          <w:szCs w:val="32"/>
        </w:rPr>
        <w:t>五、主要经验及做法、存在的问题和建议</w:t>
      </w:r>
    </w:p>
    <w:p w14:paraId="538CB67D">
      <w:pPr>
        <w:spacing w:line="560" w:lineRule="exact"/>
        <w:ind w:firstLine="640" w:firstLineChars="200"/>
        <w:rPr>
          <w:rFonts w:ascii="仿宋_GB2312" w:eastAsia="仿宋_GB2312"/>
          <w:sz w:val="32"/>
          <w:szCs w:val="32"/>
        </w:rPr>
      </w:pPr>
      <w:r>
        <w:rPr>
          <w:rFonts w:hint="eastAsia" w:ascii="仿宋_GB2312" w:eastAsia="仿宋_GB2312"/>
          <w:sz w:val="32"/>
          <w:szCs w:val="32"/>
        </w:rPr>
        <w:t>（一）主要经验及做法；</w:t>
      </w:r>
    </w:p>
    <w:p w14:paraId="57FE3ACE">
      <w:pPr>
        <w:spacing w:line="560" w:lineRule="exact"/>
        <w:ind w:firstLine="640" w:firstLineChars="200"/>
        <w:rPr>
          <w:rFonts w:ascii="仿宋_GB2312" w:eastAsia="仿宋_GB2312"/>
          <w:sz w:val="32"/>
          <w:szCs w:val="32"/>
        </w:rPr>
      </w:pPr>
      <w:r>
        <w:rPr>
          <w:rFonts w:hint="eastAsia" w:ascii="仿宋_GB2312" w:eastAsia="仿宋_GB2312"/>
          <w:sz w:val="32"/>
          <w:szCs w:val="32"/>
        </w:rPr>
        <w:t>资金的使用上，严格按照国家法律法规及财经纪律和局内规定办理，做到事前有预算，事中有跟踪，事后有审核，支出依据合规；无虚列支出情况，无截留挤占挪用情况，无超标准开支情况，无超预算情况，资金于202</w:t>
      </w:r>
      <w:r>
        <w:rPr>
          <w:rFonts w:hint="eastAsia" w:ascii="仿宋_GB2312" w:eastAsia="仿宋_GB2312"/>
          <w:sz w:val="32"/>
          <w:szCs w:val="32"/>
          <w:lang w:val="en-US" w:eastAsia="zh-CN"/>
        </w:rPr>
        <w:t>2</w:t>
      </w:r>
      <w:r>
        <w:rPr>
          <w:rFonts w:hint="eastAsia" w:ascii="仿宋_GB2312" w:eastAsia="仿宋_GB2312"/>
          <w:sz w:val="32"/>
          <w:szCs w:val="32"/>
        </w:rPr>
        <w:t>年12月31日前全部支出。</w:t>
      </w:r>
    </w:p>
    <w:p w14:paraId="26E6A669">
      <w:pPr>
        <w:spacing w:line="560" w:lineRule="exact"/>
        <w:ind w:firstLine="640" w:firstLineChars="200"/>
        <w:rPr>
          <w:rFonts w:ascii="仿宋_GB2312" w:eastAsia="仿宋_GB2312"/>
          <w:sz w:val="32"/>
          <w:szCs w:val="32"/>
        </w:rPr>
      </w:pPr>
      <w:r>
        <w:rPr>
          <w:rFonts w:hint="eastAsia" w:ascii="仿宋_GB2312" w:eastAsia="仿宋_GB2312"/>
          <w:sz w:val="32"/>
          <w:szCs w:val="32"/>
        </w:rPr>
        <w:t>（二）存在的问题；因该项目的支出是按照市投促局要求拨至市里，再由市局统筹各县区帮扶资金进行对口帮扶，故我单位无法进行该项目资金的社会调查及成本效益分析。</w:t>
      </w:r>
    </w:p>
    <w:p w14:paraId="44ECE911">
      <w:pPr>
        <w:spacing w:line="560" w:lineRule="exact"/>
        <w:ind w:firstLine="640" w:firstLineChars="200"/>
        <w:rPr>
          <w:rFonts w:ascii="仿宋_GB2312" w:eastAsia="仿宋_GB2312"/>
          <w:sz w:val="32"/>
          <w:szCs w:val="32"/>
        </w:rPr>
      </w:pPr>
      <w:r>
        <w:rPr>
          <w:rFonts w:hint="eastAsia" w:ascii="仿宋_GB2312" w:eastAsia="仿宋_GB2312"/>
          <w:sz w:val="32"/>
          <w:szCs w:val="32"/>
        </w:rPr>
        <w:t>（三）建议和改进措施。</w:t>
      </w:r>
    </w:p>
    <w:p w14:paraId="2557877A">
      <w:pPr>
        <w:spacing w:line="560" w:lineRule="exact"/>
        <w:ind w:firstLine="640" w:firstLineChars="200"/>
        <w:rPr>
          <w:rFonts w:ascii="仿宋_GB2312" w:eastAsia="仿宋_GB2312"/>
          <w:sz w:val="32"/>
          <w:szCs w:val="32"/>
        </w:rPr>
      </w:pPr>
      <w:r>
        <w:rPr>
          <w:rFonts w:hint="eastAsia" w:ascii="仿宋_GB2312" w:eastAsia="仿宋_GB2312"/>
          <w:sz w:val="32"/>
          <w:szCs w:val="32"/>
        </w:rPr>
        <w:t>无</w:t>
      </w:r>
    </w:p>
    <w:p w14:paraId="09BE16D8">
      <w:pPr>
        <w:topLinePunct/>
        <w:spacing w:line="440" w:lineRule="exact"/>
        <w:ind w:firstLine="800" w:firstLineChars="250"/>
        <w:rPr>
          <w:rFonts w:ascii="仿宋_GB2312" w:hAnsi="楷体" w:eastAsia="仿宋_GB2312"/>
          <w:sz w:val="32"/>
          <w:szCs w:val="32"/>
        </w:rPr>
      </w:pPr>
    </w:p>
    <w:p w14:paraId="56D4F362">
      <w:pPr>
        <w:topLinePunct/>
        <w:spacing w:line="440" w:lineRule="exact"/>
        <w:ind w:firstLine="800" w:firstLineChars="250"/>
        <w:rPr>
          <w:rFonts w:ascii="仿宋_GB2312" w:hAnsi="楷体" w:eastAsia="仿宋_GB2312"/>
          <w:sz w:val="32"/>
          <w:szCs w:val="32"/>
        </w:rPr>
      </w:pPr>
    </w:p>
    <w:p w14:paraId="3977F3E5">
      <w:pPr>
        <w:topLinePunct/>
        <w:spacing w:line="440" w:lineRule="exact"/>
        <w:ind w:firstLine="800" w:firstLineChars="250"/>
        <w:rPr>
          <w:rFonts w:ascii="仿宋_GB2312" w:hAnsi="楷体" w:eastAsia="仿宋_GB2312"/>
          <w:sz w:val="32"/>
          <w:szCs w:val="32"/>
        </w:rPr>
      </w:pPr>
      <w:r>
        <w:rPr>
          <w:rFonts w:hint="eastAsia" w:ascii="仿宋_GB2312" w:hAnsi="楷体" w:eastAsia="仿宋_GB2312"/>
          <w:sz w:val="32"/>
          <w:szCs w:val="32"/>
        </w:rPr>
        <w:t xml:space="preserve">                       盘龙区商务和投资促进局</w:t>
      </w:r>
    </w:p>
    <w:p w14:paraId="78ABF753">
      <w:pPr>
        <w:topLinePunct/>
        <w:spacing w:line="440" w:lineRule="exact"/>
        <w:ind w:firstLine="800" w:firstLineChars="250"/>
        <w:rPr>
          <w:rFonts w:ascii="仿宋_GB2312" w:hAnsi="楷体" w:eastAsia="仿宋_GB2312"/>
          <w:sz w:val="32"/>
          <w:szCs w:val="32"/>
        </w:rPr>
      </w:pPr>
      <w:r>
        <w:rPr>
          <w:rFonts w:hint="eastAsia" w:ascii="仿宋_GB2312" w:hAnsi="楷体" w:eastAsia="仿宋_GB2312"/>
          <w:sz w:val="32"/>
          <w:szCs w:val="32"/>
        </w:rPr>
        <w:t xml:space="preserve">                            202</w:t>
      </w:r>
      <w:r>
        <w:rPr>
          <w:rFonts w:hint="eastAsia" w:ascii="仿宋_GB2312" w:hAnsi="楷体" w:eastAsia="仿宋_GB2312"/>
          <w:sz w:val="32"/>
          <w:szCs w:val="32"/>
          <w:lang w:val="en-US" w:eastAsia="zh-CN"/>
        </w:rPr>
        <w:t>3</w:t>
      </w:r>
      <w:r>
        <w:rPr>
          <w:rFonts w:hint="eastAsia" w:ascii="仿宋_GB2312" w:hAnsi="楷体" w:eastAsia="仿宋_GB2312"/>
          <w:sz w:val="32"/>
          <w:szCs w:val="32"/>
        </w:rPr>
        <w:t>年4月</w:t>
      </w:r>
    </w:p>
    <w:p w14:paraId="0331EF4D">
      <w:pPr>
        <w:spacing w:line="440" w:lineRule="exact"/>
        <w:rPr>
          <w:rFonts w:eastAsia="黑体"/>
          <w:sz w:val="32"/>
          <w:szCs w:val="32"/>
        </w:rPr>
      </w:pPr>
    </w:p>
    <w:p w14:paraId="53EB2AC8">
      <w:r>
        <w:rPr>
          <w:rFonts w:ascii="楷体" w:hAnsi="楷体" w:eastAsia="楷体"/>
          <w:sz w:val="32"/>
          <w:szCs w:val="32"/>
        </w:rPr>
        <w:br w:type="page"/>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PMingLiU">
    <w:altName w:val="PMingLiU-ExtB"/>
    <w:panose1 w:val="02020500000000000000"/>
    <w:charset w:val="88"/>
    <w:family w:val="roman"/>
    <w:pitch w:val="default"/>
    <w:sig w:usb0="00000000" w:usb1="00000000" w:usb2="00000016" w:usb3="00000000" w:csb0="00100001" w:csb1="0000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167F61">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E6D710">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B27DCE">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F3422D">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C51002">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9DF285">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270D911"/>
    <w:multiLevelType w:val="singleLevel"/>
    <w:tmpl w:val="6270D911"/>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0298"/>
    <w:rsid w:val="00007978"/>
    <w:rsid w:val="00020298"/>
    <w:rsid w:val="00026714"/>
    <w:rsid w:val="000517B6"/>
    <w:rsid w:val="000659C2"/>
    <w:rsid w:val="00086F12"/>
    <w:rsid w:val="000D28AD"/>
    <w:rsid w:val="00126544"/>
    <w:rsid w:val="00135077"/>
    <w:rsid w:val="00152072"/>
    <w:rsid w:val="001665A6"/>
    <w:rsid w:val="0017313D"/>
    <w:rsid w:val="001D58B5"/>
    <w:rsid w:val="001E412C"/>
    <w:rsid w:val="00206067"/>
    <w:rsid w:val="002A7CA8"/>
    <w:rsid w:val="002C29BF"/>
    <w:rsid w:val="00354178"/>
    <w:rsid w:val="00377F8C"/>
    <w:rsid w:val="00380C44"/>
    <w:rsid w:val="00394951"/>
    <w:rsid w:val="003B6AF9"/>
    <w:rsid w:val="0047622D"/>
    <w:rsid w:val="004E1D6B"/>
    <w:rsid w:val="004F081E"/>
    <w:rsid w:val="00545F41"/>
    <w:rsid w:val="00551761"/>
    <w:rsid w:val="00554F6B"/>
    <w:rsid w:val="00555CEA"/>
    <w:rsid w:val="00580F59"/>
    <w:rsid w:val="00585DD3"/>
    <w:rsid w:val="005D1BAA"/>
    <w:rsid w:val="00650CD6"/>
    <w:rsid w:val="00673EE1"/>
    <w:rsid w:val="0069090C"/>
    <w:rsid w:val="00734482"/>
    <w:rsid w:val="00793B3B"/>
    <w:rsid w:val="00794526"/>
    <w:rsid w:val="007C6206"/>
    <w:rsid w:val="0081365F"/>
    <w:rsid w:val="00817730"/>
    <w:rsid w:val="008922A8"/>
    <w:rsid w:val="008C5B32"/>
    <w:rsid w:val="009A216E"/>
    <w:rsid w:val="009B5616"/>
    <w:rsid w:val="00A00915"/>
    <w:rsid w:val="00A406EC"/>
    <w:rsid w:val="00A64357"/>
    <w:rsid w:val="00A73FAC"/>
    <w:rsid w:val="00A97826"/>
    <w:rsid w:val="00AF57C1"/>
    <w:rsid w:val="00B01E9E"/>
    <w:rsid w:val="00B257F0"/>
    <w:rsid w:val="00B579CA"/>
    <w:rsid w:val="00BF14E8"/>
    <w:rsid w:val="00BF1564"/>
    <w:rsid w:val="00C33073"/>
    <w:rsid w:val="00C3621B"/>
    <w:rsid w:val="00C83FDB"/>
    <w:rsid w:val="00CD64A8"/>
    <w:rsid w:val="00D42A4A"/>
    <w:rsid w:val="00D52438"/>
    <w:rsid w:val="00D92C45"/>
    <w:rsid w:val="00D96843"/>
    <w:rsid w:val="00DA0C7C"/>
    <w:rsid w:val="00DA3EA7"/>
    <w:rsid w:val="00DD3831"/>
    <w:rsid w:val="00DE2F9F"/>
    <w:rsid w:val="00DF3D0C"/>
    <w:rsid w:val="00E07EE0"/>
    <w:rsid w:val="00EE3668"/>
    <w:rsid w:val="00F8304C"/>
    <w:rsid w:val="00FA6438"/>
    <w:rsid w:val="00FA77BA"/>
    <w:rsid w:val="00FB4151"/>
    <w:rsid w:val="00FD3A31"/>
    <w:rsid w:val="00FF0817"/>
    <w:rsid w:val="00FF2454"/>
    <w:rsid w:val="0412496A"/>
    <w:rsid w:val="04354AF0"/>
    <w:rsid w:val="0B4D2BE4"/>
    <w:rsid w:val="17395454"/>
    <w:rsid w:val="190E2933"/>
    <w:rsid w:val="1F636E14"/>
    <w:rsid w:val="30B74A45"/>
    <w:rsid w:val="3EB04DF3"/>
    <w:rsid w:val="49EE68B7"/>
    <w:rsid w:val="4CF61A84"/>
    <w:rsid w:val="4D4F5C32"/>
    <w:rsid w:val="4D737C77"/>
    <w:rsid w:val="51751DAE"/>
    <w:rsid w:val="591E2F0C"/>
    <w:rsid w:val="635F0A95"/>
    <w:rsid w:val="6AE7135A"/>
    <w:rsid w:val="6B246BE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1"/>
    <w:basedOn w:val="1"/>
    <w:next w:val="1"/>
    <w:link w:val="11"/>
    <w:qFormat/>
    <w:uiPriority w:val="9"/>
    <w:pPr>
      <w:keepNext/>
      <w:keepLines/>
      <w:spacing w:before="340" w:after="330" w:line="578" w:lineRule="auto"/>
      <w:outlineLvl w:val="0"/>
    </w:pPr>
    <w:rPr>
      <w:b/>
      <w:bCs/>
      <w:kern w:val="44"/>
      <w:sz w:val="44"/>
      <w:szCs w:val="44"/>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unhideWhenUsed/>
    <w:qFormat/>
    <w:uiPriority w:val="99"/>
    <w:pPr>
      <w:ind w:firstLine="420"/>
    </w:pPr>
  </w:style>
  <w:style w:type="paragraph" w:styleId="3">
    <w:name w:val="Body Text Indent"/>
    <w:basedOn w:val="1"/>
    <w:unhideWhenUsed/>
    <w:qFormat/>
    <w:uiPriority w:val="99"/>
    <w:pPr>
      <w:spacing w:after="120"/>
      <w:ind w:left="420" w:leftChars="200"/>
    </w:p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uiPriority w:val="99"/>
    <w:pPr>
      <w:pBdr>
        <w:bottom w:val="single" w:color="auto" w:sz="6" w:space="1"/>
      </w:pBdr>
      <w:tabs>
        <w:tab w:val="center" w:pos="4153"/>
        <w:tab w:val="right" w:pos="8306"/>
      </w:tabs>
      <w:snapToGrid w:val="0"/>
      <w:jc w:val="center"/>
    </w:pPr>
    <w:rPr>
      <w:sz w:val="18"/>
      <w:szCs w:val="18"/>
    </w:rPr>
  </w:style>
  <w:style w:type="paragraph" w:customStyle="1" w:styleId="9">
    <w:name w:val="TOC 标题1"/>
    <w:basedOn w:val="4"/>
    <w:next w:val="1"/>
    <w:qFormat/>
    <w:uiPriority w:val="99"/>
    <w:pPr>
      <w:widowControl/>
      <w:spacing w:before="480" w:after="0" w:line="276" w:lineRule="auto"/>
      <w:jc w:val="left"/>
      <w:outlineLvl w:val="9"/>
    </w:pPr>
    <w:rPr>
      <w:rFonts w:ascii="Cambria" w:hAnsi="Cambria" w:cs="Cambria"/>
      <w:color w:val="365F91"/>
      <w:kern w:val="0"/>
      <w:sz w:val="28"/>
      <w:szCs w:val="28"/>
    </w:rPr>
  </w:style>
  <w:style w:type="paragraph" w:customStyle="1" w:styleId="10">
    <w:name w:val="正文 A"/>
    <w:qFormat/>
    <w:uiPriority w:val="99"/>
    <w:pPr>
      <w:spacing w:after="200" w:line="276" w:lineRule="auto"/>
    </w:pPr>
    <w:rPr>
      <w:rFonts w:ascii="Calibri" w:hAnsi="Calibri" w:eastAsia="宋体" w:cs="Calibri"/>
      <w:color w:val="000000"/>
      <w:sz w:val="22"/>
      <w:szCs w:val="22"/>
      <w:u w:color="000000"/>
      <w:lang w:val="en-US" w:eastAsia="zh-CN" w:bidi="ar-SA"/>
    </w:rPr>
  </w:style>
  <w:style w:type="character" w:customStyle="1" w:styleId="11">
    <w:name w:val="标题 1 Char"/>
    <w:basedOn w:val="8"/>
    <w:link w:val="4"/>
    <w:qFormat/>
    <w:uiPriority w:val="9"/>
    <w:rPr>
      <w:rFonts w:ascii="Calibri" w:hAnsi="Calibri" w:eastAsia="宋体" w:cs="Times New Roman"/>
      <w:b/>
      <w:bCs/>
      <w:kern w:val="44"/>
      <w:sz w:val="44"/>
      <w:szCs w:val="44"/>
    </w:rPr>
  </w:style>
  <w:style w:type="character" w:customStyle="1" w:styleId="12">
    <w:name w:val="页眉 Char"/>
    <w:basedOn w:val="8"/>
    <w:link w:val="6"/>
    <w:semiHidden/>
    <w:qFormat/>
    <w:uiPriority w:val="99"/>
    <w:rPr>
      <w:rFonts w:ascii="Calibri" w:hAnsi="Calibri" w:eastAsia="宋体" w:cs="Times New Roman"/>
      <w:sz w:val="18"/>
      <w:szCs w:val="18"/>
    </w:rPr>
  </w:style>
  <w:style w:type="character" w:customStyle="1" w:styleId="13">
    <w:name w:val="页脚 Char"/>
    <w:basedOn w:val="8"/>
    <w:link w:val="5"/>
    <w:semiHidden/>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10</Pages>
  <Words>3016</Words>
  <Characters>3129</Characters>
  <Lines>24</Lines>
  <Paragraphs>6</Paragraphs>
  <TotalTime>22</TotalTime>
  <ScaleCrop>false</ScaleCrop>
  <LinksUpToDate>false</LinksUpToDate>
  <CharactersWithSpaces>3267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2019-04-28T07:40:00Z</dcterms:created>
  <dc:creator>PC</dc:creator>
  <cp:lastModifiedBy>方</cp:lastModifiedBy>
  <cp:lastPrinted>2019-07-18T01:38:00Z</cp:lastPrinted>
  <dcterms:modified xsi:type="dcterms:W3CDTF">2025-09-23T07:53:47Z</dcterms:modified>
  <cp:revision>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eyJoZGlkIjoiYWM4OTdjYmM5OTc1ZTExMjliOThhNWZiOGFiODE3Y2QiLCJ1c2VySWQiOiIxMTIxMzIwNzkyIn0=</vt:lpwstr>
  </property>
  <property fmtid="{D5CDD505-2E9C-101B-9397-08002B2CF9AE}" pid="4" name="ICV">
    <vt:lpwstr>2876991D26034270A39DB9C9CE13F791_13</vt:lpwstr>
  </property>
</Properties>
</file>