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CB09D">
      <w:pPr>
        <w:jc w:val="left"/>
        <w:outlineLvl w:val="0"/>
        <w:rPr>
          <w:rFonts w:hint="eastAsia" w:ascii="仿宋_GB2312" w:hAnsi="仿宋_GB2312" w:eastAsia="仿宋_GB2312" w:cs="仿宋_GB2312"/>
          <w:sz w:val="18"/>
          <w:szCs w:val="18"/>
          <w:lang w:val="zh-CN"/>
        </w:rPr>
      </w:pPr>
      <w:r>
        <w:rPr>
          <w:rFonts w:hint="eastAsia" w:ascii="仿宋_GB2312" w:hAnsi="仿宋_GB2312" w:eastAsia="仿宋_GB2312" w:cs="仿宋_GB2312"/>
          <w:b/>
          <w:bCs/>
          <w:i w:val="0"/>
          <w:iCs w:val="0"/>
          <w:caps w:val="0"/>
          <w:color w:val="000000"/>
          <w:spacing w:val="0"/>
          <w:sz w:val="18"/>
          <w:szCs w:val="18"/>
        </w:rPr>
        <w:t>监督索引号53010303200401111</w:t>
      </w:r>
      <w:bookmarkStart w:id="0" w:name="_GoBack"/>
      <w:bookmarkEnd w:id="0"/>
    </w:p>
    <w:p w14:paraId="306EA721">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昆明市盘龙区住房和城乡建设局</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7739FC0A">
      <w:pPr>
        <w:jc w:val="center"/>
        <w:rPr>
          <w:rFonts w:hint="eastAsia" w:ascii="方正小标宋简体" w:hAnsi="方正小标宋简体" w:eastAsia="方正小标宋简体" w:cs="方正小标宋简体"/>
          <w:sz w:val="36"/>
          <w:szCs w:val="36"/>
          <w:highlight w:val="none"/>
        </w:rPr>
      </w:pPr>
    </w:p>
    <w:p w14:paraId="0CE912FC">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489D67F1">
      <w:pPr>
        <w:jc w:val="left"/>
        <w:rPr>
          <w:rFonts w:hint="eastAsia" w:ascii="黑体" w:hAnsi="黑体" w:eastAsia="黑体"/>
          <w:sz w:val="30"/>
          <w:szCs w:val="30"/>
          <w:highlight w:val="none"/>
        </w:rPr>
      </w:pPr>
    </w:p>
    <w:p w14:paraId="4DFB7C6A">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14:paraId="7E98ACF3">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5E0B686C">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4FFC2843">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7F7141B2">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7BF0F81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223031F6">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3AD7172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24704F3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06427B0A">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584615F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3587E28B">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6A1340A1">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5A94EF01">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7277DED1">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539C1E88">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1CFDB67C">
      <w:pPr>
        <w:jc w:val="left"/>
        <w:outlineLvl w:val="0"/>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009CCE6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26800913">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2B96278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6BA86953">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0214D48F">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57051786">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0B343B50">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21224D96">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510FA04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596B28E1">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425B1840">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0D9777A9">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2A577DEC">
      <w:pPr>
        <w:jc w:val="center"/>
        <w:rPr>
          <w:rFonts w:hint="eastAsia" w:ascii="黑体" w:hAnsi="黑体" w:eastAsia="黑体"/>
          <w:sz w:val="32"/>
          <w:szCs w:val="32"/>
          <w:highlight w:val="none"/>
        </w:rPr>
      </w:pPr>
    </w:p>
    <w:p w14:paraId="15AA7C28">
      <w:pPr>
        <w:jc w:val="center"/>
        <w:rPr>
          <w:rFonts w:hint="eastAsia" w:ascii="黑体" w:hAnsi="黑体" w:eastAsia="黑体"/>
          <w:sz w:val="32"/>
          <w:szCs w:val="32"/>
          <w:highlight w:val="none"/>
        </w:rPr>
      </w:pPr>
    </w:p>
    <w:p w14:paraId="710306FA">
      <w:pPr>
        <w:jc w:val="center"/>
        <w:rPr>
          <w:rFonts w:hint="eastAsia" w:ascii="黑体" w:hAnsi="黑体" w:eastAsia="黑体"/>
          <w:sz w:val="32"/>
          <w:szCs w:val="32"/>
          <w:highlight w:val="none"/>
        </w:rPr>
      </w:pPr>
    </w:p>
    <w:p w14:paraId="21C8BFDA">
      <w:pPr>
        <w:jc w:val="center"/>
        <w:rPr>
          <w:rFonts w:hint="eastAsia" w:ascii="黑体" w:hAnsi="黑体" w:eastAsia="黑体"/>
          <w:sz w:val="32"/>
          <w:szCs w:val="32"/>
          <w:highlight w:val="none"/>
        </w:rPr>
      </w:pPr>
    </w:p>
    <w:p w14:paraId="52A84342">
      <w:pPr>
        <w:jc w:val="center"/>
        <w:rPr>
          <w:rFonts w:hint="eastAsia" w:ascii="黑体" w:hAnsi="黑体" w:eastAsia="黑体"/>
          <w:sz w:val="32"/>
          <w:szCs w:val="32"/>
          <w:highlight w:val="none"/>
        </w:rPr>
      </w:pPr>
    </w:p>
    <w:p w14:paraId="2A4634FC">
      <w:pPr>
        <w:jc w:val="center"/>
        <w:rPr>
          <w:rFonts w:hint="eastAsia" w:ascii="黑体" w:hAnsi="黑体" w:eastAsia="黑体"/>
          <w:sz w:val="32"/>
          <w:szCs w:val="32"/>
          <w:highlight w:val="none"/>
        </w:rPr>
      </w:pPr>
    </w:p>
    <w:p w14:paraId="545D0CC7">
      <w:pPr>
        <w:jc w:val="center"/>
        <w:rPr>
          <w:rFonts w:hint="eastAsia" w:ascii="黑体" w:hAnsi="黑体" w:eastAsia="黑体"/>
          <w:sz w:val="32"/>
          <w:szCs w:val="32"/>
          <w:highlight w:val="none"/>
        </w:rPr>
      </w:pPr>
    </w:p>
    <w:p w14:paraId="7961E648">
      <w:pPr>
        <w:jc w:val="both"/>
        <w:rPr>
          <w:rFonts w:hint="eastAsia" w:ascii="黑体" w:hAnsi="黑体" w:eastAsia="黑体"/>
          <w:sz w:val="32"/>
          <w:szCs w:val="32"/>
          <w:highlight w:val="none"/>
        </w:rPr>
      </w:pPr>
    </w:p>
    <w:p w14:paraId="6A32B5D1">
      <w:pPr>
        <w:jc w:val="center"/>
        <w:outlineLvl w:val="0"/>
        <w:rPr>
          <w:rFonts w:hint="eastAsia" w:ascii="黑体" w:hAnsi="黑体" w:eastAsia="黑体"/>
          <w:sz w:val="32"/>
          <w:szCs w:val="32"/>
          <w:highlight w:val="none"/>
          <w:lang w:eastAsia="zh-CN"/>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部门概况</w:t>
      </w:r>
    </w:p>
    <w:p w14:paraId="51AD2D43">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38BF9B39">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1、负责贯彻执行国家、省、市有关住房和城乡建设、人民防空的法律、法规、规章及方针政策，拟订全区住房和城乡建设中长期发展规划、年度建设计划，并组织实施。</w:t>
      </w:r>
    </w:p>
    <w:p w14:paraId="7B153088">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2、负责审批权限范围内的城市建设计划、初步设计审查、施工许可及工程竣工验收备案。</w:t>
      </w:r>
    </w:p>
    <w:p w14:paraId="76218175">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3、负责审批权限范围内的建设工程消防设计审查、消防验收、备案和抽查。</w:t>
      </w:r>
    </w:p>
    <w:p w14:paraId="6402AAC5">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4、负责工程建设项目的质量监督及本行业领域的安全生产监管；负责建筑施工企业安全生产许可证核发、延期审查和批后管理；负责建设工程标准化和造价管理工作，参与编制建筑经济定额。</w:t>
      </w:r>
    </w:p>
    <w:p w14:paraId="2DF0DD62">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5、负责贯彻执行建筑业的行业管理法律、法规及政策，规范建筑市场，推进建筑业发展；在权限范围内负责建筑业企业的资质审查、报批管理。</w:t>
      </w:r>
    </w:p>
    <w:p w14:paraId="42B972A4">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6、负责贯彻执行房地产业的行业管理法律、法规及政策，规范房地产市场秩序；负责贯彻执行物业服务行业的法律、法规及政策，指导、监督辖区内各物业服务企业工作；负责贯彻执行房屋租赁行业的地方性法规、规章和规范性文件，指导、监督辖区内各房屋中介机构工作；负责辖区房屋安全管理鉴定工作。</w:t>
      </w:r>
    </w:p>
    <w:p w14:paraId="107A41BB">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7、负责辖区内瓶装液化燃气供应站（点）、液化燃气用户的行业管理、安全管理工作；负责对辖区内瓶装液化气供应站（点）操作人员持证上岗情况的监督检查工作。</w:t>
      </w:r>
    </w:p>
    <w:p w14:paraId="1B9C7C03">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8、按照上级业务主管部门的要求承担滇池流域外城镇排水与污水处理职责。</w:t>
      </w:r>
    </w:p>
    <w:p w14:paraId="24D7DA92">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9、负责政府工程项目的代建监督、指导工作；配合做好建筑和市政工程施工图设计文件审查备案工作；负责主城区城市道路、桥梁（隧道）的路面平整及井盖运行管理（不含其他附属设施），指导、监督、检查日常维护管养工作；负责辖区内城市道路、桥梁占用挖掘的监管，指导辖区内城市规划道路、桥梁（隧道）路面及井盖的管养维护工作。</w:t>
      </w:r>
    </w:p>
    <w:p w14:paraId="5935D14F">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10、负责贯彻有关村镇建设的法律、法规及政策，指导辖区内村镇建设、安全及危房改造，负责农村民居通用图的设计及推广；配合做好特色小（城）镇、美丽乡村等创建工作。</w:t>
      </w:r>
    </w:p>
    <w:p w14:paraId="024C2F5E">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11、负责辖区内建筑工程抗震设防管理及农村民居抗震安全工作；负责建设工程的抗震设防专项审查，协助有关部门做好震后抢险工作；指导和组织震后恢复重建工作。</w:t>
      </w:r>
    </w:p>
    <w:p w14:paraId="33A1EA76">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12、负责拟订辖区保障性安居工程的发展规划、计划并监督实施；负责指导监督辖区直管公房的维修、抗震加固和改造；承担直管公房房屋租金收取工作；负责直管公房统计年报工作；指导参与辖区住房制度改革工作及住房补贴发放工作；负责私有房产历史遗留问题的核查和政策落实工作。</w:t>
      </w:r>
    </w:p>
    <w:p w14:paraId="07E7BE4C">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13、负责依据城市发展总体规划，平时组织开展人民防空建设，战时组织开展城市人民防空袭斗争。负责人防工程维护管理，负责人防设施拆除迁移审批。</w:t>
      </w:r>
    </w:p>
    <w:p w14:paraId="3B40B171">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14、负责贯彻执行国家和省、市、区颁布的工程建设有关消防工程的政策、法律、法规、规范、标准；负责辖区内新建、扩建、改建工程项目的消防工程设计审查、验收和备案。</w:t>
      </w:r>
    </w:p>
    <w:p w14:paraId="7932CC02">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15、负责建筑起重机械的安全监督管理。</w:t>
      </w:r>
    </w:p>
    <w:p w14:paraId="4A90C16E">
      <w:pPr>
        <w:spacing w:line="600" w:lineRule="exact"/>
        <w:ind w:firstLine="600" w:firstLineChars="200"/>
        <w:rPr>
          <w:rFonts w:hint="eastAsia"/>
          <w:bCs/>
          <w:szCs w:val="30"/>
          <w:highlight w:val="none"/>
        </w:rPr>
      </w:pPr>
      <w:r>
        <w:rPr>
          <w:rFonts w:hint="eastAsia" w:ascii="仿宋_GB2312" w:hAnsi="仿宋_GB2312" w:eastAsia="仿宋_GB2312" w:cs="仿宋_GB2312"/>
          <w:sz w:val="30"/>
          <w:szCs w:val="30"/>
          <w:highlight w:val="none"/>
          <w:lang w:val="en-US"/>
        </w:rPr>
        <w:t>16、完成区委、区政府和上级机关交办的其他任务。</w:t>
      </w:r>
    </w:p>
    <w:p w14:paraId="690DD7E6">
      <w:pPr>
        <w:numPr>
          <w:ilvl w:val="0"/>
          <w:numId w:val="1"/>
        </w:num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基本情况</w:t>
      </w:r>
    </w:p>
    <w:p w14:paraId="0122FE77">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14:paraId="1646A416">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我</w:t>
      </w:r>
      <w:r>
        <w:rPr>
          <w:rFonts w:hint="eastAsia" w:ascii="仿宋_GB2312" w:hAnsi="仿宋_GB2312" w:eastAsia="仿宋_GB2312" w:cs="仿宋_GB2312"/>
          <w:sz w:val="30"/>
          <w:szCs w:val="30"/>
          <w:highlight w:val="none"/>
          <w:lang w:val="en-US" w:eastAsia="zh-CN"/>
        </w:rPr>
        <w:t>部门</w:t>
      </w:r>
      <w:r>
        <w:rPr>
          <w:rFonts w:hint="eastAsia" w:ascii="仿宋_GB2312" w:hAnsi="仿宋_GB2312" w:eastAsia="仿宋_GB2312" w:cs="仿宋_GB2312"/>
          <w:sz w:val="30"/>
          <w:szCs w:val="30"/>
          <w:highlight w:val="none"/>
          <w:lang w:val="en-US"/>
        </w:rPr>
        <w:t>共设置</w:t>
      </w:r>
      <w:r>
        <w:rPr>
          <w:rFonts w:hint="eastAsia" w:ascii="仿宋_GB2312" w:hAnsi="仿宋_GB2312" w:eastAsia="仿宋_GB2312" w:cs="仿宋_GB2312"/>
          <w:sz w:val="30"/>
          <w:szCs w:val="30"/>
          <w:highlight w:val="none"/>
          <w:lang w:val="en-US" w:eastAsia="zh-CN"/>
        </w:rPr>
        <w:t>8</w:t>
      </w:r>
      <w:r>
        <w:rPr>
          <w:rFonts w:hint="eastAsia" w:ascii="仿宋_GB2312" w:hAnsi="仿宋_GB2312" w:eastAsia="仿宋_GB2312" w:cs="仿宋_GB2312"/>
          <w:sz w:val="30"/>
          <w:szCs w:val="30"/>
          <w:highlight w:val="none"/>
          <w:lang w:val="en-US"/>
        </w:rPr>
        <w:t>个内设机构，包括：综合办公室、财务科、城乡建设科、工程建设审批科、物业服务科、企业服务管理科、政策法规科、人民防空综合科</w:t>
      </w:r>
      <w:r>
        <w:rPr>
          <w:rFonts w:hint="eastAsia" w:ascii="仿宋_GB2312" w:hAnsi="仿宋_GB2312" w:eastAsia="仿宋_GB2312" w:cs="仿宋_GB2312"/>
          <w:sz w:val="30"/>
          <w:szCs w:val="30"/>
          <w:highlight w:val="none"/>
          <w:lang w:val="en-US" w:eastAsia="zh-CN"/>
        </w:rPr>
        <w:t>。</w:t>
      </w:r>
    </w:p>
    <w:p w14:paraId="53056E3B">
      <w:pPr>
        <w:spacing w:line="60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所属单位8个，分别是：</w:t>
      </w:r>
    </w:p>
    <w:p w14:paraId="3530593B">
      <w:pPr>
        <w:spacing w:line="60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1、昆明市盘龙区市政基础设施建设管理处</w:t>
      </w:r>
    </w:p>
    <w:p w14:paraId="7BF8A084">
      <w:pPr>
        <w:spacing w:line="60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2、盘龙区房屋安全鉴定和建设工程质量安全监督站</w:t>
      </w:r>
    </w:p>
    <w:p w14:paraId="13FDB28B">
      <w:pPr>
        <w:spacing w:line="60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3、昆明市盘龙区廉租住房建设管理处</w:t>
      </w:r>
    </w:p>
    <w:p w14:paraId="6F57F989">
      <w:pPr>
        <w:spacing w:line="60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4、昆明市盘龙区住房和城乡建设局房管所</w:t>
      </w:r>
    </w:p>
    <w:p w14:paraId="2E570AA5">
      <w:pPr>
        <w:spacing w:line="60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5、昆明市盘龙区防震减灾局</w:t>
      </w:r>
    </w:p>
    <w:p w14:paraId="765EB34D">
      <w:pPr>
        <w:spacing w:line="60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6、昆明市盘龙区保障性住房管理服务中心</w:t>
      </w:r>
    </w:p>
    <w:p w14:paraId="0E21A83B">
      <w:pPr>
        <w:spacing w:line="60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7、昆明市盘龙区建设工程定额站</w:t>
      </w:r>
    </w:p>
    <w:p w14:paraId="583365EF">
      <w:pPr>
        <w:spacing w:line="600" w:lineRule="exact"/>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8、昆明市盘龙区住房和城乡建设局机关</w:t>
      </w:r>
    </w:p>
    <w:p w14:paraId="687891AD">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14:paraId="11F73B0A">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纳入昆明市盘龙区住房和城乡建设局202</w:t>
      </w: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lang w:val="en-US"/>
        </w:rPr>
        <w:t>年度</w:t>
      </w:r>
      <w:r>
        <w:rPr>
          <w:rFonts w:hint="eastAsia" w:ascii="仿宋_GB2312" w:hAnsi="仿宋_GB2312" w:eastAsia="仿宋_GB2312" w:cs="仿宋_GB2312"/>
          <w:sz w:val="30"/>
          <w:szCs w:val="30"/>
          <w:highlight w:val="none"/>
          <w:lang w:val="en-US" w:eastAsia="zh-CN"/>
        </w:rPr>
        <w:t>部门</w:t>
      </w:r>
      <w:r>
        <w:rPr>
          <w:rFonts w:hint="eastAsia" w:ascii="仿宋_GB2312" w:hAnsi="仿宋_GB2312" w:eastAsia="仿宋_GB2312" w:cs="仿宋_GB2312"/>
          <w:sz w:val="30"/>
          <w:szCs w:val="30"/>
          <w:highlight w:val="none"/>
          <w:lang w:val="en-US"/>
        </w:rPr>
        <w:t>决算编报的单位共2个。其中：行政单位1个，参照公务员法管理的事业单位0个，其他事业单位1个。分别是：</w:t>
      </w:r>
    </w:p>
    <w:p w14:paraId="55DD6EC3">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1.昆明市盘龙区住房和城乡建设局（本级）</w:t>
      </w:r>
    </w:p>
    <w:p w14:paraId="486E087D">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2.昆明市盘龙区市政基础设施建设管理处</w:t>
      </w:r>
    </w:p>
    <w:p w14:paraId="6F8DD279">
      <w:pPr>
        <w:spacing w:line="600" w:lineRule="exact"/>
        <w:ind w:firstLine="600" w:firstLineChars="200"/>
        <w:rPr>
          <w:rFonts w:hint="eastAsia" w:ascii="仿宋_GB2312" w:hAnsi="仿宋_GB2312" w:eastAsia="仿宋_GB2312" w:cs="仿宋_GB2312"/>
          <w:sz w:val="30"/>
          <w:szCs w:val="30"/>
          <w:highlight w:val="none"/>
          <w:lang w:val="en-US"/>
        </w:rPr>
      </w:pPr>
      <w:r>
        <w:rPr>
          <w:rFonts w:hint="eastAsia" w:ascii="仿宋_GB2312" w:hAnsi="仿宋_GB2312" w:eastAsia="仿宋_GB2312" w:cs="仿宋_GB2312"/>
          <w:sz w:val="30"/>
          <w:szCs w:val="30"/>
          <w:highlight w:val="none"/>
          <w:lang w:val="en-US"/>
        </w:rPr>
        <w:t>纳入昆明市盘龙区住房和城乡建设局202</w:t>
      </w: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lang w:val="en-US"/>
        </w:rPr>
        <w:t>年度部门决算编报的单位与我部门所属单位范围</w:t>
      </w:r>
      <w:r>
        <w:rPr>
          <w:rFonts w:hint="eastAsia" w:ascii="仿宋_GB2312" w:hAnsi="仿宋_GB2312" w:eastAsia="仿宋_GB2312" w:cs="仿宋_GB2312"/>
          <w:sz w:val="30"/>
          <w:szCs w:val="30"/>
          <w:highlight w:val="none"/>
          <w:lang w:val="en-US" w:eastAsia="zh-CN"/>
        </w:rPr>
        <w:t>不一致的原因为除</w:t>
      </w:r>
      <w:r>
        <w:rPr>
          <w:rFonts w:hint="eastAsia" w:ascii="仿宋_GB2312" w:hAnsi="仿宋_GB2312" w:eastAsia="仿宋_GB2312" w:cs="仿宋_GB2312"/>
          <w:sz w:val="30"/>
          <w:szCs w:val="30"/>
          <w:highlight w:val="none"/>
          <w:lang w:val="en-US"/>
        </w:rPr>
        <w:t>昆明市盘龙区市政基础设施建设管理处</w:t>
      </w:r>
      <w:r>
        <w:rPr>
          <w:rFonts w:hint="eastAsia" w:ascii="仿宋_GB2312" w:hAnsi="仿宋_GB2312" w:eastAsia="仿宋_GB2312" w:cs="仿宋_GB2312"/>
          <w:sz w:val="30"/>
          <w:szCs w:val="30"/>
          <w:highlight w:val="none"/>
          <w:lang w:val="en-US" w:eastAsia="zh-CN"/>
        </w:rPr>
        <w:t>外其余6个所属单位为不独立核算单位,资金使用统一纳入</w:t>
      </w:r>
      <w:r>
        <w:rPr>
          <w:rFonts w:hint="eastAsia" w:ascii="仿宋_GB2312" w:hAnsi="仿宋_GB2312" w:eastAsia="仿宋_GB2312" w:cs="仿宋_GB2312"/>
          <w:sz w:val="30"/>
          <w:szCs w:val="30"/>
          <w:highlight w:val="none"/>
          <w:lang w:val="en-US"/>
        </w:rPr>
        <w:t>昆明市盘龙区住房和城乡建设局</w:t>
      </w:r>
      <w:r>
        <w:rPr>
          <w:rFonts w:hint="eastAsia" w:ascii="仿宋_GB2312" w:hAnsi="仿宋_GB2312" w:eastAsia="仿宋_GB2312" w:cs="仿宋_GB2312"/>
          <w:sz w:val="30"/>
          <w:szCs w:val="30"/>
          <w:highlight w:val="none"/>
          <w:lang w:val="en-US" w:eastAsia="zh-CN"/>
        </w:rPr>
        <w:t>（本级）管理</w:t>
      </w:r>
      <w:r>
        <w:rPr>
          <w:rFonts w:hint="eastAsia" w:ascii="仿宋_GB2312" w:hAnsi="仿宋_GB2312" w:eastAsia="仿宋_GB2312" w:cs="仿宋_GB2312"/>
          <w:sz w:val="30"/>
          <w:szCs w:val="30"/>
          <w:highlight w:val="none"/>
          <w:lang w:val="en-US"/>
        </w:rPr>
        <w:t>。</w:t>
      </w:r>
    </w:p>
    <w:p w14:paraId="013E0DC6">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14:paraId="7E14A412">
      <w:pPr>
        <w:spacing w:line="600" w:lineRule="exact"/>
        <w:ind w:firstLine="600" w:firstLineChars="200"/>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编制内</w:t>
      </w:r>
      <w:r>
        <w:rPr>
          <w:rFonts w:hint="eastAsia" w:ascii="仿宋_GB2312" w:hAnsi="仿宋_GB2312" w:eastAsia="仿宋_GB2312" w:cs="仿宋_GB2312"/>
          <w:sz w:val="30"/>
          <w:szCs w:val="30"/>
          <w:highlight w:val="none"/>
        </w:rPr>
        <w:t>实有人员</w:t>
      </w:r>
      <w:r>
        <w:rPr>
          <w:rFonts w:hint="eastAsia" w:ascii="仿宋_GB2312" w:hAnsi="仿宋_GB2312" w:eastAsia="仿宋_GB2312" w:cs="仿宋_GB2312"/>
          <w:color w:val="auto"/>
          <w:sz w:val="30"/>
          <w:szCs w:val="30"/>
          <w:lang w:val="en-US" w:eastAsia="zh-CN"/>
        </w:rPr>
        <w:t>179</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b w:val="0"/>
          <w:bCs w:val="0"/>
          <w:kern w:val="0"/>
          <w:sz w:val="30"/>
          <w:szCs w:val="30"/>
          <w:highlight w:val="none"/>
          <w:lang w:eastAsia="zh-CN"/>
        </w:rPr>
        <w:t>包括</w:t>
      </w:r>
      <w:r>
        <w:rPr>
          <w:rFonts w:hint="eastAsia" w:ascii="仿宋_GB2312" w:hAnsi="仿宋_GB2312" w:eastAsia="仿宋_GB2312" w:cs="仿宋_GB2312"/>
          <w:kern w:val="0"/>
          <w:sz w:val="30"/>
          <w:szCs w:val="30"/>
          <w:highlight w:val="none"/>
          <w:lang w:eastAsia="zh-CN"/>
        </w:rPr>
        <w:t>财政拨款开支经费的</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12</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98</w:t>
      </w:r>
      <w:r>
        <w:rPr>
          <w:rFonts w:hint="eastAsia" w:ascii="仿宋_GB2312" w:hAnsi="仿宋_GB2312" w:eastAsia="仿宋_GB2312" w:cs="仿宋_GB2312"/>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69</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p>
    <w:p w14:paraId="7100EB36">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sz w:val="30"/>
          <w:szCs w:val="30"/>
          <w:highlight w:val="none"/>
          <w:lang w:eastAsia="zh-CN"/>
        </w:rPr>
        <w:t>人。</w:t>
      </w:r>
    </w:p>
    <w:p w14:paraId="2171C1CC">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eastAsia="zh-CN"/>
        </w:rPr>
        <w:t>年末尚未移交</w:t>
      </w:r>
      <w:r>
        <w:rPr>
          <w:rFonts w:hint="eastAsia" w:ascii="仿宋_GB2312" w:hAnsi="仿宋_GB2312" w:eastAsia="仿宋_GB2312" w:cs="仿宋_GB2312"/>
          <w:kern w:val="0"/>
          <w:sz w:val="30"/>
          <w:szCs w:val="30"/>
          <w:highlight w:val="none"/>
        </w:rPr>
        <w:t>养老保险基金发放养老金的离退休人员</w:t>
      </w:r>
      <w:r>
        <w:rPr>
          <w:rFonts w:hint="eastAsia" w:ascii="仿宋_GB2312" w:hAnsi="仿宋_GB2312" w:eastAsia="仿宋_GB2312" w:cs="仿宋_GB2312"/>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）。年末</w:t>
      </w:r>
      <w:r>
        <w:rPr>
          <w:rFonts w:hint="eastAsia" w:ascii="仿宋_GB2312" w:hAnsi="仿宋_GB2312" w:eastAsia="仿宋_GB2312" w:cs="仿宋_GB2312"/>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212</w:t>
      </w:r>
      <w:r>
        <w:rPr>
          <w:rFonts w:hint="eastAsia" w:ascii="仿宋_GB2312" w:hAnsi="仿宋_GB2312" w:eastAsia="仿宋_GB2312" w:cs="仿宋_GB2312"/>
          <w:kern w:val="0"/>
          <w:sz w:val="30"/>
          <w:szCs w:val="30"/>
          <w:highlight w:val="none"/>
          <w:lang w:val="en-US" w:eastAsia="zh-CN"/>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212</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val="en-US" w:eastAsia="zh-CN"/>
        </w:rPr>
        <w:t>年末学生</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lang w:val="en-US" w:eastAsia="zh-CN"/>
        </w:rPr>
        <w:t>人。年末遗属</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lang w:val="en-US" w:eastAsia="zh-CN"/>
        </w:rPr>
        <w:t>人。</w:t>
      </w:r>
    </w:p>
    <w:p w14:paraId="2FB077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jc w:val="left"/>
        <w:textAlignment w:val="auto"/>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车辆编制14辆，在编实有车辆10辆，超编0辆。</w:t>
      </w:r>
    </w:p>
    <w:p w14:paraId="105A6E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00" w:firstLineChars="200"/>
        <w:textAlignment w:val="auto"/>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0C14FDFB">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凝聚全局合力，彰显自身建设崭新气象。继续坚持把党的政治建设摆在首位，突出抓好意识形态工作，优化上下贯通、执行有力的组织体系，打造“能干事、干实事”的住建队伍，切实提升工作的实效。一是坚持以习近平新时代中国特色社会主义思想为指导,认真贯彻落实区委区政府各项安排部署,以党建为引领，把学习教育贯穿到日常工作中。二是加强意识形态工作。将党建工作责任制、日常业务工作和意识形态工作责任制有机融合，牢牢把握正确政治方向和舆论方向，及时回应群众提出的诉求。三是深化廉政纪律。认真履行党风廉政建设责任制，加强全局干部职工党风廉政和纪律建设，推动全面从严治党向纵深发展。四是严格落实保密和国家安全工作要求，每年定期组织保密工作培训及警示教育，开展保密检查。深入学习贯彻总体国家安全观，党组每年组织开展国家安全工作专题研究。五是牢牢把握铸牢中华民族共同体意识这条主线，推动党的建设与统战民宗工作深度融合，激发全体统战民宗干部干事创业动能。</w:t>
      </w:r>
    </w:p>
    <w:p w14:paraId="10212976">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坚持增进民生福祉，更好提高人民居住水平。一是积极落实市级关于房地产市场纾困相关政策，持续做好房地产融资协调机制工作，做好风险项目化解工作，继续做好保交楼专项借款资金承接、使用、管理、收回、偿还统筹协调工作，优化资金审批流程，加快项目资金审批速度。二是推动完善住房供应体系。建立健全以公共租赁住房、保障性租赁住房和配售型保障性住房为主体的租购并举的住房保障体系，补齐保障性住房建设短板，督促企业加快保租房建设，推动保租房项目尽快面世，解决供需不平衡问题，积极完成2025年度保租房项目建设计划申报。探索城市更新、保障房与商业地产的可结合新发展模式和方向。积极支持惠居公司在盘龙区的工作开展，推进“配售型”保障性住房在盘龙区的建设工作。</w:t>
      </w:r>
    </w:p>
    <w:p w14:paraId="56C8457F">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以发展驱动为引领，推动行业实现进一步发展。一是进一步落实重点建筑企业领导走访制度，深挖在库企业产值存量，精确掌握企业合同签订情况及项目建设情况，精准指导企业做好产值统计和支撑材料准备工作。二是协调省住建厅和市住建局，下放部分建筑业资质核发权限并实行告知承诺制，以及安全生产许可证核发权限。下发后可以进一步提高办理效率，有效吸引建筑企业迁入及新企业注册落地。三是通过包装项目争取专债、落实资金，加快项目落地见效，推动投资扩量增效吗，吸引我区优质建筑企业参与项目建设，吸引优质企业落户盘龙，增强企业信心，通过注入“活水”为我区现有建筑市场注入新活力。四是进一步落实保障农民工工资制度，强化行业主管部门职责，充分运用实名制平台实现在建项目实名制以及工资支付保障的全流程监管，尽快实现住建领域在建工程项目全覆盖，真正实现“干活有数据、用工有实据，讨薪有依据”的目标，有效遏制欠薪风险。</w:t>
      </w:r>
    </w:p>
    <w:p w14:paraId="7D7593CE">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聚焦城乡融合发展，高标准推动城乡建设。一是加快推进盘龙区城市燃气管道老化更新改造项目建设，加快立管改造项目建设，借鉴房屋市政质量安全监管方法，对每个实施标段在办理施工许可手续后、施工前，制定质量安全监督计划，召开项目例会，协调对接督促燃气企业加快项目施工招标招选工作，力争11月底盘龙区公共立管改造工作全部进场施工，争取完成市级交办的工作任务。加快项目实施进度，确保项目按时按质按量完成。二是持续做好农村危房改造工作，牵头街道积极完成2024年82户农村危房改造工作，根据上级要求开展2025年农村危房改造计划，对2025年申报的农村危房改造进行审核，确保符合政策要求。三是持续推进金瓦路片区保障性租赁住房配套基础设施建设工程、严家山片区保障性租赁住房配套基础设施建设工程等项目按计划开工，严格履行招标相关规定，着力推进新建项目招标、合同签订等工作；对已建成未移交市政道路，持续跟进道路主体工程现状移交情况，继续推进盘龙区现状道路属性确认工作，提高市政道路管理水平。四是持续推进盘龙区金瓦路片区保障性租赁住房配套基础设施建设工程、大波村、小窑村城中村改造配套基础设施建设工程、盘龙区万华路、铂金大道、世博路排水管道老化更新改造等项目建设任务。六是做好道路维护管养，加强设施维护工作的计划性和预防性，2025年计划对北京路延长线1号桥、穿金路、园博路、北京路等道路进行维护，完成盘龙区2025年桥梁安全检测工作，同时继续牵头各管线单位加大病害井盖巡查整治力度。</w:t>
      </w:r>
    </w:p>
    <w:p w14:paraId="33BD23E6">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紧盯安全底线，严格落实安全生产职责。突出抓好城镇燃气、房屋市政工程、自建房、高层建筑安全隐患、农村危房等领域风险防范，全力防风险、强整治、除隐患、保安全，坚决守住住建领域安全发展底线。一是持续做好全区城镇燃气安全专项整治工作。根据《盘龙区燃气管理办法》发动各方力量，加大对燃气经营场所、使用场所的安全监管力度，压实各级责任，全力将燃气安全隐患风险降至最低。二是稳步推进建筑工程质量、安全、文明卫生施工总体提升。加强危大工程、大型机械设备检查力度，进一步整治建筑行业乱象。配合大型机械设备使用备案登记下放，进一步优化工作流程，提高整体工作效率。加大巡查力度，做好扬尘管控工作。三是按照国家、省、市时间节点要求持续推进自建房整治工作要求，通过安全鉴定、分类整治，对全区自建房的重大风险隐患管控到位，采取措施到位，及时消除各类安全风险，坚决防止重特大事故发生。</w:t>
      </w:r>
    </w:p>
    <w:p w14:paraId="5BCE6517">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宋体" w:eastAsia="仿宋_GB2312" w:cs="Arial"/>
          <w:kern w:val="0"/>
          <w:sz w:val="30"/>
          <w:szCs w:val="30"/>
          <w:highlight w:val="none"/>
        </w:rPr>
      </w:pPr>
      <w:r>
        <w:rPr>
          <w:rFonts w:hint="eastAsia" w:ascii="Times New Roman" w:hAnsi="Times New Roman" w:eastAsia="仿宋_GB2312" w:cs="Times New Roman"/>
          <w:kern w:val="0"/>
          <w:sz w:val="32"/>
          <w:szCs w:val="32"/>
          <w:highlight w:val="none"/>
          <w:lang w:val="en-US" w:eastAsia="zh-CN"/>
        </w:rPr>
        <w:t>6.深化业务改革，继续推动审批服务提质增效。一是充分吸取优秀经验和做法，继续推进既有建筑审批改革方向。根据辖区情况，以“作风革命、效能革命”为契机，不断深化工作作风、业务能力、服务水平的提升，继续以既有建筑消防为突破口，完善既有建筑规划、建筑设计、工程监督、工程验收等环节标准统一化，推进既有建筑全链条的综合审批制度改革，实现既有建筑再利用的高效审批。二是与时俱进，努力推进社会投资低风险项目住建领域的首违不罚。坚持树牢依法行政、助企惠民的理念,进一步推进</w:t>
      </w:r>
      <w:r>
        <w:rPr>
          <w:rFonts w:hint="default" w:ascii="Times New Roman" w:hAnsi="Times New Roman" w:eastAsia="仿宋_GB2312" w:cs="Times New Roman"/>
          <w:kern w:val="0"/>
          <w:sz w:val="32"/>
          <w:szCs w:val="32"/>
          <w:highlight w:val="none"/>
          <w:lang w:val="en-US" w:eastAsia="zh-CN"/>
        </w:rPr>
        <w:t>“放管服”改革</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促进经济高质量发展，</w:t>
      </w:r>
      <w:r>
        <w:rPr>
          <w:rFonts w:hint="eastAsia" w:ascii="Times New Roman" w:hAnsi="Times New Roman" w:eastAsia="仿宋_GB2312" w:cs="Times New Roman"/>
          <w:kern w:val="0"/>
          <w:sz w:val="32"/>
          <w:szCs w:val="32"/>
          <w:highlight w:val="none"/>
          <w:lang w:val="en-US" w:eastAsia="zh-CN"/>
        </w:rPr>
        <w:t>结合</w:t>
      </w:r>
      <w:r>
        <w:rPr>
          <w:rFonts w:hint="default" w:ascii="Times New Roman" w:hAnsi="Times New Roman" w:eastAsia="仿宋_GB2312" w:cs="Times New Roman"/>
          <w:kern w:val="0"/>
          <w:sz w:val="32"/>
          <w:szCs w:val="32"/>
          <w:highlight w:val="none"/>
          <w:lang w:val="en-US" w:eastAsia="zh-CN"/>
        </w:rPr>
        <w:t>《中华人民共和国行政处罚法》等法律法规规定，以事实为依据，综合考虑违法行为的性质、情节以及社会危害程度，做到过罚相当</w:t>
      </w:r>
      <w:r>
        <w:rPr>
          <w:rFonts w:hint="eastAsia" w:ascii="Times New Roman" w:hAnsi="Times New Roman" w:eastAsia="仿宋_GB2312" w:cs="Times New Roman"/>
          <w:kern w:val="0"/>
          <w:sz w:val="32"/>
          <w:szCs w:val="32"/>
          <w:highlight w:val="none"/>
          <w:lang w:val="en-US" w:eastAsia="zh-CN"/>
        </w:rPr>
        <w:t>，努力实现社会投资低风险项目住建领域</w:t>
      </w:r>
      <w:r>
        <w:rPr>
          <w:rFonts w:hint="default" w:ascii="Times New Roman" w:hAnsi="Times New Roman" w:eastAsia="仿宋_GB2312" w:cs="Times New Roman"/>
          <w:kern w:val="0"/>
          <w:sz w:val="32"/>
          <w:szCs w:val="32"/>
          <w:highlight w:val="none"/>
          <w:lang w:val="en-US" w:eastAsia="zh-CN"/>
        </w:rPr>
        <w:t>实施轻微不罚、首违不罚制度</w:t>
      </w:r>
      <w:r>
        <w:rPr>
          <w:rFonts w:hint="eastAsia" w:ascii="Times New Roman" w:hAnsi="Times New Roman" w:eastAsia="仿宋_GB2312" w:cs="Times New Roman"/>
          <w:kern w:val="0"/>
          <w:sz w:val="32"/>
          <w:szCs w:val="32"/>
          <w:highlight w:val="none"/>
          <w:lang w:val="en-US" w:eastAsia="zh-CN"/>
        </w:rPr>
        <w:t>，实现全市、全省的创新新方法</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三是持续</w:t>
      </w:r>
      <w:r>
        <w:rPr>
          <w:rFonts w:hint="default" w:ascii="Times New Roman" w:hAnsi="Times New Roman" w:eastAsia="仿宋_GB2312" w:cs="Times New Roman"/>
          <w:kern w:val="0"/>
          <w:sz w:val="32"/>
          <w:szCs w:val="32"/>
          <w:highlight w:val="none"/>
          <w:lang w:val="en-US" w:eastAsia="zh-CN"/>
        </w:rPr>
        <w:t>优化</w:t>
      </w:r>
      <w:r>
        <w:rPr>
          <w:rFonts w:hint="eastAsia" w:ascii="Times New Roman" w:hAnsi="Times New Roman" w:eastAsia="仿宋_GB2312" w:cs="Times New Roman"/>
          <w:kern w:val="0"/>
          <w:sz w:val="32"/>
          <w:szCs w:val="32"/>
          <w:highlight w:val="none"/>
          <w:lang w:val="en-US" w:eastAsia="zh-CN"/>
        </w:rPr>
        <w:t>工程建设</w:t>
      </w:r>
      <w:r>
        <w:rPr>
          <w:rFonts w:hint="default" w:ascii="Times New Roman" w:hAnsi="Times New Roman" w:eastAsia="仿宋_GB2312" w:cs="Times New Roman"/>
          <w:kern w:val="0"/>
          <w:sz w:val="32"/>
          <w:szCs w:val="32"/>
          <w:highlight w:val="none"/>
          <w:lang w:val="en-US" w:eastAsia="zh-CN"/>
        </w:rPr>
        <w:t>审批制度</w:t>
      </w:r>
      <w:r>
        <w:rPr>
          <w:rFonts w:hint="eastAsia" w:ascii="Times New Roman" w:hAnsi="Times New Roman" w:eastAsia="仿宋_GB2312" w:cs="Times New Roman"/>
          <w:kern w:val="0"/>
          <w:sz w:val="32"/>
          <w:szCs w:val="32"/>
          <w:highlight w:val="none"/>
          <w:lang w:val="en-US" w:eastAsia="zh-CN"/>
        </w:rPr>
        <w:t>，提高审批服务质量</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在执行昆明市工程建设项目审批流程的基础上，需进一步研究区级可协调可优化的事项，形成盘龙区的工程建设项目申报事项“一张表”，加强工程建设项目分级分类管理，简化审批流程，理清事中事后监管和批后管理工作机制，增强政策连续性和可执行性。</w:t>
      </w:r>
    </w:p>
    <w:p w14:paraId="45CDB167">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5B1D1028">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3CB2B7D9">
      <w:pPr>
        <w:spacing w:line="600" w:lineRule="exact"/>
        <w:ind w:firstLine="600" w:firstLineChars="200"/>
        <w:jc w:val="both"/>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本部门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lang w:eastAsia="zh-CN"/>
        </w:rPr>
        <w:t>年度无国有资本经营预算财政拨款收入，《国有资本经营预算财政拨款收入支出决算表》为空表。</w:t>
      </w:r>
    </w:p>
    <w:p w14:paraId="02ADED05">
      <w:pPr>
        <w:spacing w:line="600" w:lineRule="exact"/>
        <w:ind w:firstLine="600" w:firstLineChars="200"/>
        <w:jc w:val="left"/>
        <w:rPr>
          <w:rFonts w:hint="eastAsia" w:ascii="仿宋_GB2312" w:eastAsia="仿宋_GB2312"/>
          <w:sz w:val="30"/>
          <w:szCs w:val="30"/>
          <w:highlight w:val="none"/>
          <w:lang w:eastAsia="zh-CN"/>
        </w:rPr>
      </w:pPr>
    </w:p>
    <w:p w14:paraId="6430DCCE">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259D5501">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50621CBC">
      <w:pPr>
        <w:keepNext w:val="0"/>
        <w:keepLines w:val="0"/>
        <w:pageBreakBefore w:val="0"/>
        <w:widowControl/>
        <w:kinsoku/>
        <w:overflowPunct/>
        <w:topLinePunct w:val="0"/>
        <w:autoSpaceDE/>
        <w:autoSpaceDN/>
        <w:bidi w:val="0"/>
        <w:adjustRightInd/>
        <w:snapToGrid w:val="0"/>
        <w:spacing w:before="100" w:after="100" w:line="360" w:lineRule="auto"/>
        <w:ind w:left="0" w:leftChars="0" w:right="0" w:rightChars="0" w:firstLine="538"/>
        <w:jc w:val="both"/>
        <w:textAlignment w:val="auto"/>
        <w:rPr>
          <w:rFonts w:hint="eastAsia" w:ascii="仿宋_GB2312" w:eastAsia="仿宋_GB2312"/>
          <w:sz w:val="30"/>
          <w:szCs w:val="30"/>
          <w:highlight w:val="none"/>
        </w:rPr>
      </w:pPr>
      <w:r>
        <w:rPr>
          <w:rFonts w:hint="eastAsia" w:ascii="仿宋_GB2312" w:hAnsi="仿宋_GB2312" w:eastAsia="仿宋_GB2312" w:cs="仿宋_GB2312"/>
          <w:color w:val="auto"/>
          <w:sz w:val="30"/>
          <w:lang w:val="zh-CN"/>
        </w:rPr>
        <w:t>昆明市盘龙区住房和城乡建设局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190433165.57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190433165.57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仿宋_GB2312" w:eastAsia="仿宋_GB2312" w:cs="仿宋_GB2312"/>
          <w:color w:val="auto"/>
          <w:sz w:val="30"/>
          <w:lang w:val="en-US" w:eastAsia="zh-CN"/>
        </w:rPr>
        <w:t>上级补助收入0.00元，占总收入的0.00%；事业收入0.00元（含教育收费0.00元），占总收入的0.00%；经营收入0.00元，占总收入的0.00%；附属单位上缴收入0.00元，占总收入的0.00%；其他收入0.00元，占总收入的0.00%。</w:t>
      </w:r>
    </w:p>
    <w:p w14:paraId="503AE3FE">
      <w:pPr>
        <w:keepNext w:val="0"/>
        <w:keepLines w:val="0"/>
        <w:pageBreakBefore w:val="0"/>
        <w:widowControl/>
        <w:kinsoku/>
        <w:overflowPunct/>
        <w:topLinePunct w:val="0"/>
        <w:autoSpaceDE/>
        <w:autoSpaceDN/>
        <w:bidi w:val="0"/>
        <w:adjustRightInd/>
        <w:snapToGrid w:val="0"/>
        <w:spacing w:before="100" w:after="100" w:line="360" w:lineRule="auto"/>
        <w:ind w:left="0" w:leftChars="0" w:right="0" w:rightChars="0" w:firstLine="538"/>
        <w:jc w:val="left"/>
        <w:textAlignment w:val="auto"/>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15486292.25</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7.52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15486292.25</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7.52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；事业收入增加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；经营收入增加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；附属单位上缴收入增加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；其他收入增加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。主要原因是202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年度存在政府安排政府性基金预算财政拨款收入且响应国家过“紧日子”政策，缩减部分项目经费，故与202</w:t>
      </w: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lang w:eastAsia="zh-CN"/>
        </w:rPr>
        <w:t>年相比202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年收入决算减少</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 xml:space="preserve"> </w:t>
      </w:r>
    </w:p>
    <w:p w14:paraId="72CB4A62">
      <w:pPr>
        <w:keepNext w:val="0"/>
        <w:keepLines w:val="0"/>
        <w:pageBreakBefore w:val="0"/>
        <w:kinsoku/>
        <w:overflowPunct/>
        <w:topLinePunct w:val="0"/>
        <w:autoSpaceDE/>
        <w:autoSpaceDN/>
        <w:bidi w:val="0"/>
        <w:adjustRightInd/>
        <w:spacing w:line="360" w:lineRule="auto"/>
        <w:ind w:left="0" w:leftChars="0" w:right="0" w:rightChars="0" w:firstLine="600" w:firstLineChars="200"/>
        <w:jc w:val="left"/>
        <w:textAlignment w:val="auto"/>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42B52BE1">
      <w:pPr>
        <w:keepNext w:val="0"/>
        <w:keepLines w:val="0"/>
        <w:pageBreakBefore w:val="0"/>
        <w:kinsoku/>
        <w:overflowPunct/>
        <w:topLinePunct w:val="0"/>
        <w:autoSpaceDE/>
        <w:autoSpaceDN/>
        <w:bidi w:val="0"/>
        <w:adjustRightInd/>
        <w:spacing w:line="360" w:lineRule="auto"/>
        <w:ind w:left="0" w:leftChars="0" w:right="0" w:rightChars="0" w:firstLine="600" w:firstLineChars="200"/>
        <w:textAlignment w:val="auto"/>
        <w:rPr>
          <w:rFonts w:hint="eastAsia" w:ascii="仿宋_GB2312" w:hAnsi="宋体" w:eastAsia="仿宋_GB2312" w:cs="Arial"/>
          <w:color w:val="FF0000"/>
          <w:kern w:val="0"/>
          <w:sz w:val="30"/>
          <w:szCs w:val="30"/>
          <w:highlight w:val="none"/>
          <w:lang w:eastAsia="zh-CN"/>
        </w:rPr>
      </w:pPr>
      <w:r>
        <w:rPr>
          <w:rFonts w:hint="eastAsia" w:ascii="仿宋_GB2312" w:hAnsi="仿宋_GB2312" w:eastAsia="仿宋_GB2312" w:cs="仿宋_GB2312"/>
          <w:color w:val="auto"/>
          <w:sz w:val="30"/>
          <w:lang w:val="zh-CN"/>
        </w:rPr>
        <w:t>昆明市盘龙区住房和城乡建设局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190433165.57</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45785201.79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24.04</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144647963.78</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75.96</w:t>
      </w:r>
      <w:r>
        <w:rPr>
          <w:rFonts w:hint="eastAsia" w:ascii="仿宋_GB2312" w:hAnsi="宋体" w:eastAsia="仿宋_GB2312" w:cs="Arial"/>
          <w:kern w:val="0"/>
          <w:sz w:val="30"/>
          <w:szCs w:val="30"/>
          <w:highlight w:val="none"/>
        </w:rPr>
        <w:t>％</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上缴上级支出</w:t>
      </w:r>
      <w:r>
        <w:rPr>
          <w:rFonts w:hint="eastAsia" w:ascii="仿宋_GB2312" w:hAnsi="宋体" w:eastAsia="仿宋_GB2312" w:cs="Arial"/>
          <w:color w:val="auto"/>
          <w:kern w:val="0"/>
          <w:sz w:val="30"/>
          <w:szCs w:val="30"/>
          <w:highlight w:val="none"/>
          <w:lang w:val="en-US" w:eastAsia="zh-CN"/>
        </w:rPr>
        <w:t>0.00</w:t>
      </w:r>
      <w:r>
        <w:rPr>
          <w:rFonts w:hint="eastAsia" w:ascii="仿宋_GB2312" w:hAnsi="宋体" w:eastAsia="仿宋_GB2312" w:cs="Arial"/>
          <w:color w:val="auto"/>
          <w:kern w:val="0"/>
          <w:sz w:val="30"/>
          <w:szCs w:val="30"/>
          <w:highlight w:val="none"/>
          <w:lang w:eastAsia="zh-CN"/>
        </w:rPr>
        <w:t>元，占总支出的</w:t>
      </w:r>
      <w:r>
        <w:rPr>
          <w:rFonts w:hint="eastAsia" w:ascii="仿宋_GB2312" w:hAnsi="宋体" w:eastAsia="仿宋_GB2312" w:cs="Arial"/>
          <w:color w:val="auto"/>
          <w:kern w:val="0"/>
          <w:sz w:val="30"/>
          <w:szCs w:val="30"/>
          <w:highlight w:val="none"/>
          <w:lang w:val="en-US" w:eastAsia="zh-CN"/>
        </w:rPr>
        <w:t>0.00</w:t>
      </w:r>
      <w:r>
        <w:rPr>
          <w:rFonts w:hint="eastAsia" w:ascii="仿宋_GB2312" w:hAnsi="宋体" w:eastAsia="仿宋_GB2312" w:cs="Arial"/>
          <w:color w:val="auto"/>
          <w:kern w:val="0"/>
          <w:sz w:val="30"/>
          <w:szCs w:val="30"/>
          <w:highlight w:val="none"/>
          <w:lang w:eastAsia="zh-CN"/>
        </w:rPr>
        <w:t>％；经营支出</w:t>
      </w:r>
      <w:r>
        <w:rPr>
          <w:rFonts w:hint="eastAsia" w:ascii="仿宋_GB2312" w:hAnsi="宋体" w:eastAsia="仿宋_GB2312" w:cs="Arial"/>
          <w:color w:val="auto"/>
          <w:kern w:val="0"/>
          <w:sz w:val="30"/>
          <w:szCs w:val="30"/>
          <w:highlight w:val="none"/>
          <w:lang w:val="en-US" w:eastAsia="zh-CN"/>
        </w:rPr>
        <w:t>0.00</w:t>
      </w:r>
      <w:r>
        <w:rPr>
          <w:rFonts w:hint="eastAsia" w:ascii="仿宋_GB2312" w:hAnsi="宋体" w:eastAsia="仿宋_GB2312" w:cs="Arial"/>
          <w:color w:val="auto"/>
          <w:kern w:val="0"/>
          <w:sz w:val="30"/>
          <w:szCs w:val="30"/>
          <w:highlight w:val="none"/>
          <w:lang w:eastAsia="zh-CN"/>
        </w:rPr>
        <w:t>元，占总支出的</w:t>
      </w:r>
      <w:r>
        <w:rPr>
          <w:rFonts w:hint="eastAsia" w:ascii="仿宋_GB2312" w:hAnsi="宋体" w:eastAsia="仿宋_GB2312" w:cs="Arial"/>
          <w:color w:val="auto"/>
          <w:kern w:val="0"/>
          <w:sz w:val="30"/>
          <w:szCs w:val="30"/>
          <w:highlight w:val="none"/>
          <w:lang w:val="en-US" w:eastAsia="zh-CN"/>
        </w:rPr>
        <w:t>0.00</w:t>
      </w:r>
      <w:r>
        <w:rPr>
          <w:rFonts w:hint="eastAsia" w:ascii="仿宋_GB2312" w:hAnsi="宋体" w:eastAsia="仿宋_GB2312" w:cs="Arial"/>
          <w:color w:val="auto"/>
          <w:kern w:val="0"/>
          <w:sz w:val="30"/>
          <w:szCs w:val="30"/>
          <w:highlight w:val="none"/>
          <w:lang w:eastAsia="zh-CN"/>
        </w:rPr>
        <w:t>％；对附属单位补助支出</w:t>
      </w:r>
      <w:r>
        <w:rPr>
          <w:rFonts w:hint="eastAsia" w:ascii="仿宋_GB2312" w:hAnsi="宋体" w:eastAsia="仿宋_GB2312" w:cs="Arial"/>
          <w:color w:val="auto"/>
          <w:kern w:val="0"/>
          <w:sz w:val="30"/>
          <w:szCs w:val="30"/>
          <w:highlight w:val="none"/>
          <w:lang w:val="en-US" w:eastAsia="zh-CN"/>
        </w:rPr>
        <w:t>0.00</w:t>
      </w:r>
      <w:r>
        <w:rPr>
          <w:rFonts w:hint="eastAsia" w:ascii="仿宋_GB2312" w:hAnsi="宋体" w:eastAsia="仿宋_GB2312" w:cs="Arial"/>
          <w:color w:val="auto"/>
          <w:kern w:val="0"/>
          <w:sz w:val="30"/>
          <w:szCs w:val="30"/>
          <w:highlight w:val="none"/>
          <w:lang w:eastAsia="zh-CN"/>
        </w:rPr>
        <w:t>元，占总支出的</w:t>
      </w:r>
      <w:r>
        <w:rPr>
          <w:rFonts w:hint="eastAsia" w:ascii="仿宋_GB2312" w:hAnsi="宋体" w:eastAsia="仿宋_GB2312" w:cs="Arial"/>
          <w:color w:val="auto"/>
          <w:kern w:val="0"/>
          <w:sz w:val="30"/>
          <w:szCs w:val="30"/>
          <w:highlight w:val="none"/>
          <w:lang w:val="en-US" w:eastAsia="zh-CN"/>
        </w:rPr>
        <w:t>0.00</w:t>
      </w:r>
      <w:r>
        <w:rPr>
          <w:rFonts w:hint="eastAsia" w:ascii="仿宋_GB2312" w:hAnsi="宋体" w:eastAsia="仿宋_GB2312" w:cs="Arial"/>
          <w:color w:val="auto"/>
          <w:kern w:val="0"/>
          <w:sz w:val="30"/>
          <w:szCs w:val="30"/>
          <w:highlight w:val="none"/>
          <w:lang w:eastAsia="zh-CN"/>
        </w:rPr>
        <w:t>％。</w:t>
      </w:r>
    </w:p>
    <w:p w14:paraId="3B43539E">
      <w:pPr>
        <w:keepNext w:val="0"/>
        <w:keepLines w:val="0"/>
        <w:pageBreakBefore w:val="0"/>
        <w:numPr>
          <w:ilvl w:val="0"/>
          <w:numId w:val="0"/>
        </w:numPr>
        <w:kinsoku/>
        <w:overflowPunct/>
        <w:topLinePunct w:val="0"/>
        <w:autoSpaceDE/>
        <w:autoSpaceDN/>
        <w:bidi w:val="0"/>
        <w:adjustRightInd/>
        <w:spacing w:beforeLines="0" w:afterLines="0" w:line="360" w:lineRule="auto"/>
        <w:ind w:left="0" w:leftChars="0" w:right="0" w:rightChars="0" w:firstLine="600" w:firstLineChars="200"/>
        <w:jc w:val="left"/>
        <w:textAlignment w:val="auto"/>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15486292.25</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7.52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6768.98</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15493061.23</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9.67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；上缴上级支出增加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；经营支出增加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；对附属单位补助支出增加</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lang w:eastAsia="zh-CN"/>
        </w:rPr>
        <w:t>元，增长</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 w:hAnsi="仿宋" w:eastAsia="仿宋"/>
          <w:color w:val="auto"/>
          <w:sz w:val="30"/>
          <w:lang w:val="en-US"/>
        </w:rPr>
        <w:t>2</w:t>
      </w:r>
      <w:r>
        <w:rPr>
          <w:rFonts w:hint="eastAsia" w:ascii="仿宋" w:hAnsi="仿宋" w:eastAsia="仿宋"/>
          <w:color w:val="auto"/>
          <w:sz w:val="30"/>
          <w:lang w:val="en-US" w:eastAsia="zh-CN"/>
        </w:rPr>
        <w:t>024</w:t>
      </w:r>
      <w:r>
        <w:rPr>
          <w:rFonts w:hint="eastAsia" w:ascii="仿宋" w:hAnsi="仿宋" w:eastAsia="仿宋"/>
          <w:color w:val="auto"/>
          <w:sz w:val="30"/>
          <w:lang w:val="en-US"/>
        </w:rPr>
        <w:t>年</w:t>
      </w:r>
      <w:r>
        <w:rPr>
          <w:rFonts w:hint="eastAsia" w:ascii="仿宋" w:hAnsi="仿宋" w:eastAsia="仿宋"/>
          <w:color w:val="auto"/>
          <w:sz w:val="30"/>
          <w:lang w:val="en-US" w:eastAsia="zh-CN"/>
        </w:rPr>
        <w:t>部分人员转正及正常工资职级晋升导致</w:t>
      </w:r>
      <w:r>
        <w:rPr>
          <w:rFonts w:hint="eastAsia" w:ascii="仿宋" w:hAnsi="仿宋" w:eastAsia="仿宋"/>
          <w:color w:val="auto"/>
          <w:sz w:val="30"/>
          <w:lang w:val="en-US"/>
        </w:rPr>
        <w:t>基本支出金额增加；</w:t>
      </w:r>
      <w:r>
        <w:rPr>
          <w:rFonts w:hint="eastAsia" w:ascii="仿宋_GB2312" w:eastAsia="仿宋_GB2312"/>
          <w:sz w:val="30"/>
          <w:szCs w:val="30"/>
          <w:highlight w:val="none"/>
          <w:lang w:eastAsia="zh-CN"/>
        </w:rPr>
        <w:t>响应国家过“紧日子”政策，缩减部分项目经费导致项目支出与去年相比有所下降。</w:t>
      </w:r>
    </w:p>
    <w:p w14:paraId="209FF95E">
      <w:pPr>
        <w:keepNext w:val="0"/>
        <w:keepLines w:val="0"/>
        <w:pageBreakBefore w:val="0"/>
        <w:widowControl/>
        <w:kinsoku/>
        <w:overflowPunct/>
        <w:topLinePunct w:val="0"/>
        <w:autoSpaceDE/>
        <w:autoSpaceDN/>
        <w:bidi w:val="0"/>
        <w:adjustRightInd/>
        <w:snapToGrid w:val="0"/>
        <w:spacing w:before="100" w:after="100" w:line="360" w:lineRule="auto"/>
        <w:ind w:left="0" w:leftChars="0" w:right="0" w:rightChars="0" w:firstLine="600" w:firstLineChars="200"/>
        <w:jc w:val="left"/>
        <w:textAlignment w:val="auto"/>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50213E92">
      <w:pPr>
        <w:keepNext w:val="0"/>
        <w:keepLines w:val="0"/>
        <w:pageBreakBefore w:val="0"/>
        <w:widowControl/>
        <w:kinsoku/>
        <w:overflowPunct/>
        <w:topLinePunct w:val="0"/>
        <w:autoSpaceDE/>
        <w:autoSpaceDN/>
        <w:bidi w:val="0"/>
        <w:adjustRightInd/>
        <w:snapToGrid w:val="0"/>
        <w:spacing w:before="100" w:after="100" w:line="360" w:lineRule="auto"/>
        <w:ind w:left="0" w:leftChars="0" w:right="0" w:rightChars="0" w:firstLine="538"/>
        <w:jc w:val="left"/>
        <w:textAlignment w:val="auto"/>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昆明市盘龙区住房和城乡建设局</w:t>
      </w:r>
      <w:r>
        <w:rPr>
          <w:rFonts w:hint="eastAsia" w:ascii="仿宋_GB2312" w:hAnsi="仿宋_GB2312" w:eastAsia="仿宋_GB2312" w:cs="仿宋_GB2312"/>
          <w:sz w:val="30"/>
          <w:szCs w:val="30"/>
          <w:highlight w:val="none"/>
        </w:rPr>
        <w:t>机关、下属事业单位等机构正常运转的日常支出</w:t>
      </w:r>
      <w:r>
        <w:rPr>
          <w:rFonts w:hint="eastAsia" w:ascii="仿宋_GB2312" w:hAnsi="仿宋_GB2312" w:eastAsia="仿宋_GB2312" w:cs="仿宋_GB2312"/>
          <w:color w:val="auto"/>
          <w:sz w:val="30"/>
          <w:lang w:val="zh-CN"/>
        </w:rPr>
        <w:t>45785201.79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43369401.11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94.72</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2415800.68</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5.28</w:t>
      </w:r>
      <w:r>
        <w:rPr>
          <w:rFonts w:hint="eastAsia" w:ascii="仿宋_GB2312" w:hAnsi="仿宋_GB2312" w:eastAsia="仿宋_GB2312" w:cs="仿宋_GB2312"/>
          <w:sz w:val="30"/>
          <w:szCs w:val="30"/>
          <w:highlight w:val="none"/>
        </w:rPr>
        <w:t>％。</w:t>
      </w:r>
    </w:p>
    <w:p w14:paraId="38151A14">
      <w:pPr>
        <w:keepNext w:val="0"/>
        <w:keepLines w:val="0"/>
        <w:pageBreakBefore w:val="0"/>
        <w:widowControl/>
        <w:kinsoku/>
        <w:overflowPunct/>
        <w:topLinePunct w:val="0"/>
        <w:autoSpaceDE/>
        <w:autoSpaceDN/>
        <w:bidi w:val="0"/>
        <w:adjustRightInd/>
        <w:snapToGrid w:val="0"/>
        <w:spacing w:before="100" w:after="100" w:line="360" w:lineRule="auto"/>
        <w:ind w:left="0" w:leftChars="0" w:right="0" w:rightChars="0" w:firstLine="600" w:firstLineChars="200"/>
        <w:jc w:val="left"/>
        <w:textAlignment w:val="auto"/>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4652E708">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昆明市盘龙区住房和城乡建设局</w:t>
      </w:r>
      <w:r>
        <w:rPr>
          <w:rFonts w:hint="eastAsia" w:ascii="仿宋_GB2312" w:eastAsia="仿宋_GB2312"/>
          <w:sz w:val="30"/>
          <w:szCs w:val="30"/>
          <w:highlight w:val="none"/>
          <w:lang w:eastAsia="zh-CN"/>
        </w:rPr>
        <w:t>机关</w:t>
      </w:r>
      <w:r>
        <w:rPr>
          <w:rFonts w:hint="eastAsia" w:ascii="仿宋_GB2312" w:eastAsia="仿宋_GB2312"/>
          <w:sz w:val="30"/>
          <w:szCs w:val="30"/>
          <w:highlight w:val="none"/>
        </w:rPr>
        <w:t>、下属事业单位等机构为完成特定的行政工作任务或事业发展目标，用于专项业务工作的经费支出</w:t>
      </w:r>
      <w:r>
        <w:rPr>
          <w:rFonts w:hint="eastAsia" w:ascii="仿宋_GB2312" w:hAnsi="仿宋_GB2312" w:eastAsia="仿宋_GB2312" w:cs="仿宋_GB2312"/>
          <w:color w:val="auto"/>
          <w:sz w:val="30"/>
          <w:lang w:val="zh-CN"/>
        </w:rPr>
        <w:t>144647963.78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109396736.30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29B7F0E9">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rPr>
        <w:t>2010302一般行政管理事务项目经费150,000.00元，主要用于房地产市场的监测数据服务</w:t>
      </w:r>
      <w:r>
        <w:rPr>
          <w:rFonts w:hint="eastAsia" w:ascii="仿宋_GB2312" w:eastAsia="仿宋_GB2312"/>
          <w:sz w:val="30"/>
          <w:szCs w:val="30"/>
          <w:highlight w:val="none"/>
          <w:lang w:eastAsia="zh-CN"/>
        </w:rPr>
        <w:t>；</w:t>
      </w:r>
    </w:p>
    <w:p w14:paraId="09C7B2BD">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2012304民族工作专项项目经费12,062.00元，主要用于盘龙区帮带共建磨憨镇尚冈现代化边境幸福村（精品示范村）建设项目工作</w:t>
      </w:r>
      <w:r>
        <w:rPr>
          <w:rFonts w:hint="eastAsia" w:ascii="仿宋_GB2312" w:eastAsia="仿宋_GB2312"/>
          <w:sz w:val="30"/>
          <w:szCs w:val="30"/>
          <w:highlight w:val="none"/>
          <w:lang w:eastAsia="zh-CN"/>
        </w:rPr>
        <w:t>；</w:t>
      </w:r>
    </w:p>
    <w:p w14:paraId="0E481522">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rPr>
        <w:t>2060404科技成果转化与扩散项目经费117,168.00元，主要用于盘龙区2023年信创工作</w:t>
      </w:r>
      <w:r>
        <w:rPr>
          <w:rFonts w:hint="eastAsia" w:ascii="仿宋_GB2312" w:eastAsia="仿宋_GB2312"/>
          <w:sz w:val="30"/>
          <w:szCs w:val="30"/>
          <w:highlight w:val="none"/>
          <w:lang w:eastAsia="zh-CN"/>
        </w:rPr>
        <w:t>及建筑工程远程视频监控管理信息平台；</w:t>
      </w:r>
    </w:p>
    <w:p w14:paraId="19905F9C">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2080905军队转业干部安置项目经费60,452.2</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元，主要用于省级企业军转干部解困补助</w:t>
      </w:r>
      <w:r>
        <w:rPr>
          <w:rFonts w:hint="eastAsia" w:ascii="仿宋_GB2312" w:eastAsia="仿宋_GB2312"/>
          <w:sz w:val="30"/>
          <w:szCs w:val="30"/>
          <w:highlight w:val="none"/>
          <w:lang w:eastAsia="zh-CN"/>
        </w:rPr>
        <w:t>；</w:t>
      </w:r>
    </w:p>
    <w:p w14:paraId="09E7CA0F">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5、</w:t>
      </w:r>
      <w:r>
        <w:rPr>
          <w:rFonts w:hint="eastAsia" w:ascii="仿宋_GB2312" w:eastAsia="仿宋_GB2312"/>
          <w:sz w:val="30"/>
          <w:szCs w:val="30"/>
          <w:highlight w:val="none"/>
        </w:rPr>
        <w:t>2082804拥军优属项目经费</w:t>
      </w:r>
      <w:r>
        <w:rPr>
          <w:rFonts w:hint="eastAsia" w:ascii="仿宋_GB2312" w:eastAsia="仿宋_GB2312"/>
          <w:sz w:val="30"/>
          <w:szCs w:val="30"/>
          <w:highlight w:val="none"/>
          <w:lang w:val="en-US" w:eastAsia="zh-CN"/>
        </w:rPr>
        <w:t>400.00</w:t>
      </w:r>
      <w:r>
        <w:rPr>
          <w:rFonts w:hint="eastAsia" w:ascii="仿宋_GB2312" w:eastAsia="仿宋_GB2312"/>
          <w:sz w:val="30"/>
          <w:szCs w:val="30"/>
          <w:highlight w:val="none"/>
        </w:rPr>
        <w:t>元，主要用于节日慰问市级补助</w:t>
      </w:r>
      <w:r>
        <w:rPr>
          <w:rFonts w:hint="eastAsia" w:ascii="仿宋_GB2312" w:eastAsia="仿宋_GB2312"/>
          <w:sz w:val="30"/>
          <w:szCs w:val="30"/>
          <w:highlight w:val="none"/>
          <w:lang w:eastAsia="zh-CN"/>
        </w:rPr>
        <w:t>；</w:t>
      </w:r>
    </w:p>
    <w:p w14:paraId="4D054276">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2120101行政运行项目经费</w:t>
      </w:r>
      <w:r>
        <w:rPr>
          <w:rFonts w:hint="eastAsia" w:ascii="仿宋_GB2312" w:eastAsia="仿宋_GB2312"/>
          <w:sz w:val="30"/>
          <w:szCs w:val="30"/>
          <w:highlight w:val="none"/>
          <w:lang w:val="en-US" w:eastAsia="zh-CN"/>
        </w:rPr>
        <w:t>19080.00</w:t>
      </w:r>
      <w:r>
        <w:rPr>
          <w:rFonts w:hint="eastAsia" w:ascii="仿宋_GB2312" w:eastAsia="仿宋_GB2312"/>
          <w:sz w:val="30"/>
          <w:szCs w:val="30"/>
          <w:highlight w:val="none"/>
        </w:rPr>
        <w:t>元，主要用于退休干部党组织建设</w:t>
      </w:r>
      <w:r>
        <w:rPr>
          <w:rFonts w:hint="eastAsia" w:ascii="仿宋_GB2312" w:eastAsia="仿宋_GB2312"/>
          <w:sz w:val="30"/>
          <w:szCs w:val="30"/>
          <w:highlight w:val="none"/>
          <w:lang w:eastAsia="zh-CN"/>
        </w:rPr>
        <w:t>；</w:t>
      </w:r>
    </w:p>
    <w:p w14:paraId="10985ABD">
      <w:pPr>
        <w:keepNext w:val="0"/>
        <w:keepLines w:val="0"/>
        <w:pageBreakBefore w:val="0"/>
        <w:widowControl/>
        <w:numPr>
          <w:ilvl w:val="0"/>
          <w:numId w:val="2"/>
        </w:numPr>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rPr>
        <w:t>2120102一般行政管理事务项目经费1,672,434.02元，主要用于液化（燃）气管理办公</w:t>
      </w:r>
      <w:r>
        <w:rPr>
          <w:rFonts w:hint="eastAsia" w:ascii="仿宋_GB2312" w:eastAsia="仿宋_GB2312"/>
          <w:sz w:val="30"/>
          <w:szCs w:val="30"/>
          <w:highlight w:val="none"/>
          <w:lang w:eastAsia="zh-CN"/>
        </w:rPr>
        <w:t>、廉租处人员专项经费、业务补助专项经费等费用；</w:t>
      </w:r>
    </w:p>
    <w:p w14:paraId="4BB9AF18">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outlineLvl w:val="9"/>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8、</w:t>
      </w:r>
      <w:r>
        <w:rPr>
          <w:rFonts w:hint="eastAsia" w:ascii="仿宋_GB2312" w:eastAsia="仿宋_GB2312"/>
          <w:sz w:val="30"/>
          <w:szCs w:val="30"/>
          <w:highlight w:val="none"/>
        </w:rPr>
        <w:t>2120399其他城乡社区公共设施支出项目经费47,127,772.08元，主要用于昆明市盘龙区城市燃气管道老化更新改造项目</w:t>
      </w:r>
      <w:r>
        <w:rPr>
          <w:rFonts w:hint="eastAsia" w:ascii="仿宋_GB2312" w:eastAsia="仿宋_GB2312"/>
          <w:sz w:val="30"/>
          <w:szCs w:val="30"/>
          <w:highlight w:val="none"/>
          <w:lang w:eastAsia="zh-CN"/>
        </w:rPr>
        <w:t>、市政设施维护；</w:t>
      </w:r>
    </w:p>
    <w:p w14:paraId="781C5FCA">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outlineLvl w:val="9"/>
        <w:rPr>
          <w:rFonts w:hint="eastAsia" w:ascii="仿宋_GB2312" w:eastAsia="仿宋_GB2312"/>
          <w:sz w:val="30"/>
          <w:szCs w:val="30"/>
          <w:highlight w:val="none"/>
        </w:rPr>
      </w:pPr>
      <w:r>
        <w:rPr>
          <w:rFonts w:hint="eastAsia" w:ascii="仿宋_GB2312" w:eastAsia="仿宋_GB2312"/>
          <w:sz w:val="30"/>
          <w:szCs w:val="30"/>
          <w:highlight w:val="none"/>
          <w:lang w:val="en-US" w:eastAsia="zh-CN"/>
        </w:rPr>
        <w:t>9、</w:t>
      </w:r>
      <w:r>
        <w:rPr>
          <w:rFonts w:hint="eastAsia" w:ascii="仿宋_GB2312" w:eastAsia="仿宋_GB2312"/>
          <w:sz w:val="30"/>
          <w:szCs w:val="30"/>
          <w:highlight w:val="none"/>
        </w:rPr>
        <w:t>2129801城乡社区公共设施项目经费9,555,774.30元，主要用于昆明市盘龙区万华路、铂金大道、世博路排水管道等老化更新改造工程项目</w:t>
      </w:r>
      <w:r>
        <w:rPr>
          <w:rFonts w:hint="eastAsia" w:ascii="仿宋_GB2312" w:eastAsia="仿宋_GB2312"/>
          <w:sz w:val="30"/>
          <w:szCs w:val="30"/>
          <w:highlight w:val="none"/>
          <w:lang w:eastAsia="zh-CN"/>
        </w:rPr>
        <w:t>；</w:t>
      </w:r>
    </w:p>
    <w:p w14:paraId="5BC328FC">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10、</w:t>
      </w:r>
      <w:r>
        <w:rPr>
          <w:rFonts w:hint="eastAsia" w:ascii="仿宋_GB2312" w:eastAsia="仿宋_GB2312"/>
          <w:sz w:val="30"/>
          <w:szCs w:val="30"/>
          <w:highlight w:val="none"/>
        </w:rPr>
        <w:t>2129999其他城乡社区支出项目经费29,237,100.00元，主要用于北京路北端连接西北绕城高速工程</w:t>
      </w:r>
      <w:r>
        <w:rPr>
          <w:rFonts w:hint="eastAsia" w:ascii="仿宋_GB2312" w:eastAsia="仿宋_GB2312"/>
          <w:sz w:val="30"/>
          <w:szCs w:val="30"/>
          <w:highlight w:val="none"/>
          <w:lang w:eastAsia="zh-CN"/>
        </w:rPr>
        <w:t>、2024年城市管网及污水处理、盘龙区房屋安全和建设工程质量安全监督站专项工作等工作；</w:t>
      </w:r>
    </w:p>
    <w:p w14:paraId="6E30877C">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11、</w:t>
      </w:r>
      <w:r>
        <w:rPr>
          <w:rFonts w:hint="eastAsia" w:ascii="仿宋_GB2312" w:eastAsia="仿宋_GB2312"/>
          <w:sz w:val="30"/>
          <w:szCs w:val="30"/>
          <w:highlight w:val="none"/>
        </w:rPr>
        <w:t>2210107保障性住房租金补贴项目经费229,821.18元，主要用于保障性租赁补贴资金</w:t>
      </w:r>
      <w:r>
        <w:rPr>
          <w:rFonts w:hint="eastAsia" w:ascii="仿宋_GB2312" w:eastAsia="仿宋_GB2312"/>
          <w:sz w:val="30"/>
          <w:szCs w:val="30"/>
          <w:highlight w:val="none"/>
          <w:lang w:eastAsia="zh-CN"/>
        </w:rPr>
        <w:t>；</w:t>
      </w:r>
    </w:p>
    <w:p w14:paraId="310FACCA">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2210110保障性租赁住房项目经费22,065,900.00元，主要用于昆明市惠悦城保障性租赁住房项目</w:t>
      </w:r>
      <w:r>
        <w:rPr>
          <w:rFonts w:hint="eastAsia" w:ascii="仿宋_GB2312" w:eastAsia="仿宋_GB2312"/>
          <w:sz w:val="30"/>
          <w:szCs w:val="30"/>
          <w:highlight w:val="none"/>
          <w:lang w:eastAsia="zh-CN"/>
        </w:rPr>
        <w:t>、惠尚城、颐惠园、泓清惠园、青惠园保障性租赁住房项目；</w:t>
      </w:r>
    </w:p>
    <w:p w14:paraId="316E96B9">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600" w:firstLineChars="200"/>
        <w:jc w:val="both"/>
        <w:textAlignment w:val="auto"/>
        <w:outlineLvl w:val="9"/>
        <w:rPr>
          <w:rFonts w:hint="eastAsia" w:ascii="仿宋_GB2312" w:eastAsia="仿宋_GB2312"/>
          <w:sz w:val="30"/>
          <w:szCs w:val="30"/>
          <w:highlight w:val="none"/>
        </w:rPr>
      </w:pPr>
      <w:r>
        <w:rPr>
          <w:rFonts w:hint="eastAsia" w:ascii="仿宋_GB2312" w:eastAsia="仿宋_GB2312"/>
          <w:sz w:val="30"/>
          <w:szCs w:val="30"/>
          <w:highlight w:val="none"/>
          <w:lang w:val="en-US" w:eastAsia="zh-CN"/>
        </w:rPr>
        <w:t>13、</w:t>
      </w:r>
      <w:r>
        <w:rPr>
          <w:rFonts w:hint="eastAsia" w:ascii="仿宋_GB2312" w:eastAsia="仿宋_GB2312"/>
          <w:sz w:val="30"/>
          <w:szCs w:val="30"/>
          <w:highlight w:val="none"/>
        </w:rPr>
        <w:t>2210199其他保障性安居工程支出项目经费7,000,000.00</w:t>
      </w:r>
    </w:p>
    <w:p w14:paraId="7827C558">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jc w:val="both"/>
        <w:textAlignment w:val="auto"/>
        <w:outlineLvl w:val="9"/>
        <w:rPr>
          <w:rFonts w:hint="eastAsia" w:ascii="仿宋_GB2312" w:eastAsia="仿宋_GB2312"/>
          <w:sz w:val="30"/>
          <w:szCs w:val="30"/>
          <w:highlight w:val="none"/>
        </w:rPr>
      </w:pPr>
      <w:r>
        <w:rPr>
          <w:rFonts w:hint="eastAsia" w:ascii="仿宋_GB2312" w:eastAsia="仿宋_GB2312"/>
          <w:sz w:val="30"/>
          <w:szCs w:val="30"/>
          <w:highlight w:val="none"/>
        </w:rPr>
        <w:t>元，主要用于盘龙区金瓦路片区保障性租赁住房配套基础设施建设工程</w:t>
      </w:r>
      <w:r>
        <w:rPr>
          <w:rFonts w:hint="eastAsia" w:ascii="仿宋_GB2312" w:eastAsia="仿宋_GB2312"/>
          <w:sz w:val="30"/>
          <w:szCs w:val="30"/>
          <w:highlight w:val="none"/>
          <w:lang w:eastAsia="zh-CN"/>
        </w:rPr>
        <w:t>、盘龙区严家山片区保障性租赁住房配套基础设施建设工程；</w:t>
      </w:r>
    </w:p>
    <w:p w14:paraId="01528D82">
      <w:pPr>
        <w:pStyle w:val="2"/>
        <w:keepNext w:val="0"/>
        <w:keepLines w:val="0"/>
        <w:pageBreakBefore w:val="0"/>
        <w:kinsoku/>
        <w:overflowPunct/>
        <w:topLinePunct w:val="0"/>
        <w:autoSpaceDE/>
        <w:autoSpaceDN/>
        <w:bidi w:val="0"/>
        <w:adjustRightInd/>
        <w:spacing w:line="360" w:lineRule="auto"/>
        <w:ind w:left="0" w:leftChars="0" w:right="0" w:rightChars="0"/>
        <w:jc w:val="both"/>
        <w:textAlignment w:val="auto"/>
        <w:outlineLvl w:val="9"/>
        <w:rPr>
          <w:rFonts w:hint="eastAsia"/>
          <w:highlight w:val="none"/>
        </w:rPr>
      </w:pPr>
      <w:r>
        <w:rPr>
          <w:rFonts w:hint="eastAsia" w:ascii="仿宋_GB2312" w:eastAsia="仿宋_GB2312"/>
          <w:sz w:val="30"/>
          <w:szCs w:val="30"/>
          <w:highlight w:val="none"/>
          <w:lang w:val="en-US" w:eastAsia="zh-CN"/>
        </w:rPr>
        <w:t>14、</w:t>
      </w:r>
      <w:r>
        <w:rPr>
          <w:rFonts w:hint="eastAsia" w:ascii="仿宋_GB2312" w:eastAsia="仿宋_GB2312"/>
          <w:sz w:val="30"/>
          <w:szCs w:val="30"/>
          <w:highlight w:val="none"/>
        </w:rPr>
        <w:t>2290402其他地方自行试点项目收益专项债券收入安排的支出项目经费23,000,000.00元，主要用于</w:t>
      </w:r>
      <w:r>
        <w:rPr>
          <w:rFonts w:hint="eastAsia" w:ascii="仿宋_GB2312" w:eastAsia="仿宋_GB2312"/>
          <w:sz w:val="30"/>
          <w:szCs w:val="30"/>
          <w:highlight w:val="none"/>
          <w:lang w:eastAsia="zh-CN"/>
        </w:rPr>
        <w:t>茨坝片区城市供水建设项目；</w:t>
      </w:r>
    </w:p>
    <w:p w14:paraId="7F64058A">
      <w:pPr>
        <w:pStyle w:val="2"/>
        <w:keepNext w:val="0"/>
        <w:keepLines w:val="0"/>
        <w:pageBreakBefore w:val="0"/>
        <w:numPr>
          <w:ilvl w:val="0"/>
          <w:numId w:val="0"/>
        </w:numPr>
        <w:kinsoku/>
        <w:overflowPunct/>
        <w:topLinePunct w:val="0"/>
        <w:autoSpaceDE/>
        <w:autoSpaceDN/>
        <w:bidi w:val="0"/>
        <w:adjustRightInd/>
        <w:spacing w:line="360" w:lineRule="auto"/>
        <w:ind w:left="0" w:leftChars="0" w:right="0" w:rightChars="0" w:firstLine="600" w:firstLineChars="200"/>
        <w:jc w:val="both"/>
        <w:textAlignment w:val="auto"/>
        <w:outlineLvl w:val="9"/>
        <w:rPr>
          <w:rFonts w:hint="eastAsia" w:ascii="仿宋_GB2312" w:eastAsia="仿宋_GB2312"/>
          <w:sz w:val="30"/>
          <w:szCs w:val="30"/>
          <w:highlight w:val="none"/>
        </w:rPr>
      </w:pPr>
      <w:r>
        <w:rPr>
          <w:rFonts w:hint="eastAsia" w:ascii="仿宋_GB2312" w:eastAsia="仿宋_GB2312"/>
          <w:sz w:val="30"/>
          <w:szCs w:val="30"/>
          <w:highlight w:val="none"/>
          <w:lang w:val="en-US" w:eastAsia="zh-CN"/>
        </w:rPr>
        <w:t>15、</w:t>
      </w:r>
      <w:r>
        <w:rPr>
          <w:rFonts w:hint="eastAsia" w:ascii="仿宋_GB2312" w:eastAsia="仿宋_GB2312"/>
          <w:sz w:val="30"/>
          <w:szCs w:val="30"/>
          <w:highlight w:val="none"/>
        </w:rPr>
        <w:t>2299999其他支出项目经费4,400,000.00元，主要用于昆明市三环闭合工程东三环C段工程—三环闭合工程项目先行实施段（东三环C2段）专项</w:t>
      </w:r>
      <w:r>
        <w:rPr>
          <w:rFonts w:hint="eastAsia" w:ascii="仿宋_GB2312" w:eastAsia="仿宋_GB2312"/>
          <w:sz w:val="30"/>
          <w:szCs w:val="30"/>
          <w:highlight w:val="none"/>
          <w:lang w:eastAsia="zh-CN"/>
        </w:rPr>
        <w:t>工程。</w:t>
      </w:r>
    </w:p>
    <w:p w14:paraId="70399FEA">
      <w:pPr>
        <w:widowControl/>
        <w:snapToGrid w:val="0"/>
        <w:spacing w:before="100" w:after="100" w:line="600" w:lineRule="exact"/>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三、一般公共预算财政拨款支出决算情况说明</w:t>
      </w:r>
    </w:p>
    <w:p w14:paraId="3527C4EB">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（一）一般公共预算财政拨款支出决算总体情况</w:t>
      </w:r>
    </w:p>
    <w:p w14:paraId="03FAE1E3">
      <w:pPr>
        <w:widowControl/>
        <w:snapToGrid w:val="0"/>
        <w:spacing w:before="100" w:after="100" w:line="600" w:lineRule="exact"/>
        <w:ind w:firstLine="600" w:firstLineChars="200"/>
        <w:jc w:val="both"/>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sz w:val="30"/>
          <w:lang w:val="zh-CN"/>
        </w:rPr>
        <w:t>昆明市盘龙区住房和城乡建设局</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年度一般公共预算财政拨款支出</w:t>
      </w:r>
      <w:r>
        <w:rPr>
          <w:rFonts w:hint="eastAsia" w:ascii="仿宋_GB2312" w:hAnsi="仿宋_GB2312" w:eastAsia="仿宋_GB2312" w:cs="仿宋_GB2312"/>
          <w:color w:val="auto"/>
          <w:kern w:val="0"/>
          <w:sz w:val="30"/>
          <w:lang w:val="zh-CN"/>
        </w:rPr>
        <w:t>157877391.27</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,占本年支出合计的</w:t>
      </w:r>
      <w:r>
        <w:rPr>
          <w:rFonts w:hint="eastAsia" w:ascii="仿宋_GB2312" w:hAnsi="仿宋_GB2312" w:eastAsia="仿宋_GB2312" w:cs="仿宋_GB2312"/>
          <w:color w:val="auto"/>
          <w:sz w:val="30"/>
          <w:lang w:val="zh-CN"/>
        </w:rPr>
        <w:t>82.90</w:t>
      </w:r>
      <w:r>
        <w:rPr>
          <w:rFonts w:hint="eastAsia" w:ascii="仿宋_GB2312" w:hAnsi="宋体" w:eastAsia="仿宋_GB2312" w:cs="Arial"/>
          <w:color w:val="auto"/>
          <w:kern w:val="0"/>
          <w:sz w:val="30"/>
          <w:szCs w:val="30"/>
          <w:highlight w:val="none"/>
        </w:rPr>
        <w:t>%。与上年</w:t>
      </w:r>
      <w:r>
        <w:rPr>
          <w:rFonts w:hint="eastAsia" w:ascii="仿宋_GB2312" w:hAnsi="宋体" w:eastAsia="仿宋_GB2312" w:cs="Arial"/>
          <w:color w:val="auto"/>
          <w:kern w:val="0"/>
          <w:sz w:val="30"/>
          <w:szCs w:val="30"/>
          <w:highlight w:val="none"/>
          <w:lang w:eastAsia="zh-CN"/>
        </w:rPr>
        <w:t>相比</w:t>
      </w:r>
      <w:r>
        <w:rPr>
          <w:rFonts w:hint="eastAsia" w:ascii="仿宋_GB2312" w:hAnsi="宋体" w:eastAsia="仿宋_GB2312" w:cs="Arial"/>
          <w:color w:val="auto"/>
          <w:kern w:val="0"/>
          <w:sz w:val="30"/>
          <w:szCs w:val="30"/>
          <w:highlight w:val="none"/>
        </w:rPr>
        <w:t>减少</w:t>
      </w:r>
      <w:r>
        <w:rPr>
          <w:rFonts w:hint="eastAsia" w:ascii="仿宋_GB2312" w:hAnsi="仿宋_GB2312" w:eastAsia="仿宋_GB2312" w:cs="仿宋_GB2312"/>
          <w:color w:val="auto"/>
          <w:kern w:val="0"/>
          <w:sz w:val="30"/>
          <w:lang w:val="zh-CN"/>
        </w:rPr>
        <w:t>48042066.55</w:t>
      </w:r>
      <w:r>
        <w:rPr>
          <w:rFonts w:hint="eastAsia" w:ascii="仿宋_GB2312" w:hAnsi="宋体" w:eastAsia="仿宋_GB2312" w:cs="Arial"/>
          <w:color w:val="auto"/>
          <w:kern w:val="0"/>
          <w:sz w:val="30"/>
          <w:szCs w:val="30"/>
          <w:highlight w:val="none"/>
        </w:rPr>
        <w:t>元，下降</w:t>
      </w:r>
      <w:r>
        <w:rPr>
          <w:rFonts w:hint="eastAsia" w:ascii="仿宋_GB2312" w:hAnsi="仿宋_GB2312" w:eastAsia="仿宋_GB2312" w:cs="仿宋_GB2312"/>
          <w:color w:val="auto"/>
          <w:kern w:val="0"/>
          <w:sz w:val="30"/>
          <w:lang w:val="zh-CN"/>
        </w:rPr>
        <w:t>23.33</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sz w:val="30"/>
          <w:lang w:val="zh-CN"/>
        </w:rPr>
        <w:t>205.57</w:t>
      </w:r>
      <w:r>
        <w:rPr>
          <w:rFonts w:hint="eastAsia" w:ascii="仿宋_GB2312" w:eastAsia="仿宋_GB2312"/>
          <w:color w:val="auto"/>
          <w:sz w:val="30"/>
          <w:szCs w:val="30"/>
          <w:highlight w:val="none"/>
          <w:lang w:val="en-US" w:eastAsia="zh-CN"/>
        </w:rPr>
        <w:t>%</w:t>
      </w:r>
      <w:r>
        <w:rPr>
          <w:rFonts w:hint="eastAsia" w:ascii="仿宋_GB2312" w:hAnsi="宋体" w:eastAsia="仿宋_GB2312" w:cs="Arial"/>
          <w:color w:val="auto"/>
          <w:kern w:val="0"/>
          <w:sz w:val="30"/>
          <w:szCs w:val="30"/>
          <w:highlight w:val="none"/>
        </w:rPr>
        <w:t>。</w:t>
      </w:r>
    </w:p>
    <w:p w14:paraId="0066BDFD">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（二）一般公共预算财政拨款支出决算</w:t>
      </w:r>
      <w:r>
        <w:rPr>
          <w:rFonts w:hint="eastAsia" w:ascii="楷体" w:hAnsi="楷体" w:eastAsia="楷体"/>
          <w:color w:val="auto"/>
          <w:sz w:val="30"/>
          <w:szCs w:val="30"/>
          <w:highlight w:val="none"/>
          <w:lang w:eastAsia="zh-CN"/>
        </w:rPr>
        <w:t>分功能分类科目情况</w:t>
      </w:r>
      <w:r>
        <w:rPr>
          <w:rFonts w:hint="eastAsia" w:ascii="楷体" w:hAnsi="楷体" w:eastAsia="楷体"/>
          <w:color w:val="auto"/>
          <w:sz w:val="30"/>
          <w:szCs w:val="30"/>
          <w:highlight w:val="none"/>
        </w:rPr>
        <w:tab/>
      </w:r>
    </w:p>
    <w:p w14:paraId="08393105">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1.一般公共服务（类）支出</w:t>
      </w:r>
      <w:r>
        <w:rPr>
          <w:rFonts w:hint="eastAsia" w:ascii="仿宋_GB2312" w:hAnsi="仿宋_GB2312" w:eastAsia="仿宋_GB2312" w:cs="仿宋_GB2312"/>
          <w:color w:val="auto"/>
          <w:kern w:val="0"/>
          <w:sz w:val="30"/>
          <w:lang w:val="zh-CN"/>
        </w:rPr>
        <w:t>325013.94</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0.21</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101.57</w:t>
      </w:r>
      <w:r>
        <w:rPr>
          <w:rFonts w:hint="eastAsia" w:ascii="仿宋_GB2312" w:eastAsia="仿宋_GB2312"/>
          <w:color w:val="auto"/>
          <w:sz w:val="30"/>
          <w:szCs w:val="30"/>
          <w:highlight w:val="none"/>
          <w:lang w:val="en-US" w:eastAsia="zh-CN"/>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lang w:eastAsia="zh-CN"/>
        </w:rPr>
        <w:t>房地产市场的监测数据服务、</w:t>
      </w:r>
      <w:r>
        <w:rPr>
          <w:rFonts w:hint="eastAsia" w:ascii="仿宋_GB2312" w:eastAsia="仿宋_GB2312"/>
          <w:color w:val="auto"/>
          <w:sz w:val="30"/>
          <w:szCs w:val="30"/>
          <w:highlight w:val="none"/>
        </w:rPr>
        <w:t>盘龙区帮带共建磨憨镇尚冈现代化边境幸福村（精品示范村）建设项目工作</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盘龙区2023年信创工作</w:t>
      </w:r>
      <w:r>
        <w:rPr>
          <w:rFonts w:hint="eastAsia" w:ascii="仿宋_GB2312" w:eastAsia="仿宋_GB2312"/>
          <w:color w:val="auto"/>
          <w:sz w:val="30"/>
          <w:szCs w:val="30"/>
          <w:highlight w:val="none"/>
          <w:lang w:eastAsia="zh-CN"/>
        </w:rPr>
        <w:t>、建筑工程远程视频监控管理信息平台</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造成预决算差异的主要原因是实际支付与预算估计存在误差，故存在少量差异。</w:t>
      </w:r>
    </w:p>
    <w:p w14:paraId="1CD19D03">
      <w:pPr>
        <w:widowControl/>
        <w:snapToGrid w:val="0"/>
        <w:spacing w:before="100" w:after="100" w:line="360" w:lineRule="auto"/>
        <w:ind w:firstLine="600" w:firstLineChars="200"/>
        <w:jc w:val="left"/>
        <w:rPr>
          <w:rFonts w:hint="eastAsia" w:ascii="仿宋_GB2312" w:eastAsia="仿宋_GB2312"/>
          <w:color w:val="auto"/>
          <w:sz w:val="30"/>
          <w:szCs w:val="30"/>
          <w:lang w:eastAsia="zh-CN"/>
        </w:rPr>
      </w:pPr>
      <w:r>
        <w:rPr>
          <w:rFonts w:hint="eastAsia" w:ascii="仿宋_GB2312" w:hAnsi="宋体" w:eastAsia="仿宋_GB2312" w:cs="Arial"/>
          <w:color w:val="auto"/>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p>
    <w:p w14:paraId="761DF2D2">
      <w:pPr>
        <w:widowControl/>
        <w:snapToGrid w:val="0"/>
        <w:spacing w:before="100" w:after="100" w:line="360" w:lineRule="auto"/>
        <w:ind w:firstLine="600" w:firstLineChars="200"/>
        <w:jc w:val="left"/>
        <w:rPr>
          <w:rFonts w:hint="eastAsia" w:ascii="仿宋_GB2312" w:eastAsia="仿宋_GB2312"/>
          <w:color w:val="auto"/>
          <w:sz w:val="30"/>
          <w:szCs w:val="30"/>
          <w:lang w:eastAsia="zh-CN"/>
        </w:rPr>
      </w:pPr>
      <w:r>
        <w:rPr>
          <w:rFonts w:hint="eastAsia" w:ascii="仿宋_GB2312" w:hAnsi="宋体" w:eastAsia="仿宋_GB2312" w:cs="Arial"/>
          <w:color w:val="auto"/>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p>
    <w:p w14:paraId="3FBD94FC">
      <w:pPr>
        <w:widowControl/>
        <w:snapToGrid w:val="0"/>
        <w:spacing w:before="100" w:after="100" w:line="360" w:lineRule="auto"/>
        <w:ind w:firstLine="600" w:firstLineChars="200"/>
        <w:jc w:val="left"/>
        <w:rPr>
          <w:rFonts w:hint="eastAsia" w:ascii="仿宋_GB2312" w:eastAsia="仿宋_GB2312"/>
          <w:color w:val="auto"/>
          <w:sz w:val="30"/>
          <w:szCs w:val="30"/>
          <w:lang w:eastAsia="zh-CN"/>
        </w:rPr>
      </w:pPr>
      <w:r>
        <w:rPr>
          <w:rFonts w:hint="eastAsia" w:ascii="仿宋_GB2312" w:hAnsi="宋体" w:eastAsia="仿宋_GB2312" w:cs="Arial"/>
          <w:color w:val="auto"/>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p>
    <w:p w14:paraId="346664C0">
      <w:pPr>
        <w:widowControl/>
        <w:snapToGrid w:val="0"/>
        <w:spacing w:before="100" w:after="100" w:line="360" w:lineRule="auto"/>
        <w:ind w:firstLine="600" w:firstLineChars="200"/>
        <w:jc w:val="left"/>
        <w:rPr>
          <w:rFonts w:hint="eastAsia" w:ascii="仿宋_GB2312" w:eastAsia="仿宋_GB2312"/>
          <w:color w:val="auto"/>
          <w:sz w:val="30"/>
          <w:szCs w:val="30"/>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p>
    <w:p w14:paraId="37B94005">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117168.00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0.07</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100.00</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rPr>
        <w:t>盘龙区2023年信创工作</w:t>
      </w:r>
      <w:r>
        <w:rPr>
          <w:rFonts w:hint="eastAsia" w:ascii="仿宋_GB2312" w:eastAsia="仿宋_GB2312"/>
          <w:color w:val="auto"/>
          <w:sz w:val="30"/>
          <w:szCs w:val="30"/>
          <w:highlight w:val="none"/>
          <w:lang w:eastAsia="zh-CN"/>
        </w:rPr>
        <w:t>、建筑工程远程视频监控管理信息平台</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无预决算差异。</w:t>
      </w:r>
    </w:p>
    <w:p w14:paraId="0B8C7E87">
      <w:pPr>
        <w:widowControl/>
        <w:snapToGrid w:val="0"/>
        <w:spacing w:before="100" w:after="100" w:line="360" w:lineRule="auto"/>
        <w:ind w:firstLine="600" w:firstLineChars="200"/>
        <w:jc w:val="left"/>
        <w:rPr>
          <w:rFonts w:hint="eastAsia" w:ascii="仿宋_GB2312" w:eastAsia="仿宋_GB2312"/>
          <w:color w:val="auto"/>
          <w:sz w:val="30"/>
          <w:szCs w:val="30"/>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p>
    <w:p w14:paraId="14E0AD8C">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10815138.54</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6.85</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106.57</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lang w:eastAsia="zh-CN"/>
        </w:rPr>
        <w:t>行政、事业单位离退休，养老保险、职业年金缴纳，死亡抚恤金，退役军人安置费，残疾人事业支出</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造成预决算差异的主要原因是年度内人员增减变动导致实际支付金额与预算有差。</w:t>
      </w:r>
    </w:p>
    <w:p w14:paraId="07573D4D">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3563996.92</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2.26</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95.09</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eastAsia="zh-CN"/>
        </w:rPr>
        <w:t>行政、事业单位医疗保险，公务员医疗补助，其他行政事业单位医疗补助</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造成预决算差异的主要原因是年度内人员增减变动导致实际支付金额与预算有差。</w:t>
      </w:r>
    </w:p>
    <w:p w14:paraId="0C636059">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2B2F30DA">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360" w:lineRule="auto"/>
        <w:ind w:right="0" w:rightChars="0"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105993528.40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67.14</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178.55</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rPr>
        <w:t>主要用于液化（燃）气管理办公</w:t>
      </w:r>
      <w:r>
        <w:rPr>
          <w:rFonts w:hint="eastAsia" w:ascii="仿宋_GB2312" w:eastAsia="仿宋_GB2312"/>
          <w:color w:val="auto"/>
          <w:sz w:val="30"/>
          <w:szCs w:val="30"/>
          <w:highlight w:val="none"/>
          <w:lang w:eastAsia="zh-CN"/>
        </w:rPr>
        <w:t>、廉租处人员专项经费、业务补助专项经费、餐饮服务经费、防震减灾专项经费</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造成预决算差异的主要原因是年度内需支付项目增加，导致支出金额增加。</w:t>
      </w:r>
    </w:p>
    <w:p w14:paraId="60334AAC">
      <w:pPr>
        <w:widowControl/>
        <w:numPr>
          <w:ilvl w:val="0"/>
          <w:numId w:val="3"/>
        </w:numPr>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农林水（类）支出</w:t>
      </w:r>
      <w:r>
        <w:rPr>
          <w:rFonts w:hint="eastAsia" w:ascii="仿宋_GB2312" w:hAnsi="仿宋_GB2312" w:eastAsia="仿宋_GB2312" w:cs="仿宋_GB2312"/>
          <w:color w:val="auto"/>
          <w:kern w:val="0"/>
          <w:sz w:val="30"/>
          <w:lang w:val="zh-CN"/>
        </w:rPr>
        <w:t>102135.29</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0.06</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62.50</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eastAsia="zh-CN"/>
        </w:rPr>
        <w:t>行政运行、奖金、工会经费、办公饮用水</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造成预决算差异的主要原因是年度内人员增减变动导致实际支付金额与预算有差。</w:t>
      </w:r>
    </w:p>
    <w:p w14:paraId="38931C00">
      <w:pPr>
        <w:widowControl/>
        <w:numPr>
          <w:ilvl w:val="0"/>
          <w:numId w:val="0"/>
        </w:numPr>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08605E21">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545E71D2">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298C410A">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60880811">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43810A9B">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6A1A331E">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32560410.18</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20.62</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1107.32</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lang w:eastAsia="zh-CN"/>
        </w:rPr>
        <w:t>保障性住房租金补贴、保障性租赁住房、其他保障性安居工程支出；</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存在追加项目经费以及中央预算资金情况导致决算数与预算存在差异</w:t>
      </w:r>
      <w:r>
        <w:rPr>
          <w:rFonts w:hint="eastAsia" w:ascii="仿宋_GB2312" w:hAnsi="宋体" w:eastAsia="仿宋_GB2312" w:cs="Arial"/>
          <w:color w:val="auto"/>
          <w:kern w:val="0"/>
          <w:sz w:val="30"/>
          <w:szCs w:val="30"/>
          <w:highlight w:val="none"/>
          <w:lang w:eastAsia="zh-CN"/>
        </w:rPr>
        <w:t>。</w:t>
      </w:r>
    </w:p>
    <w:p w14:paraId="3D26DECF">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1FC247FF">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667D8F98">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38CDC7DF">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4400000.00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2.79</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lang w:eastAsia="zh-CN"/>
        </w:rPr>
        <w:t>昆明市三环闭合工程东三环C段工程—三环闭合工程项目先行实施段（东三环C2段）专项资金</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此项目为后续新增项目未做预算填报</w:t>
      </w:r>
      <w:r>
        <w:rPr>
          <w:rFonts w:hint="eastAsia" w:ascii="仿宋_GB2312" w:hAnsi="宋体" w:eastAsia="仿宋_GB2312" w:cs="Arial"/>
          <w:color w:val="auto"/>
          <w:kern w:val="0"/>
          <w:sz w:val="30"/>
          <w:szCs w:val="30"/>
          <w:highlight w:val="none"/>
          <w:lang w:eastAsia="zh-CN"/>
        </w:rPr>
        <w:t>。</w:t>
      </w:r>
    </w:p>
    <w:p w14:paraId="08C38DCC">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15E0C32C">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7639434B">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5E2E90FF">
      <w:pPr>
        <w:widowControl/>
        <w:numPr>
          <w:ilvl w:val="0"/>
          <w:numId w:val="4"/>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4D310BD6">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63AAE3E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left="0" w:leftChars="0" w:right="0" w:rightChars="0" w:firstLine="600" w:firstLineChars="200"/>
        <w:jc w:val="both"/>
        <w:textAlignment w:val="auto"/>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kern w:val="0"/>
          <w:sz w:val="30"/>
          <w:szCs w:val="30"/>
          <w:highlight w:val="none"/>
          <w:lang w:val="en-US" w:eastAsia="zh-CN"/>
        </w:rPr>
        <w:t>2024</w:t>
      </w:r>
      <w:r>
        <w:rPr>
          <w:rFonts w:hint="eastAsia" w:ascii="仿宋_GB2312" w:hAnsi="仿宋_GB2312" w:eastAsia="仿宋_GB2312" w:cs="仿宋_GB2312"/>
          <w:kern w:val="0"/>
          <w:sz w:val="30"/>
          <w:szCs w:val="30"/>
          <w:highlight w:val="none"/>
        </w:rPr>
        <w:t>年度财政拨款“三公”经费支出决算中，财政拨款“三公”经费支出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kern w:val="0"/>
          <w:sz w:val="30"/>
          <w:lang w:val="en-US" w:eastAsia="zh-CN"/>
        </w:rPr>
        <w:t>220000.00</w:t>
      </w:r>
      <w:r>
        <w:rPr>
          <w:rFonts w:hint="eastAsia" w:ascii="仿宋_GB2312" w:hAnsi="仿宋_GB2312" w:eastAsia="仿宋_GB2312" w:cs="仿宋_GB2312"/>
          <w:kern w:val="0"/>
          <w:sz w:val="30"/>
          <w:szCs w:val="30"/>
          <w:highlight w:val="none"/>
        </w:rPr>
        <w:t>元，决算为</w:t>
      </w:r>
      <w:r>
        <w:rPr>
          <w:rFonts w:hint="eastAsia" w:ascii="仿宋_GB2312" w:hAnsi="仿宋_GB2312" w:eastAsia="仿宋_GB2312" w:cs="仿宋_GB2312"/>
          <w:color w:val="000000"/>
          <w:sz w:val="30"/>
          <w:lang w:val="zh-CN"/>
        </w:rPr>
        <w:t>74384.04</w:t>
      </w:r>
      <w:r>
        <w:rPr>
          <w:rFonts w:hint="eastAsia" w:ascii="仿宋_GB2312" w:hAnsi="仿宋_GB2312" w:eastAsia="仿宋_GB2312" w:cs="仿宋_GB2312"/>
          <w:kern w:val="0"/>
          <w:sz w:val="30"/>
          <w:szCs w:val="30"/>
          <w:highlight w:val="none"/>
        </w:rPr>
        <w:t>元，完成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预算的</w:t>
      </w:r>
      <w:r>
        <w:rPr>
          <w:rFonts w:hint="eastAsia" w:ascii="仿宋_GB2312" w:hAnsi="仿宋_GB2312" w:eastAsia="仿宋_GB2312" w:cs="仿宋_GB2312"/>
          <w:color w:val="000000"/>
          <w:sz w:val="30"/>
          <w:lang w:val="zh-CN"/>
        </w:rPr>
        <w:t>33.81</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371377.57</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83.31</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376BF33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left="0" w:leftChars="0" w:right="0" w:rightChars="0" w:firstLine="600" w:firstLineChars="200"/>
        <w:jc w:val="both"/>
        <w:textAlignment w:val="auto"/>
        <w:outlineLvl w:val="9"/>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kern w:val="0"/>
          <w:sz w:val="30"/>
          <w:szCs w:val="30"/>
          <w:highlight w:val="none"/>
        </w:rPr>
        <w:t>因公出国（境）费支出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；公务用车购置费支出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w:t>
      </w:r>
      <w:r>
        <w:rPr>
          <w:rFonts w:hint="eastAsia" w:ascii="仿宋_GB2312" w:hAnsi="仿宋_GB2312" w:eastAsia="仿宋_GB2312" w:cs="仿宋_GB2312"/>
          <w:kern w:val="0"/>
          <w:sz w:val="30"/>
          <w:szCs w:val="30"/>
          <w:highlight w:val="none"/>
          <w:lang w:eastAsia="zh-CN"/>
        </w:rPr>
        <w:t>运行维护</w:t>
      </w:r>
      <w:r>
        <w:rPr>
          <w:rFonts w:hint="eastAsia" w:ascii="仿宋_GB2312" w:hAnsi="仿宋_GB2312" w:eastAsia="仿宋_GB2312" w:cs="仿宋_GB2312"/>
          <w:kern w:val="0"/>
          <w:sz w:val="30"/>
          <w:szCs w:val="30"/>
          <w:highlight w:val="none"/>
        </w:rPr>
        <w:t>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220000.00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74384.04</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100.00</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33.81</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rPr>
        <w:t>公务接待费支出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color w:val="auto"/>
          <w:sz w:val="30"/>
          <w:szCs w:val="30"/>
          <w:lang w:eastAsia="zh-CN"/>
        </w:rPr>
        <w:t>。</w:t>
      </w:r>
    </w:p>
    <w:p w14:paraId="4BB1B7B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0"/>
          <w:szCs w:val="30"/>
          <w:highlight w:val="none"/>
        </w:rPr>
        <w:t>因公出国（境）费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rPr>
        <w:t>公务用车购置费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rPr>
        <w:t>公务用车</w:t>
      </w:r>
      <w:r>
        <w:rPr>
          <w:rFonts w:hint="eastAsia" w:ascii="仿宋_GB2312" w:hAnsi="仿宋_GB2312" w:eastAsia="仿宋_GB2312" w:cs="仿宋_GB2312"/>
          <w:color w:val="auto"/>
          <w:sz w:val="30"/>
          <w:szCs w:val="30"/>
          <w:highlight w:val="none"/>
          <w:lang w:eastAsia="zh-CN"/>
        </w:rPr>
        <w:t>运行维护费</w:t>
      </w:r>
      <w:r>
        <w:rPr>
          <w:rFonts w:hint="eastAsia" w:ascii="仿宋_GB2312" w:hAnsi="仿宋_GB2312" w:eastAsia="仿宋_GB2312" w:cs="仿宋_GB2312"/>
          <w:color w:val="auto"/>
          <w:kern w:val="0"/>
          <w:sz w:val="30"/>
          <w:szCs w:val="30"/>
          <w:highlight w:val="none"/>
          <w:lang w:eastAsia="zh-CN"/>
        </w:rPr>
        <w:t>支出决算较上年</w:t>
      </w:r>
      <w:r>
        <w:rPr>
          <w:rFonts w:hint="eastAsia" w:ascii="仿宋_GB2312" w:hAnsi="仿宋_GB2312" w:eastAsia="仿宋_GB2312" w:cs="仿宋_GB2312"/>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371377.57</w:t>
      </w:r>
      <w:r>
        <w:rPr>
          <w:rFonts w:hint="eastAsia" w:ascii="仿宋_GB2312" w:hAnsi="仿宋_GB2312" w:eastAsia="仿宋_GB2312" w:cs="仿宋_GB2312"/>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83.31</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rPr>
        <w:t>公务接待费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p>
    <w:p w14:paraId="149E970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3A40D3C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220000.00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，支出决算为</w:t>
      </w:r>
      <w:r>
        <w:rPr>
          <w:rFonts w:hint="eastAsia" w:ascii="仿宋_GB2312" w:hAnsi="仿宋_GB2312" w:eastAsia="仿宋_GB2312" w:cs="仿宋_GB2312"/>
          <w:color w:val="000000"/>
          <w:sz w:val="30"/>
          <w:lang w:val="zh-CN"/>
        </w:rPr>
        <w:t>74384.04</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33.81</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val="en-US" w:eastAsia="zh-CN"/>
        </w:rPr>
        <w:t>减少</w:t>
      </w:r>
      <w:r>
        <w:rPr>
          <w:rFonts w:hint="eastAsia" w:ascii="仿宋_GB2312" w:hAnsi="仿宋_GB2312" w:eastAsia="仿宋_GB2312" w:cs="仿宋_GB2312"/>
          <w:color w:val="000000"/>
          <w:sz w:val="30"/>
          <w:lang w:val="zh-CN"/>
        </w:rPr>
        <w:t>371377.57</w:t>
      </w:r>
      <w:r>
        <w:rPr>
          <w:rFonts w:hint="eastAsia" w:ascii="仿宋_GB2312" w:hAnsi="仿宋_GB2312" w:eastAsia="仿宋_GB2312" w:cs="仿宋_GB2312"/>
          <w:kern w:val="0"/>
          <w:sz w:val="30"/>
          <w:szCs w:val="30"/>
          <w:highlight w:val="none"/>
          <w:lang w:val="en-US" w:eastAsia="zh-CN"/>
        </w:rPr>
        <w:t>元，下降</w:t>
      </w:r>
      <w:r>
        <w:rPr>
          <w:rFonts w:hint="eastAsia" w:ascii="仿宋_GB2312" w:hAnsi="仿宋_GB2312" w:eastAsia="仿宋_GB2312" w:cs="仿宋_GB2312"/>
          <w:color w:val="000000"/>
          <w:sz w:val="30"/>
          <w:lang w:val="zh-CN"/>
        </w:rPr>
        <w:t>83.31</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p>
    <w:p w14:paraId="12ED2A26">
      <w:pPr>
        <w:widowControl/>
        <w:snapToGrid w:val="0"/>
        <w:spacing w:before="100" w:after="100" w:line="360" w:lineRule="auto"/>
        <w:ind w:firstLine="600" w:firstLineChars="200"/>
        <w:jc w:val="both"/>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；公务用车购置费支出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220000.00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74384.04</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33.81</w:t>
      </w:r>
      <w:r>
        <w:rPr>
          <w:rFonts w:hint="eastAsia" w:ascii="仿宋_GB2312" w:hAnsi="仿宋_GB2312" w:eastAsia="仿宋_GB2312" w:cs="仿宋_GB2312"/>
          <w:sz w:val="30"/>
          <w:szCs w:val="30"/>
          <w:highlight w:val="none"/>
        </w:rPr>
        <w:t>%；公务接待费支出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年度一般公共预算财政拨款“三公”经费支出决算数小于</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预算数的主要原因</w:t>
      </w:r>
      <w:r>
        <w:rPr>
          <w:rFonts w:hint="eastAsia" w:ascii="仿宋_GB2312" w:hAnsi="仿宋_GB2312" w:eastAsia="仿宋_GB2312" w:cs="仿宋_GB2312"/>
          <w:sz w:val="30"/>
          <w:szCs w:val="30"/>
          <w:highlight w:val="none"/>
          <w:lang w:eastAsia="zh-CN"/>
        </w:rPr>
        <w:t>是</w:t>
      </w:r>
      <w:r>
        <w:rPr>
          <w:rFonts w:hint="eastAsia" w:ascii="仿宋_GB2312" w:eastAsia="仿宋_GB2312"/>
          <w:sz w:val="30"/>
          <w:szCs w:val="30"/>
          <w:highlight w:val="none"/>
          <w:lang w:eastAsia="zh-CN"/>
        </w:rPr>
        <w:t>响应国家过“紧日子”政策，缩减</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w:t>
      </w:r>
      <w:r>
        <w:rPr>
          <w:rFonts w:hint="eastAsia" w:ascii="仿宋_GB2312" w:eastAsia="仿宋_GB2312"/>
          <w:color w:val="auto"/>
          <w:sz w:val="30"/>
          <w:szCs w:val="30"/>
          <w:highlight w:val="none"/>
          <w:lang w:eastAsia="zh-CN"/>
        </w:rPr>
        <w:t>项目经费</w:t>
      </w:r>
      <w:r>
        <w:rPr>
          <w:rFonts w:hint="eastAsia" w:ascii="仿宋_GB2312" w:hAnsi="仿宋_GB2312" w:eastAsia="仿宋_GB2312" w:cs="仿宋_GB2312"/>
          <w:color w:val="auto"/>
          <w:sz w:val="30"/>
          <w:szCs w:val="30"/>
          <w:highlight w:val="none"/>
        </w:rPr>
        <w:t>。</w:t>
      </w:r>
    </w:p>
    <w:p w14:paraId="0F0CBC12">
      <w:pPr>
        <w:widowControl/>
        <w:snapToGrid w:val="0"/>
        <w:spacing w:before="100" w:after="100" w:line="360" w:lineRule="auto"/>
        <w:ind w:firstLine="600" w:firstLineChars="200"/>
        <w:jc w:val="both"/>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一般公共预算财政拨款“三公”经费支出</w:t>
      </w:r>
      <w:r>
        <w:rPr>
          <w:rFonts w:hint="eastAsia" w:ascii="仿宋_GB2312" w:hAnsi="仿宋_GB2312" w:eastAsia="仿宋_GB2312" w:cs="仿宋_GB2312"/>
          <w:color w:val="auto"/>
          <w:sz w:val="30"/>
          <w:szCs w:val="30"/>
          <w:highlight w:val="none"/>
          <w:lang w:eastAsia="zh-CN"/>
        </w:rPr>
        <w:t>中：</w:t>
      </w:r>
      <w:r>
        <w:rPr>
          <w:rFonts w:hint="eastAsia" w:ascii="仿宋_GB2312" w:hAnsi="仿宋_GB2312" w:eastAsia="仿宋_GB2312" w:cs="仿宋_GB2312"/>
          <w:color w:val="auto"/>
          <w:sz w:val="30"/>
          <w:szCs w:val="30"/>
          <w:highlight w:val="none"/>
        </w:rPr>
        <w:t>因公出国（境）费支出决算增加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sz w:val="30"/>
          <w:szCs w:val="30"/>
          <w:highlight w:val="none"/>
        </w:rPr>
        <w:t>；公务用车购置费支出决算增加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sz w:val="30"/>
          <w:szCs w:val="30"/>
          <w:highlight w:val="none"/>
        </w:rPr>
        <w:t>；公务用车</w:t>
      </w:r>
      <w:r>
        <w:rPr>
          <w:rFonts w:hint="eastAsia" w:ascii="仿宋_GB2312" w:hAnsi="仿宋_GB2312" w:eastAsia="仿宋_GB2312" w:cs="仿宋_GB2312"/>
          <w:color w:val="auto"/>
          <w:sz w:val="30"/>
          <w:szCs w:val="30"/>
          <w:highlight w:val="none"/>
          <w:lang w:eastAsia="zh-CN"/>
        </w:rPr>
        <w:t>运行维护费</w:t>
      </w:r>
      <w:r>
        <w:rPr>
          <w:rFonts w:hint="eastAsia" w:ascii="仿宋_GB2312" w:hAnsi="仿宋_GB2312" w:eastAsia="仿宋_GB2312" w:cs="仿宋_GB2312"/>
          <w:color w:val="auto"/>
          <w:sz w:val="30"/>
          <w:szCs w:val="30"/>
          <w:highlight w:val="none"/>
        </w:rPr>
        <w:t>支出决算减少</w:t>
      </w:r>
      <w:r>
        <w:rPr>
          <w:rFonts w:hint="eastAsia" w:ascii="仿宋_GB2312" w:hAnsi="仿宋_GB2312" w:eastAsia="仿宋_GB2312" w:cs="仿宋_GB2312"/>
          <w:color w:val="auto"/>
          <w:sz w:val="30"/>
          <w:lang w:val="zh-CN"/>
        </w:rPr>
        <w:t>371377.57</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，下降</w:t>
      </w:r>
      <w:r>
        <w:rPr>
          <w:rFonts w:hint="eastAsia" w:ascii="仿宋_GB2312" w:hAnsi="仿宋_GB2312" w:eastAsia="仿宋_GB2312" w:cs="仿宋_GB2312"/>
          <w:color w:val="auto"/>
          <w:sz w:val="30"/>
          <w:lang w:val="zh-CN"/>
        </w:rPr>
        <w:t>83.31</w:t>
      </w:r>
      <w:r>
        <w:rPr>
          <w:rFonts w:hint="eastAsia" w:ascii="仿宋_GB2312" w:hAnsi="仿宋_GB2312" w:eastAsia="仿宋_GB2312" w:cs="仿宋_GB2312"/>
          <w:color w:val="auto"/>
          <w:sz w:val="30"/>
          <w:szCs w:val="30"/>
          <w:highlight w:val="none"/>
        </w:rPr>
        <w:t>%；公务接待费支出决算增加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元），较上年增加</w:t>
      </w:r>
      <w:r>
        <w:rPr>
          <w:rFonts w:hint="eastAsia" w:ascii="仿宋_GB2312" w:hAnsi="仿宋_GB2312" w:eastAsia="仿宋_GB2312" w:cs="仿宋_GB2312"/>
          <w:color w:val="auto"/>
          <w:kern w:val="0"/>
          <w:sz w:val="30"/>
          <w:szCs w:val="30"/>
          <w:highlight w:val="none"/>
          <w:lang w:val="en-US" w:eastAsia="zh-CN"/>
        </w:rPr>
        <w:t>0.00元，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元较上年增加</w:t>
      </w:r>
      <w:r>
        <w:rPr>
          <w:rFonts w:hint="eastAsia" w:ascii="仿宋_GB2312" w:hAnsi="仿宋_GB2312" w:eastAsia="仿宋_GB2312" w:cs="仿宋_GB2312"/>
          <w:color w:val="auto"/>
          <w:kern w:val="0"/>
          <w:sz w:val="30"/>
          <w:szCs w:val="30"/>
          <w:highlight w:val="none"/>
          <w:lang w:val="en-US" w:eastAsia="zh-CN"/>
        </w:rPr>
        <w:t>0.00元，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年度一般公共预算财政拨款“三公”经费支出决算减少的主要原因</w:t>
      </w:r>
      <w:r>
        <w:rPr>
          <w:rFonts w:hint="eastAsia" w:ascii="仿宋_GB2312" w:hAnsi="仿宋_GB2312" w:eastAsia="仿宋_GB2312" w:cs="仿宋_GB2312"/>
          <w:color w:val="auto"/>
          <w:sz w:val="30"/>
          <w:szCs w:val="30"/>
          <w:highlight w:val="none"/>
          <w:lang w:eastAsia="zh-CN"/>
        </w:rPr>
        <w:t>是</w:t>
      </w:r>
      <w:r>
        <w:rPr>
          <w:rFonts w:hint="eastAsia" w:ascii="仿宋_GB2312" w:eastAsia="仿宋_GB2312"/>
          <w:color w:val="auto"/>
          <w:sz w:val="30"/>
          <w:szCs w:val="30"/>
          <w:highlight w:val="none"/>
          <w:lang w:eastAsia="zh-CN"/>
        </w:rPr>
        <w:t>响应国家过“紧日子”政策，缩减</w:t>
      </w:r>
      <w:r>
        <w:rPr>
          <w:rFonts w:hint="eastAsia" w:ascii="仿宋_GB2312" w:hAnsi="仿宋_GB2312" w:eastAsia="仿宋_GB2312" w:cs="仿宋_GB2312"/>
          <w:color w:val="auto"/>
          <w:sz w:val="30"/>
          <w:szCs w:val="30"/>
          <w:highlight w:val="none"/>
        </w:rPr>
        <w:t>公务用车</w:t>
      </w:r>
      <w:r>
        <w:rPr>
          <w:rFonts w:hint="eastAsia" w:ascii="仿宋_GB2312" w:hAnsi="仿宋_GB2312" w:eastAsia="仿宋_GB2312" w:cs="仿宋_GB2312"/>
          <w:color w:val="auto"/>
          <w:sz w:val="30"/>
          <w:szCs w:val="30"/>
          <w:highlight w:val="none"/>
          <w:lang w:eastAsia="zh-CN"/>
        </w:rPr>
        <w:t>运行维护</w:t>
      </w:r>
      <w:r>
        <w:rPr>
          <w:rFonts w:hint="eastAsia" w:ascii="仿宋_GB2312" w:eastAsia="仿宋_GB2312"/>
          <w:color w:val="auto"/>
          <w:sz w:val="30"/>
          <w:szCs w:val="30"/>
          <w:highlight w:val="none"/>
          <w:lang w:eastAsia="zh-CN"/>
        </w:rPr>
        <w:t>项目经费</w:t>
      </w:r>
      <w:r>
        <w:rPr>
          <w:rFonts w:hint="eastAsia" w:ascii="仿宋_GB2312" w:hAnsi="仿宋_GB2312" w:eastAsia="仿宋_GB2312" w:cs="仿宋_GB2312"/>
          <w:color w:val="auto"/>
          <w:sz w:val="30"/>
          <w:szCs w:val="30"/>
          <w:highlight w:val="none"/>
        </w:rPr>
        <w:t>。</w:t>
      </w:r>
    </w:p>
    <w:p w14:paraId="56EBFA6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color w:val="auto"/>
          <w:sz w:val="30"/>
          <w:szCs w:val="30"/>
          <w:highlight w:val="none"/>
        </w:rPr>
        <w:t>一般公共预算财政拨款“三公”经费支出</w:t>
      </w:r>
      <w:r>
        <w:rPr>
          <w:rFonts w:hint="eastAsia" w:ascii="仿宋_GB2312" w:hAnsi="仿宋_GB2312" w:eastAsia="仿宋_GB2312" w:cs="仿宋_GB2312"/>
          <w:color w:val="auto"/>
          <w:sz w:val="30"/>
          <w:szCs w:val="30"/>
          <w:highlight w:val="none"/>
          <w:lang w:eastAsia="zh-CN"/>
        </w:rPr>
        <w:t>实物量的</w:t>
      </w:r>
      <w:r>
        <w:rPr>
          <w:rFonts w:hint="eastAsia" w:ascii="仿宋_GB2312" w:hAnsi="仿宋_GB2312" w:eastAsia="仿宋_GB2312" w:cs="仿宋_GB2312"/>
          <w:color w:val="auto"/>
          <w:sz w:val="30"/>
          <w:szCs w:val="30"/>
          <w:highlight w:val="none"/>
        </w:rPr>
        <w:t>具体情况</w:t>
      </w:r>
      <w:r>
        <w:rPr>
          <w:rFonts w:hint="eastAsia" w:ascii="仿宋_GB2312" w:hAnsi="仿宋_GB2312" w:eastAsia="仿宋_GB2312" w:cs="仿宋_GB2312"/>
          <w:sz w:val="30"/>
          <w:szCs w:val="30"/>
          <w:highlight w:val="none"/>
          <w:lang w:eastAsia="zh-CN"/>
        </w:rPr>
        <w:t>：</w:t>
      </w:r>
    </w:p>
    <w:p w14:paraId="635742F6">
      <w:pPr>
        <w:widowControl/>
        <w:numPr>
          <w:ilvl w:val="0"/>
          <w:numId w:val="5"/>
        </w:numPr>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安排因公出国（境）团组</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b w:val="0"/>
          <w:bCs/>
          <w:sz w:val="30"/>
          <w:szCs w:val="30"/>
          <w:highlight w:val="none"/>
        </w:rPr>
        <w:t>个，累计</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b w:val="0"/>
          <w:bCs/>
          <w:sz w:val="30"/>
          <w:szCs w:val="30"/>
          <w:highlight w:val="none"/>
        </w:rPr>
        <w:t>人次。</w:t>
      </w:r>
    </w:p>
    <w:p w14:paraId="6AF58614">
      <w:pPr>
        <w:widowControl/>
        <w:numPr>
          <w:ilvl w:val="0"/>
          <w:numId w:val="0"/>
        </w:numPr>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2.购置车辆</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10</w:t>
      </w:r>
      <w:r>
        <w:rPr>
          <w:rFonts w:hint="eastAsia" w:ascii="仿宋_GB2312" w:hAnsi="仿宋_GB2312" w:eastAsia="仿宋_GB2312" w:cs="仿宋_GB2312"/>
          <w:b w:val="0"/>
          <w:bCs/>
          <w:sz w:val="30"/>
          <w:szCs w:val="30"/>
          <w:highlight w:val="none"/>
        </w:rPr>
        <w:t>辆。主要用于</w:t>
      </w:r>
      <w:r>
        <w:rPr>
          <w:rFonts w:hint="eastAsia" w:ascii="仿宋_GB2312" w:hAnsi="仿宋_GB2312" w:eastAsia="仿宋_GB2312" w:cs="仿宋_GB2312"/>
          <w:b w:val="0"/>
          <w:bCs/>
          <w:sz w:val="30"/>
          <w:szCs w:val="30"/>
          <w:highlight w:val="none"/>
          <w:lang w:eastAsia="zh-CN"/>
        </w:rPr>
        <w:t>日常办公、巡查</w:t>
      </w:r>
      <w:r>
        <w:rPr>
          <w:rFonts w:hint="eastAsia" w:ascii="仿宋_GB2312" w:hAnsi="仿宋_GB2312" w:eastAsia="仿宋_GB2312" w:cs="仿宋_GB2312"/>
          <w:b w:val="0"/>
          <w:bCs/>
          <w:sz w:val="30"/>
          <w:szCs w:val="30"/>
          <w:highlight w:val="none"/>
        </w:rPr>
        <w:t>所需车辆燃料费、维修费、过路过桥费、保险费等。</w:t>
      </w:r>
    </w:p>
    <w:p w14:paraId="738169CB">
      <w:pPr>
        <w:widowControl/>
        <w:snapToGrid w:val="0"/>
        <w:spacing w:before="100" w:after="100" w:line="360" w:lineRule="auto"/>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b w:val="0"/>
          <w:bCs/>
          <w:sz w:val="30"/>
          <w:szCs w:val="30"/>
          <w:highlight w:val="none"/>
        </w:rPr>
        <w:t>3.安排</w:t>
      </w:r>
      <w:r>
        <w:rPr>
          <w:rFonts w:hint="eastAsia" w:ascii="仿宋_GB2312" w:hAnsi="仿宋_GB2312" w:eastAsia="仿宋_GB2312" w:cs="仿宋_GB2312"/>
          <w:sz w:val="30"/>
          <w:szCs w:val="30"/>
          <w:highlight w:val="none"/>
        </w:rPr>
        <w:t>国内公务接待</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sz w:val="30"/>
          <w:szCs w:val="30"/>
          <w:highlight w:val="none"/>
        </w:rPr>
        <w:t>批次（其中：外事接待</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sz w:val="30"/>
          <w:szCs w:val="30"/>
          <w:highlight w:val="none"/>
        </w:rPr>
        <w:t>人（其中：外事接待人次</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sz w:val="30"/>
          <w:szCs w:val="30"/>
          <w:highlight w:val="none"/>
        </w:rPr>
        <w:t>人）。安排国（境）外公务接待</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en-US" w:eastAsia="zh-CN"/>
        </w:rPr>
        <w:t>0</w:t>
      </w:r>
      <w:r>
        <w:rPr>
          <w:rFonts w:hint="eastAsia" w:ascii="仿宋_GB2312" w:hAnsi="仿宋_GB2312" w:eastAsia="仿宋_GB2312" w:cs="仿宋_GB2312"/>
          <w:sz w:val="30"/>
          <w:szCs w:val="30"/>
          <w:highlight w:val="none"/>
        </w:rPr>
        <w:t>人。</w:t>
      </w:r>
    </w:p>
    <w:p w14:paraId="2BE42283">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603E0FB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400C80D8">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3880450F">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19966B4C">
      <w:pPr>
        <w:ind w:firstLine="600" w:firstLineChars="200"/>
        <w:jc w:val="both"/>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lang w:val="zh-CN"/>
        </w:rPr>
        <w:t>昆明市盘龙区住房和城乡建设局</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年机关运行经费支出</w:t>
      </w:r>
      <w:r>
        <w:rPr>
          <w:rFonts w:hint="eastAsia" w:ascii="仿宋_GB2312" w:hAnsi="仿宋_GB2312" w:eastAsia="仿宋_GB2312" w:cs="仿宋_GB2312"/>
          <w:color w:val="auto"/>
          <w:sz w:val="30"/>
          <w:lang w:val="en-US" w:eastAsia="zh-CN"/>
        </w:rPr>
        <w:t>1020752.17</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比上年</w:t>
      </w:r>
      <w:r>
        <w:rPr>
          <w:rFonts w:hint="eastAsia" w:ascii="仿宋_GB2312" w:hAnsi="仿宋_GB2312" w:eastAsia="仿宋_GB2312" w:cs="仿宋_GB2312"/>
          <w:color w:val="auto"/>
          <w:sz w:val="30"/>
          <w:szCs w:val="30"/>
          <w:highlight w:val="none"/>
        </w:rPr>
        <w:t>减少</w:t>
      </w:r>
      <w:r>
        <w:rPr>
          <w:rFonts w:hint="eastAsia" w:ascii="仿宋_GB2312" w:hAnsi="仿宋_GB2312" w:eastAsia="仿宋_GB2312" w:cs="仿宋_GB2312"/>
          <w:color w:val="auto"/>
          <w:sz w:val="30"/>
          <w:lang w:val="en-US" w:eastAsia="zh-CN"/>
        </w:rPr>
        <w:t>31129.60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，下降</w:t>
      </w:r>
      <w:r>
        <w:rPr>
          <w:rFonts w:hint="eastAsia" w:ascii="仿宋_GB2312" w:hAnsi="仿宋_GB2312" w:eastAsia="仿宋_GB2312" w:cs="仿宋_GB2312"/>
          <w:color w:val="auto"/>
          <w:sz w:val="30"/>
          <w:lang w:val="zh-CN"/>
        </w:rPr>
        <w:t>2.96</w:t>
      </w:r>
      <w:r>
        <w:rPr>
          <w:rFonts w:hint="eastAsia" w:ascii="仿宋_GB2312" w:hAnsi="仿宋_GB2312" w:eastAsia="仿宋_GB2312" w:cs="仿宋_GB2312"/>
          <w:color w:val="auto"/>
          <w:sz w:val="30"/>
          <w:szCs w:val="30"/>
          <w:highlight w:val="none"/>
        </w:rPr>
        <w:t>%,主要原因</w:t>
      </w:r>
      <w:r>
        <w:rPr>
          <w:rFonts w:hint="eastAsia" w:ascii="仿宋_GB2312" w:hAnsi="仿宋_GB2312" w:eastAsia="仿宋_GB2312" w:cs="仿宋_GB2312"/>
          <w:color w:val="auto"/>
          <w:sz w:val="30"/>
          <w:szCs w:val="30"/>
          <w:highlight w:val="none"/>
          <w:lang w:eastAsia="zh-CN"/>
        </w:rPr>
        <w:t>是</w:t>
      </w:r>
      <w:r>
        <w:rPr>
          <w:rFonts w:hint="eastAsia" w:ascii="仿宋_GB2312" w:eastAsia="仿宋_GB2312"/>
          <w:color w:val="auto"/>
          <w:sz w:val="30"/>
          <w:szCs w:val="30"/>
          <w:highlight w:val="none"/>
          <w:lang w:eastAsia="zh-CN"/>
        </w:rPr>
        <w:t>响应国家过“紧日子”政策，缩减相应开支</w:t>
      </w:r>
      <w:r>
        <w:rPr>
          <w:rFonts w:hint="eastAsia" w:ascii="仿宋_GB2312" w:hAnsi="仿宋_GB2312" w:eastAsia="仿宋_GB2312" w:cs="仿宋_GB2312"/>
          <w:color w:val="auto"/>
          <w:sz w:val="30"/>
          <w:szCs w:val="30"/>
          <w:highlight w:val="none"/>
        </w:rPr>
        <w:t>。部门机关运行经费主要用于</w:t>
      </w:r>
      <w:r>
        <w:rPr>
          <w:rFonts w:hint="eastAsia" w:ascii="仿宋_GB2312" w:hAnsi="仿宋_GB2312" w:eastAsia="仿宋_GB2312" w:cs="仿宋_GB2312"/>
          <w:color w:val="auto"/>
          <w:sz w:val="30"/>
          <w:szCs w:val="30"/>
          <w:highlight w:val="none"/>
          <w:lang w:eastAsia="zh-CN"/>
        </w:rPr>
        <w:t>办公费</w:t>
      </w:r>
      <w:r>
        <w:rPr>
          <w:rFonts w:hint="eastAsia" w:ascii="仿宋_GB2312" w:hAnsi="仿宋_GB2312" w:eastAsia="仿宋_GB2312" w:cs="仿宋_GB2312"/>
          <w:color w:val="auto"/>
          <w:sz w:val="30"/>
          <w:szCs w:val="30"/>
          <w:highlight w:val="none"/>
        </w:rPr>
        <w:t>88767.15</w:t>
      </w:r>
      <w:r>
        <w:rPr>
          <w:rFonts w:hint="eastAsia" w:ascii="仿宋_GB2312" w:hAnsi="仿宋_GB2312" w:eastAsia="仿宋_GB2312" w:cs="仿宋_GB2312"/>
          <w:color w:val="auto"/>
          <w:sz w:val="30"/>
          <w:szCs w:val="30"/>
          <w:highlight w:val="none"/>
          <w:lang w:eastAsia="zh-CN"/>
        </w:rPr>
        <w:t>元、水费</w:t>
      </w:r>
      <w:r>
        <w:rPr>
          <w:rFonts w:hint="eastAsia" w:ascii="仿宋_GB2312" w:hAnsi="仿宋_GB2312" w:eastAsia="仿宋_GB2312" w:cs="仿宋_GB2312"/>
          <w:color w:val="auto"/>
          <w:sz w:val="30"/>
          <w:szCs w:val="30"/>
          <w:highlight w:val="none"/>
          <w:lang w:val="en-US" w:eastAsia="zh-CN"/>
        </w:rPr>
        <w:t>36090.24</w:t>
      </w:r>
      <w:r>
        <w:rPr>
          <w:rFonts w:hint="eastAsia" w:ascii="仿宋_GB2312" w:hAnsi="仿宋_GB2312" w:eastAsia="仿宋_GB2312" w:cs="仿宋_GB2312"/>
          <w:color w:val="auto"/>
          <w:sz w:val="30"/>
          <w:szCs w:val="30"/>
          <w:highlight w:val="none"/>
          <w:lang w:eastAsia="zh-CN"/>
        </w:rPr>
        <w:t>元、电费19861.74元、邮电费59376.00元、差旅费23853.00元、培训费</w:t>
      </w:r>
      <w:r>
        <w:rPr>
          <w:rFonts w:hint="eastAsia" w:ascii="仿宋_GB2312" w:hAnsi="仿宋_GB2312" w:eastAsia="仿宋_GB2312" w:cs="仿宋_GB2312"/>
          <w:color w:val="auto"/>
          <w:sz w:val="30"/>
          <w:szCs w:val="30"/>
          <w:highlight w:val="none"/>
          <w:lang w:val="en-US" w:eastAsia="zh-CN"/>
        </w:rPr>
        <w:t>38000.00元、工会经费75680.00元、福利费318840.22元、</w:t>
      </w:r>
      <w:r>
        <w:rPr>
          <w:rFonts w:hint="eastAsia" w:ascii="仿宋_GB2312" w:hAnsi="仿宋_GB2312" w:eastAsia="仿宋_GB2312" w:cs="仿宋_GB2312"/>
          <w:color w:val="auto"/>
          <w:sz w:val="30"/>
          <w:szCs w:val="30"/>
          <w:highlight w:val="none"/>
          <w:lang w:eastAsia="zh-CN"/>
        </w:rPr>
        <w:t>公务用车运行维护费8043.82元、其他交通费用343900.00元、其他商品和服务支出343900.00元。</w:t>
      </w:r>
    </w:p>
    <w:p w14:paraId="70CB8E1A">
      <w:pPr>
        <w:ind w:firstLine="600" w:firstLineChars="200"/>
        <w:jc w:val="both"/>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lang w:eastAsia="zh-CN"/>
        </w:rPr>
        <w:t>国有资产占用情况</w:t>
      </w:r>
    </w:p>
    <w:p w14:paraId="7E1C3935">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昆明市盘龙区住房和城乡建设局</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 xml:space="preserve">889707488.14 </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65455129.72</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9322641.18</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1755607.35</w:t>
      </w:r>
      <w:r>
        <w:rPr>
          <w:rFonts w:hint="eastAsia" w:ascii="仿宋_GB2312" w:hAnsi="仿宋_GB2312" w:eastAsia="仿宋_GB2312" w:cs="仿宋_GB2312"/>
          <w:sz w:val="30"/>
          <w:szCs w:val="30"/>
          <w:highlight w:val="none"/>
          <w:lang w:eastAsia="zh-CN"/>
        </w:rPr>
        <w:t>元（净值），其他资产813174109.89元（净值）（具体内容详见附表）</w:t>
      </w:r>
      <w:r>
        <w:rPr>
          <w:rFonts w:hint="eastAsia" w:ascii="仿宋_GB2312" w:hAnsi="仿宋_GB2312" w:eastAsia="仿宋_GB2312" w:cs="仿宋_GB2312"/>
          <w:color w:val="000000"/>
          <w:kern w:val="0"/>
          <w:sz w:val="30"/>
          <w:szCs w:val="30"/>
          <w:highlight w:val="none"/>
        </w:rPr>
        <w:t>。与上年相比，本年资产总额增加</w:t>
      </w:r>
      <w:r>
        <w:rPr>
          <w:rFonts w:hint="eastAsia" w:ascii="仿宋_GB2312" w:hAnsi="仿宋_GB2312" w:eastAsia="仿宋_GB2312" w:cs="仿宋_GB2312"/>
          <w:color w:val="000000"/>
          <w:kern w:val="0"/>
          <w:sz w:val="30"/>
          <w:szCs w:val="30"/>
          <w:highlight w:val="none"/>
          <w:lang w:val="en-US" w:eastAsia="zh-CN"/>
        </w:rPr>
        <w:t>54866888.14</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，其中固定资产减少</w:t>
      </w:r>
      <w:r>
        <w:rPr>
          <w:rFonts w:hint="eastAsia" w:ascii="仿宋_GB2312" w:hAnsi="仿宋_GB2312" w:eastAsia="仿宋_GB2312" w:cs="仿宋_GB2312"/>
          <w:color w:val="000000"/>
          <w:kern w:val="0"/>
          <w:sz w:val="30"/>
          <w:szCs w:val="30"/>
          <w:highlight w:val="none"/>
          <w:lang w:val="en-US" w:eastAsia="zh-CN"/>
        </w:rPr>
        <w:t>284558.82</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。处置房屋建筑物</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；处置车辆</w:t>
      </w:r>
      <w:r>
        <w:rPr>
          <w:rFonts w:hint="eastAsia" w:ascii="仿宋_GB2312" w:hAnsi="仿宋_GB2312" w:eastAsia="仿宋_GB2312" w:cs="仿宋_GB2312"/>
          <w:color w:val="000000"/>
          <w:kern w:val="0"/>
          <w:sz w:val="30"/>
          <w:szCs w:val="30"/>
          <w:highlight w:val="none"/>
          <w:lang w:val="en-US" w:eastAsia="zh-CN"/>
        </w:rPr>
        <w:t>2</w:t>
      </w:r>
      <w:r>
        <w:rPr>
          <w:rFonts w:hint="eastAsia" w:ascii="仿宋_GB2312" w:hAnsi="仿宋_GB2312" w:eastAsia="仿宋_GB2312" w:cs="仿宋_GB2312"/>
          <w:color w:val="000000"/>
          <w:kern w:val="0"/>
          <w:sz w:val="30"/>
          <w:szCs w:val="30"/>
          <w:highlight w:val="none"/>
        </w:rPr>
        <w:t>辆，账面原值</w:t>
      </w:r>
      <w:r>
        <w:rPr>
          <w:rFonts w:hint="eastAsia" w:ascii="仿宋_GB2312" w:hAnsi="仿宋_GB2312" w:eastAsia="仿宋_GB2312" w:cs="仿宋_GB2312"/>
          <w:color w:val="000000"/>
          <w:kern w:val="0"/>
          <w:sz w:val="30"/>
          <w:szCs w:val="30"/>
          <w:highlight w:val="none"/>
          <w:lang w:val="en-US" w:eastAsia="zh-CN"/>
        </w:rPr>
        <w:t>444000.00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；报废报损资产</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项，账面原值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，实现资产处置收入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；出租房屋</w:t>
      </w:r>
      <w:r>
        <w:rPr>
          <w:rFonts w:hint="eastAsia" w:ascii="仿宋_GB2312" w:hAnsi="仿宋_GB2312" w:eastAsia="仿宋_GB2312" w:cs="仿宋_GB2312"/>
          <w:color w:val="000000"/>
          <w:kern w:val="0"/>
          <w:sz w:val="30"/>
          <w:szCs w:val="30"/>
          <w:highlight w:val="none"/>
          <w:lang w:val="en-US" w:eastAsia="zh-CN"/>
        </w:rPr>
        <w:t>41</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1</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(以名义金额1元入账)，实现资产使用收入46000元。</w:t>
      </w:r>
    </w:p>
    <w:p w14:paraId="6677E359">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lang w:eastAsia="zh-CN"/>
        </w:rPr>
      </w:pP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rPr>
        <w:t>国有资产占有使用情况表</w:t>
      </w:r>
      <w:r>
        <w:rPr>
          <w:rFonts w:hint="eastAsia" w:ascii="仿宋_GB2312" w:hAnsi="仿宋_GB2312" w:eastAsia="仿宋_GB2312" w:cs="仿宋_GB2312"/>
          <w:color w:val="000000"/>
          <w:kern w:val="0"/>
          <w:sz w:val="30"/>
          <w:szCs w:val="30"/>
          <w:highlight w:val="none"/>
          <w:lang w:eastAsia="zh-CN"/>
        </w:rPr>
        <w:t>详见附表）</w:t>
      </w:r>
    </w:p>
    <w:p w14:paraId="09F8145C">
      <w:pPr>
        <w:widowControl/>
        <w:ind w:firstLine="600" w:firstLineChars="200"/>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30E913BF">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2024年度，部门政府采购支出总额</w:t>
      </w:r>
      <w:r>
        <w:rPr>
          <w:rFonts w:hint="eastAsia" w:ascii="仿宋_GB2312" w:hAnsi="仿宋_GB2312" w:eastAsia="仿宋_GB2312" w:cs="仿宋_GB2312"/>
          <w:color w:val="auto"/>
          <w:sz w:val="30"/>
          <w:lang w:val="zh-CN"/>
        </w:rPr>
        <w:t>1193623.32</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38200.00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1155423.32</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356600.00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47600.00</w:t>
      </w:r>
      <w:r>
        <w:rPr>
          <w:rFonts w:hint="eastAsia" w:ascii="仿宋_GB2312" w:hAnsi="仿宋_GB2312" w:eastAsia="仿宋_GB2312" w:cs="仿宋_GB2312"/>
          <w:sz w:val="30"/>
          <w:szCs w:val="30"/>
          <w:highlight w:val="none"/>
          <w:lang w:val="en-US" w:eastAsia="zh-CN"/>
        </w:rPr>
        <w:t>元。</w:t>
      </w:r>
    </w:p>
    <w:p w14:paraId="12C31505">
      <w:pPr>
        <w:widowControl/>
        <w:ind w:firstLine="600" w:firstLineChars="200"/>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7F2B6494">
      <w:pPr>
        <w:widowControl/>
        <w:snapToGrid w:val="0"/>
        <w:spacing w:before="100" w:after="100" w:line="360" w:lineRule="auto"/>
        <w:ind w:firstLine="600"/>
        <w:jc w:val="left"/>
        <w:rPr>
          <w:rFonts w:hint="eastAsia" w:ascii="仿宋_GB2312" w:hAnsi="仿宋_GB2312" w:eastAsia="仿宋_GB2312" w:cs="仿宋_GB2312"/>
          <w:color w:val="FF0000"/>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部门绩效自评情况详见附表。</w:t>
      </w:r>
    </w:p>
    <w:p w14:paraId="679E3B2E">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3D4E78C0">
      <w:pPr>
        <w:widowControl/>
        <w:snapToGrid w:val="0"/>
        <w:spacing w:before="100" w:after="100" w:line="360" w:lineRule="auto"/>
        <w:ind w:firstLine="600" w:firstLineChars="200"/>
        <w:jc w:val="left"/>
        <w:outlineLvl w:val="1"/>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无其他重要事项情况需说明</w:t>
      </w:r>
    </w:p>
    <w:p w14:paraId="68A1FAC4">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73261105">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711C0193">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55EC0884">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727539A5">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58A36995">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58FC10F0">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30E7AD3E">
      <w:pPr>
        <w:jc w:val="left"/>
        <w:outlineLvl w:val="0"/>
        <w:rPr>
          <w:rFonts w:hint="eastAsia" w:ascii="仿宋_GB2312" w:hAnsi="仿宋_GB2312" w:eastAsia="仿宋_GB2312" w:cs="仿宋_GB2312"/>
          <w:sz w:val="18"/>
          <w:szCs w:val="18"/>
          <w:lang w:val="zh-CN"/>
        </w:rPr>
      </w:pPr>
      <w:r>
        <w:rPr>
          <w:rFonts w:hint="eastAsia" w:ascii="仿宋_GB2312" w:hAnsi="仿宋_GB2312" w:eastAsia="仿宋_GB2312" w:cs="仿宋_GB2312"/>
          <w:b/>
          <w:bCs/>
          <w:i w:val="0"/>
          <w:iCs w:val="0"/>
          <w:caps w:val="0"/>
          <w:color w:val="000000"/>
          <w:spacing w:val="0"/>
          <w:sz w:val="18"/>
          <w:szCs w:val="18"/>
        </w:rPr>
        <w:t>监督索引号53010303200401111</w:t>
      </w:r>
    </w:p>
    <w:p w14:paraId="207CD53B"/>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946B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F484AE">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3CF484AE">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3D2E">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71CC5B8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34B1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C484F"/>
    <w:multiLevelType w:val="singleLevel"/>
    <w:tmpl w:val="68EC484F"/>
    <w:lvl w:ilvl="0" w:tentative="0">
      <w:start w:val="2"/>
      <w:numFmt w:val="chineseCounting"/>
      <w:suff w:val="nothing"/>
      <w:lvlText w:val="%1、"/>
      <w:lvlJc w:val="left"/>
      <w:rPr>
        <w:rFonts w:hint="eastAsia"/>
      </w:rPr>
    </w:lvl>
  </w:abstractNum>
  <w:abstractNum w:abstractNumId="1">
    <w:nsid w:val="68EC485A"/>
    <w:multiLevelType w:val="singleLevel"/>
    <w:tmpl w:val="68EC485A"/>
    <w:lvl w:ilvl="0" w:tentative="0">
      <w:start w:val="4"/>
      <w:numFmt w:val="chineseCounting"/>
      <w:suff w:val="nothing"/>
      <w:lvlText w:val="%1、"/>
      <w:lvlJc w:val="left"/>
      <w:rPr>
        <w:rFonts w:hint="eastAsia"/>
      </w:rPr>
    </w:lvl>
  </w:abstractNum>
  <w:abstractNum w:abstractNumId="2">
    <w:nsid w:val="68EFEDD6"/>
    <w:multiLevelType w:val="singleLevel"/>
    <w:tmpl w:val="68EFEDD6"/>
    <w:lvl w:ilvl="0" w:tentative="0">
      <w:start w:val="7"/>
      <w:numFmt w:val="decimal"/>
      <w:suff w:val="nothing"/>
      <w:lvlText w:val="%1、"/>
      <w:lvlJc w:val="left"/>
    </w:lvl>
  </w:abstractNum>
  <w:abstractNum w:abstractNumId="3">
    <w:nsid w:val="68F03440"/>
    <w:multiLevelType w:val="singleLevel"/>
    <w:tmpl w:val="68F03440"/>
    <w:lvl w:ilvl="0" w:tentative="0">
      <w:start w:val="12"/>
      <w:numFmt w:val="decimal"/>
      <w:suff w:val="nothing"/>
      <w:lvlText w:val="%1."/>
      <w:lvlJc w:val="left"/>
    </w:lvl>
  </w:abstractNum>
  <w:abstractNum w:abstractNumId="4">
    <w:nsid w:val="68F03CDF"/>
    <w:multiLevelType w:val="singleLevel"/>
    <w:tmpl w:val="68F03CDF"/>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51C1"/>
    <w:rsid w:val="026A524F"/>
    <w:rsid w:val="02F06FE0"/>
    <w:rsid w:val="0938716C"/>
    <w:rsid w:val="0A1E5DEB"/>
    <w:rsid w:val="0CC62E3D"/>
    <w:rsid w:val="0F74550F"/>
    <w:rsid w:val="13212726"/>
    <w:rsid w:val="13566265"/>
    <w:rsid w:val="1417141B"/>
    <w:rsid w:val="1A367A59"/>
    <w:rsid w:val="1BE60BFF"/>
    <w:rsid w:val="28DC7359"/>
    <w:rsid w:val="2D8048E4"/>
    <w:rsid w:val="30A62E6F"/>
    <w:rsid w:val="36632672"/>
    <w:rsid w:val="36EC5A44"/>
    <w:rsid w:val="382E72F5"/>
    <w:rsid w:val="397D0750"/>
    <w:rsid w:val="3C8251A2"/>
    <w:rsid w:val="3CCF1D13"/>
    <w:rsid w:val="3FBF4FA1"/>
    <w:rsid w:val="400575B1"/>
    <w:rsid w:val="44E627F3"/>
    <w:rsid w:val="48214878"/>
    <w:rsid w:val="49327B30"/>
    <w:rsid w:val="4AF67453"/>
    <w:rsid w:val="4ED736D9"/>
    <w:rsid w:val="507B1CE8"/>
    <w:rsid w:val="50E327C8"/>
    <w:rsid w:val="53693AEC"/>
    <w:rsid w:val="579453D4"/>
    <w:rsid w:val="603D1190"/>
    <w:rsid w:val="60DA453C"/>
    <w:rsid w:val="626161F6"/>
    <w:rsid w:val="62A133AD"/>
    <w:rsid w:val="63194E53"/>
    <w:rsid w:val="64632E67"/>
    <w:rsid w:val="658801D6"/>
    <w:rsid w:val="693A500D"/>
    <w:rsid w:val="6B933A84"/>
    <w:rsid w:val="6BAB4B4C"/>
    <w:rsid w:val="6CFA741E"/>
    <w:rsid w:val="6DAA2BC1"/>
    <w:rsid w:val="6DAC636A"/>
    <w:rsid w:val="6FC844C6"/>
    <w:rsid w:val="71B945BC"/>
    <w:rsid w:val="733C001E"/>
    <w:rsid w:val="73E25A5A"/>
    <w:rsid w:val="75E93757"/>
    <w:rsid w:val="75EA0C32"/>
    <w:rsid w:val="7AD5344D"/>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等线" w:hAnsi="等线" w:eastAsia="等线"/>
      <w:szCs w:val="28"/>
    </w:r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deb020-49e8-4395-adaf-9ab3b8167842}">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9878</Words>
  <Characters>11375</Characters>
  <Lines>0</Lines>
  <Paragraphs>0</Paragraphs>
  <TotalTime>1</TotalTime>
  <ScaleCrop>false</ScaleCrop>
  <LinksUpToDate>false</LinksUpToDate>
  <CharactersWithSpaces>11396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Destiny✧*｡</cp:lastModifiedBy>
  <dcterms:modified xsi:type="dcterms:W3CDTF">2025-10-27T01:53:10Z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eyJoZGlkIjoiZmFlYWYzYzAyMTM5OThiNWRlZjI5MDc2M2ZjMmNkNDEiLCJ1c2VySWQiOiIzNzQwNjYxNzgifQ==</vt:lpwstr>
  </property>
  <property fmtid="{D5CDD505-2E9C-101B-9397-08002B2CF9AE}" pid="4" name="ICV">
    <vt:lpwstr>BA1A608D162F419C88987DF488E1D4D3_12</vt:lpwstr>
  </property>
</Properties>
</file>