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ECF55">
      <w:pPr>
        <w:widowControl/>
        <w:shd w:val="clear" w:color="auto" w:fill="FFFFFF"/>
        <w:spacing w:line="560" w:lineRule="exact"/>
        <w:jc w:val="center"/>
        <w:rPr>
          <w:rFonts w:ascii="方正小标宋简体" w:hAnsi="宋体" w:eastAsia="方正小标宋简体" w:cs="宋体"/>
          <w:bCs/>
          <w:color w:val="333333"/>
          <w:kern w:val="0"/>
          <w:sz w:val="44"/>
          <w:szCs w:val="44"/>
        </w:rPr>
      </w:pPr>
      <w:r>
        <w:rPr>
          <w:rFonts w:hint="eastAsia" w:ascii="方正小标宋简体" w:hAnsi="宋体" w:eastAsia="方正小标宋简体" w:cs="宋体"/>
          <w:bCs/>
          <w:color w:val="333333"/>
          <w:kern w:val="0"/>
          <w:sz w:val="44"/>
          <w:szCs w:val="44"/>
        </w:rPr>
        <w:t>昆明市盘龙区发展和改革局</w:t>
      </w:r>
    </w:p>
    <w:p w14:paraId="7EF54C41">
      <w:pPr>
        <w:widowControl/>
        <w:shd w:val="clear" w:color="auto" w:fill="FFFFFF"/>
        <w:spacing w:line="560" w:lineRule="exact"/>
        <w:jc w:val="center"/>
        <w:rPr>
          <w:rFonts w:ascii="Times New Roman" w:hAnsi="Times New Roman" w:eastAsia="方正小标宋简体" w:cs="Times New Roman"/>
          <w:bCs/>
          <w:color w:val="333333"/>
          <w:kern w:val="0"/>
          <w:sz w:val="44"/>
          <w:szCs w:val="44"/>
        </w:rPr>
      </w:pPr>
      <w:r>
        <w:rPr>
          <w:rFonts w:ascii="Times New Roman" w:hAnsi="Times New Roman" w:eastAsia="方正小标宋简体" w:cs="Times New Roman"/>
          <w:bCs/>
          <w:color w:val="333333"/>
          <w:kern w:val="0"/>
          <w:sz w:val="44"/>
          <w:szCs w:val="44"/>
        </w:rPr>
        <w:t>2019年政府信息公开工作年度报告</w:t>
      </w:r>
    </w:p>
    <w:p w14:paraId="65A753C8">
      <w:pPr>
        <w:widowControl/>
        <w:shd w:val="clear" w:color="auto" w:fill="FFFFFF"/>
        <w:spacing w:line="700" w:lineRule="exact"/>
        <w:jc w:val="center"/>
        <w:rPr>
          <w:rFonts w:ascii="Times New Roman" w:hAnsi="Times New Roman" w:eastAsia="方正小标宋简体" w:cs="Times New Roman"/>
          <w:bCs/>
          <w:color w:val="333333"/>
          <w:kern w:val="0"/>
          <w:sz w:val="44"/>
          <w:szCs w:val="44"/>
        </w:rPr>
      </w:pPr>
    </w:p>
    <w:p w14:paraId="375EF68C">
      <w:pPr>
        <w:pStyle w:val="4"/>
        <w:shd w:val="clear" w:color="auto" w:fill="FFFFFF"/>
        <w:spacing w:before="0" w:beforeAutospacing="0" w:after="0" w:afterAutospacing="0"/>
        <w:ind w:firstLine="640"/>
        <w:jc w:val="center"/>
        <w:rPr>
          <w:rFonts w:ascii="Times New Roman" w:hAnsi="Times New Roman" w:eastAsia="仿宋_GB2312" w:cs="Times New Roman"/>
          <w:kern w:val="2"/>
          <w:sz w:val="32"/>
          <w:szCs w:val="32"/>
          <w:lang w:val="zh-CN"/>
        </w:rPr>
      </w:pPr>
      <w:r>
        <w:rPr>
          <w:rFonts w:ascii="Times New Roman" w:hAnsi="Times New Roman" w:eastAsia="仿宋_GB2312" w:cs="Times New Roman"/>
          <w:kern w:val="2"/>
          <w:sz w:val="32"/>
          <w:szCs w:val="32"/>
          <w:lang w:val="zh-CN"/>
        </w:rPr>
        <w:t>本年度报告根据《中华人民共和国政府信息公开条例》和</w:t>
      </w:r>
      <w:r>
        <w:rPr>
          <w:rFonts w:ascii="Times New Roman" w:eastAsia="仿宋_GB2312" w:cs="Times New Roman"/>
          <w:sz w:val="32"/>
          <w:szCs w:val="32"/>
        </w:rPr>
        <w:t>昆明市人民政府办公室《关于做好</w:t>
      </w:r>
      <w:r>
        <w:rPr>
          <w:rFonts w:ascii="Times New Roman" w:hAnsi="Times New Roman" w:eastAsia="仿宋_GB2312" w:cs="Times New Roman"/>
          <w:sz w:val="32"/>
          <w:szCs w:val="32"/>
        </w:rPr>
        <w:t>2019</w:t>
      </w:r>
      <w:r>
        <w:rPr>
          <w:rFonts w:ascii="Times New Roman" w:eastAsia="仿宋_GB2312" w:cs="Times New Roman"/>
          <w:sz w:val="32"/>
          <w:szCs w:val="32"/>
        </w:rPr>
        <w:t>年度政府信息公开工作年度报告编制工作的通知》相关工作要求</w:t>
      </w:r>
      <w:r>
        <w:rPr>
          <w:rFonts w:ascii="Times New Roman" w:hAnsi="Times New Roman" w:eastAsia="仿宋_GB2312" w:cs="Times New Roman"/>
          <w:kern w:val="2"/>
          <w:sz w:val="32"/>
          <w:szCs w:val="32"/>
          <w:lang w:val="zh-CN"/>
        </w:rPr>
        <w:t>，</w:t>
      </w:r>
      <w:r>
        <w:rPr>
          <w:rFonts w:ascii="Times New Roman" w:eastAsia="仿宋_GB2312" w:cs="Times New Roman"/>
          <w:sz w:val="32"/>
          <w:szCs w:val="32"/>
          <w:lang w:val="zh-CN"/>
        </w:rPr>
        <w:t>由</w:t>
      </w:r>
      <w:r>
        <w:rPr>
          <w:rFonts w:ascii="Times New Roman" w:hAnsi="Times New Roman" w:eastAsia="仿宋_GB2312" w:cs="Times New Roman"/>
          <w:kern w:val="2"/>
          <w:sz w:val="32"/>
          <w:szCs w:val="32"/>
          <w:lang w:val="zh-CN"/>
        </w:rPr>
        <w:t>盘龙区</w:t>
      </w:r>
      <w:r>
        <w:rPr>
          <w:rFonts w:ascii="Times New Roman" w:hAnsi="Times New Roman" w:eastAsia="仿宋_GB2312" w:cs="Times New Roman"/>
          <w:sz w:val="32"/>
          <w:szCs w:val="32"/>
          <w:lang w:val="zh-CN"/>
        </w:rPr>
        <w:t>发展和改革局办公室</w:t>
      </w:r>
      <w:r>
        <w:rPr>
          <w:rFonts w:ascii="Times New Roman" w:hAnsi="Times New Roman" w:eastAsia="仿宋_GB2312" w:cs="Times New Roman"/>
          <w:kern w:val="2"/>
          <w:sz w:val="32"/>
          <w:szCs w:val="32"/>
          <w:lang w:val="zh-CN"/>
        </w:rPr>
        <w:t>编制而成。全文包括</w:t>
      </w:r>
      <w:r>
        <w:rPr>
          <w:rFonts w:ascii="Times New Roman" w:hAnsi="Times New Roman" w:eastAsia="仿宋_GB2312" w:cs="Times New Roman"/>
          <w:kern w:val="2"/>
          <w:sz w:val="32"/>
          <w:szCs w:val="32"/>
        </w:rPr>
        <w:t>总体情况、</w:t>
      </w:r>
      <w:r>
        <w:rPr>
          <w:rFonts w:ascii="Times New Roman" w:hAnsi="Times New Roman" w:eastAsia="仿宋_GB2312" w:cs="Times New Roman"/>
          <w:kern w:val="2"/>
          <w:sz w:val="32"/>
          <w:szCs w:val="32"/>
          <w:lang w:val="zh-CN"/>
        </w:rPr>
        <w:t>主动公开政府信息情况、</w:t>
      </w:r>
      <w:r>
        <w:rPr>
          <w:rFonts w:ascii="Times New Roman" w:hAnsi="Times New Roman" w:eastAsia="仿宋_GB2312" w:cs="Times New Roman"/>
          <w:kern w:val="2"/>
          <w:sz w:val="32"/>
          <w:szCs w:val="32"/>
        </w:rPr>
        <w:t>收到和处理政府信息公开申请情况、因政府信息公开工作被申请行政复议提起行政诉讼情况、</w:t>
      </w:r>
      <w:r>
        <w:rPr>
          <w:rFonts w:ascii="Times New Roman" w:hAnsi="Times New Roman" w:eastAsia="仿宋_GB2312" w:cs="Times New Roman"/>
          <w:kern w:val="2"/>
          <w:sz w:val="32"/>
          <w:szCs w:val="32"/>
          <w:lang w:val="zh-CN"/>
        </w:rPr>
        <w:t>存在的问题和改进</w:t>
      </w:r>
      <w:r>
        <w:rPr>
          <w:rFonts w:ascii="Times New Roman" w:hAnsi="Times New Roman" w:eastAsia="仿宋_GB2312" w:cs="Times New Roman"/>
          <w:kern w:val="2"/>
          <w:sz w:val="32"/>
          <w:szCs w:val="32"/>
        </w:rPr>
        <w:t>情况，</w:t>
      </w:r>
      <w:r>
        <w:rPr>
          <w:rFonts w:ascii="Times New Roman" w:hAnsi="Times New Roman" w:eastAsia="仿宋_GB2312" w:cs="Times New Roman"/>
          <w:kern w:val="2"/>
          <w:sz w:val="32"/>
          <w:szCs w:val="32"/>
          <w:lang w:val="zh-CN"/>
        </w:rPr>
        <w:t>以及需要说明的其他事项等部分组成。报告中所列数据的统计期限自201</w:t>
      </w:r>
      <w:r>
        <w:rPr>
          <w:rFonts w:ascii="Times New Roman" w:hAnsi="Times New Roman" w:eastAsia="仿宋_GB2312" w:cs="Times New Roman"/>
          <w:kern w:val="2"/>
          <w:sz w:val="32"/>
          <w:szCs w:val="32"/>
        </w:rPr>
        <w:t>9</w:t>
      </w:r>
      <w:r>
        <w:rPr>
          <w:rFonts w:ascii="Times New Roman" w:hAnsi="Times New Roman" w:eastAsia="仿宋_GB2312" w:cs="Times New Roman"/>
          <w:kern w:val="2"/>
          <w:sz w:val="32"/>
          <w:szCs w:val="32"/>
          <w:lang w:val="zh-CN"/>
        </w:rPr>
        <w:t>年1月1日起至201</w:t>
      </w:r>
      <w:r>
        <w:rPr>
          <w:rFonts w:ascii="Times New Roman" w:hAnsi="Times New Roman" w:eastAsia="仿宋_GB2312" w:cs="Times New Roman"/>
          <w:kern w:val="2"/>
          <w:sz w:val="32"/>
          <w:szCs w:val="32"/>
        </w:rPr>
        <w:t>9</w:t>
      </w:r>
      <w:r>
        <w:rPr>
          <w:rFonts w:ascii="Times New Roman" w:hAnsi="Times New Roman" w:eastAsia="仿宋_GB2312" w:cs="Times New Roman"/>
          <w:kern w:val="2"/>
          <w:sz w:val="32"/>
          <w:szCs w:val="32"/>
          <w:lang w:val="zh-CN"/>
        </w:rPr>
        <w:t>年12月31日止。本报告在昆明市盘龙区人民政府网站政府信息公开年度报告栏目全</w:t>
      </w:r>
    </w:p>
    <w:p w14:paraId="5C0AC767">
      <w:pPr>
        <w:widowControl/>
        <w:shd w:val="clear" w:color="auto" w:fill="FFFFFF"/>
        <w:spacing w:line="700" w:lineRule="exact"/>
        <w:jc w:val="center"/>
        <w:rPr>
          <w:rFonts w:ascii="Times New Roman" w:hAnsi="Times New Roman" w:eastAsia="方正小标宋简体" w:cs="Times New Roman"/>
          <w:bCs/>
          <w:color w:val="333333"/>
          <w:kern w:val="0"/>
          <w:sz w:val="44"/>
          <w:szCs w:val="44"/>
        </w:rPr>
      </w:pPr>
      <w:r>
        <w:rPr>
          <w:rFonts w:ascii="Times New Roman" w:hAnsi="Times New Roman" w:eastAsia="仿宋_GB2312" w:cs="Times New Roman"/>
          <w:sz w:val="32"/>
          <w:szCs w:val="32"/>
          <w:lang w:val="zh-CN"/>
        </w:rPr>
        <w:t>文公布，欢迎查阅</w:t>
      </w:r>
      <w:r>
        <w:rPr>
          <w:rFonts w:ascii="Times New Roman" w:hAnsi="Times New Roman" w:eastAsia="仿宋_GB2312" w:cs="Times New Roman"/>
          <w:sz w:val="32"/>
          <w:szCs w:val="32"/>
          <w:u w:val="single"/>
          <w:lang w:val="zh-CN"/>
        </w:rPr>
        <w:t>(</w:t>
      </w:r>
      <w:r>
        <w:rPr>
          <w:rFonts w:ascii="Times New Roman" w:hAnsi="Times New Roman" w:eastAsia="仿宋_GB2312" w:cs="Times New Roman"/>
          <w:color w:val="000000"/>
          <w:sz w:val="32"/>
          <w:szCs w:val="32"/>
          <w:u w:val="single"/>
          <w:shd w:val="clear" w:color="auto" w:fill="FFFFFF"/>
        </w:rPr>
        <w:t>盘龙区人民政府网站</w:t>
      </w:r>
      <w:r>
        <w:rPr>
          <w:rFonts w:ascii="Times New Roman" w:hAnsi="Times New Roman" w:cs="Times New Roman"/>
          <w:color w:val="333333"/>
          <w:sz w:val="32"/>
          <w:szCs w:val="32"/>
          <w:u w:val="single"/>
          <w:shd w:val="clear" w:color="auto" w:fill="FFFFFF"/>
        </w:rPr>
        <w:t>http://kmpl.gov.cn)</w:t>
      </w:r>
      <w:r>
        <w:rPr>
          <w:rFonts w:ascii="Times New Roman" w:hAnsi="Times New Roman" w:eastAsia="仿宋_GB2312" w:cs="Times New Roman"/>
          <w:sz w:val="32"/>
          <w:szCs w:val="32"/>
          <w:lang w:val="zh-CN"/>
        </w:rPr>
        <w:t>。如对本报告有疑问，可与盘龙区发展和改革局办公室联系（地址：昆明市北京路481号229室；办公时间：上午9:00-下午17:00，工作日：周一至周五，法定节假日除外；联系电话（传真）：0871-63318306；邮政编码：65</w:t>
      </w:r>
      <w:r>
        <w:rPr>
          <w:rFonts w:hint="eastAsia" w:ascii="Times New Roman" w:hAnsi="Times New Roman" w:eastAsia="仿宋_GB2312" w:cs="Times New Roman"/>
          <w:sz w:val="32"/>
          <w:szCs w:val="32"/>
          <w:lang w:val="zh-CN"/>
        </w:rPr>
        <w:t>0051</w:t>
      </w:r>
      <w:r>
        <w:rPr>
          <w:rFonts w:ascii="Times New Roman" w:hAnsi="Times New Roman" w:eastAsia="仿宋_GB2312" w:cs="Times New Roman"/>
          <w:sz w:val="32"/>
          <w:szCs w:val="32"/>
          <w:lang w:val="zh-CN"/>
        </w:rPr>
        <w:t>。 </w:t>
      </w:r>
    </w:p>
    <w:p w14:paraId="1A6DAB13">
      <w:pPr>
        <w:widowControl/>
        <w:shd w:val="clear" w:color="auto" w:fill="FFFFFF"/>
        <w:ind w:firstLine="480"/>
        <w:rPr>
          <w:rFonts w:ascii="Times New Roman" w:hAnsi="Times New Roman" w:eastAsia="黑体" w:cs="Times New Roman"/>
          <w:bCs/>
          <w:color w:val="333333"/>
          <w:kern w:val="0"/>
          <w:sz w:val="32"/>
          <w:szCs w:val="32"/>
        </w:rPr>
      </w:pPr>
      <w:r>
        <w:rPr>
          <w:rFonts w:ascii="Times New Roman" w:hAnsi="黑体" w:eastAsia="黑体" w:cs="Times New Roman"/>
          <w:bCs/>
          <w:color w:val="333333"/>
          <w:kern w:val="0"/>
          <w:sz w:val="32"/>
          <w:szCs w:val="32"/>
        </w:rPr>
        <w:t>一、总体情况</w:t>
      </w:r>
    </w:p>
    <w:p w14:paraId="561FF1F8">
      <w:pPr>
        <w:widowControl/>
        <w:shd w:val="clear" w:color="auto" w:fill="FFFFFF"/>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2019年，</w:t>
      </w:r>
      <w:r>
        <w:rPr>
          <w:rFonts w:ascii="Times New Roman" w:hAnsi="Times New Roman" w:eastAsia="仿宋_GB2312" w:cs="Times New Roman"/>
          <w:color w:val="000000" w:themeColor="text1"/>
          <w:sz w:val="32"/>
          <w:szCs w:val="32"/>
          <w14:textFill>
            <w14:solidFill>
              <w14:schemeClr w14:val="tx1"/>
            </w14:solidFill>
          </w14:textFill>
        </w:rPr>
        <w:t>盘龙区发展和改革局坚持以习</w:t>
      </w:r>
      <w:r>
        <w:rPr>
          <w:rFonts w:ascii="Times New Roman" w:hAnsi="Times New Roman" w:eastAsia="仿宋_GB2312" w:cs="Times New Roman"/>
          <w:sz w:val="32"/>
          <w:szCs w:val="32"/>
        </w:rPr>
        <w:t>近平新时代中国特色社会主义思想为指导，深入贯彻落实党中央、国务院，省委、省政府和市委、市政府关于全面推进政务公开工作的系列安排部署，现将有关工作报告如下：</w:t>
      </w:r>
      <w:bookmarkStart w:id="0" w:name="_GoBack"/>
      <w:bookmarkEnd w:id="0"/>
    </w:p>
    <w:p w14:paraId="0E6F171A">
      <w:pPr>
        <w:widowControl/>
        <w:shd w:val="clear" w:color="auto" w:fill="FFFFFF"/>
        <w:spacing w:line="600" w:lineRule="exact"/>
        <w:ind w:firstLine="482"/>
        <w:rPr>
          <w:rFonts w:ascii="Times New Roman" w:hAnsi="Times New Roman" w:eastAsia="仿宋_GB2312" w:cs="Times New Roman"/>
          <w:sz w:val="32"/>
          <w:szCs w:val="32"/>
        </w:rPr>
      </w:pPr>
      <w:r>
        <w:rPr>
          <w:rFonts w:ascii="Times New Roman" w:hAnsi="Times New Roman" w:eastAsia="仿宋_GB2312" w:cs="Times New Roman"/>
          <w:sz w:val="32"/>
          <w:szCs w:val="32"/>
        </w:rPr>
        <w:t>区发展改革局严格执行《</w:t>
      </w:r>
      <w:r>
        <w:rPr>
          <w:rFonts w:hint="eastAsia" w:ascii="Times New Roman" w:hAnsi="Times New Roman" w:eastAsia="仿宋_GB2312" w:cs="Times New Roman"/>
          <w:sz w:val="32"/>
          <w:szCs w:val="32"/>
          <w:lang w:val="en-US" w:eastAsia="zh-CN"/>
        </w:rPr>
        <w:t>中华人民共和国</w:t>
      </w:r>
      <w:r>
        <w:rPr>
          <w:rFonts w:ascii="Times New Roman" w:hAnsi="Times New Roman" w:eastAsia="仿宋_GB2312" w:cs="Times New Roman"/>
          <w:sz w:val="32"/>
          <w:szCs w:val="32"/>
        </w:rPr>
        <w:t>政府信息公开条例》，切实做好政府信息公开发布工作。继续推进办事公开制度，完善办事公开目录，重点公开职能职责、监督渠道、价格收费、工作动态、执法检查信息、财政信息、建议提案办理结果等。截至12月31日年内在</w:t>
      </w:r>
      <w:r>
        <w:rPr>
          <w:rFonts w:ascii="Times New Roman" w:hAnsi="Times New Roman" w:eastAsia="仿宋_GB2312" w:cs="Times New Roman"/>
          <w:color w:val="000000" w:themeColor="text1"/>
          <w:sz w:val="32"/>
          <w:szCs w:val="32"/>
          <w14:textFill>
            <w14:solidFill>
              <w14:schemeClr w14:val="tx1"/>
            </w14:solidFill>
          </w14:textFill>
        </w:rPr>
        <w:t>“盘龙区政府门户网站”主动</w:t>
      </w:r>
      <w:r>
        <w:rPr>
          <w:rFonts w:ascii="Times New Roman" w:hAnsi="Times New Roman" w:eastAsia="仿宋_GB2312" w:cs="Times New Roman"/>
          <w:sz w:val="32"/>
          <w:szCs w:val="32"/>
        </w:rPr>
        <w:t>公开各类信息共计162条，其中通知公告类9条（通知公告类中涉及财政资金和行政事业性收费4条、有关政策2条）、行政执法信息2条、重大建设项目信息25条、经济动态信息和部门动态信息72条、价格和收费信息4条、行政处罚和行政许可20条、双公示通知公告24条、机构职能1条、建议和提案办理结果5条。</w:t>
      </w:r>
    </w:p>
    <w:p w14:paraId="093E51DD">
      <w:pPr>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w:t>
      </w:r>
      <w:r>
        <w:rPr>
          <w:rFonts w:ascii="Times New Roman" w:hAnsi="Times New Roman" w:eastAsia="楷体_GB2312" w:cs="Times New Roman"/>
          <w:kern w:val="0"/>
          <w:sz w:val="32"/>
          <w:szCs w:val="32"/>
        </w:rPr>
        <w:t>公开综合监管和检查信息，提高监管效能和公正性，增强监管威慑力和公信力</w:t>
      </w:r>
    </w:p>
    <w:p w14:paraId="5500EAF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1.区发展改革局按照《盘龙区关于落实全省信用体系建设五项刚性任务的工作方案》，及时将社会信用体系建设各项工作分解落实到区属各相关部门，确保工作落到实处，明确责任，不留空白，全面推进。</w:t>
      </w:r>
    </w:p>
    <w:p w14:paraId="137474A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2.精心部署开展“双公示”工作。区发展改革局将区属各单位的行政许可和行政处罚信息在</w:t>
      </w:r>
      <w:r>
        <w:rPr>
          <w:rFonts w:ascii="Times New Roman" w:hAnsi="Times New Roman" w:eastAsia="仿宋_GB2312" w:cs="Times New Roman"/>
          <w:color w:val="000000" w:themeColor="text1"/>
          <w:sz w:val="32"/>
          <w:szCs w:val="32"/>
          <w14:textFill>
            <w14:solidFill>
              <w14:schemeClr w14:val="tx1"/>
            </w14:solidFill>
          </w14:textFill>
        </w:rPr>
        <w:t>“盘龙区政府门户网站——权力及</w:t>
      </w:r>
      <w:r>
        <w:rPr>
          <w:rFonts w:ascii="Times New Roman" w:hAnsi="Times New Roman" w:eastAsia="仿宋_GB2312" w:cs="Times New Roman"/>
          <w:sz w:val="32"/>
          <w:szCs w:val="32"/>
        </w:rPr>
        <w:t>责任清单双公示栏目”统一公示，并按月汇总报市发展改革委推送至“信用云南”网站公示，确保“双公示”落到实处取得实效。</w:t>
      </w:r>
    </w:p>
    <w:p w14:paraId="6C8670B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3.区发展改革局按照要求，定期将涉及社会信用体系建设的政策文件在</w:t>
      </w:r>
      <w:r>
        <w:rPr>
          <w:rFonts w:ascii="Times New Roman" w:hAnsi="Times New Roman" w:eastAsia="仿宋_GB2312" w:cs="Times New Roman"/>
          <w:color w:val="000000" w:themeColor="text1"/>
          <w:sz w:val="32"/>
          <w:szCs w:val="32"/>
          <w14:textFill>
            <w14:solidFill>
              <w14:schemeClr w14:val="tx1"/>
            </w14:solidFill>
          </w14:textFill>
        </w:rPr>
        <w:t>“盘龙区政府门户网站——权力及</w:t>
      </w:r>
      <w:r>
        <w:rPr>
          <w:rFonts w:ascii="Times New Roman" w:hAnsi="Times New Roman" w:eastAsia="仿宋_GB2312" w:cs="Times New Roman"/>
          <w:sz w:val="32"/>
          <w:szCs w:val="32"/>
        </w:rPr>
        <w:t>责任清单双公示栏目”公开。</w:t>
      </w:r>
    </w:p>
    <w:p w14:paraId="3EBCCA4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4.公开粮油检查信息。区发展改革局定期开展粮油场巡查，配合区级其他</w:t>
      </w:r>
      <w:r>
        <w:rPr>
          <w:rFonts w:ascii="Times New Roman" w:hAnsi="Times New Roman" w:eastAsia="仿宋_GB2312" w:cs="Times New Roman"/>
          <w:color w:val="000000" w:themeColor="text1"/>
          <w:sz w:val="32"/>
          <w:szCs w:val="32"/>
          <w14:textFill>
            <w14:solidFill>
              <w14:schemeClr w14:val="tx1"/>
            </w14:solidFill>
          </w14:textFill>
        </w:rPr>
        <w:t>行政单位开展“放心粮油”专柜质量抽检工作，并将检查情况在“盘龙区政府门户网站”上予以公示。</w:t>
      </w:r>
    </w:p>
    <w:p w14:paraId="14BDF646">
      <w:pPr>
        <w:spacing w:line="560" w:lineRule="exact"/>
        <w:jc w:val="left"/>
        <w:textAlignment w:val="center"/>
        <w:rPr>
          <w:rFonts w:ascii="Times New Roman" w:hAnsi="Times New Roman" w:eastAsia="楷体_GB2312" w:cs="Times New Roman"/>
          <w:sz w:val="32"/>
          <w:szCs w:val="32"/>
        </w:rPr>
      </w:pPr>
      <w:r>
        <w:rPr>
          <w:rFonts w:ascii="Times New Roman" w:hAnsi="Times New Roman" w:eastAsia="楷体" w:cs="Times New Roman"/>
          <w:sz w:val="32"/>
          <w:szCs w:val="32"/>
        </w:rPr>
        <w:t xml:space="preserve">    </w:t>
      </w:r>
      <w:r>
        <w:rPr>
          <w:rFonts w:ascii="Times New Roman" w:hAnsi="Times New Roman" w:eastAsia="楷体_GB2312" w:cs="Times New Roman"/>
          <w:sz w:val="32"/>
          <w:szCs w:val="32"/>
        </w:rPr>
        <w:t>（二）推进重要部署执行公开</w:t>
      </w:r>
    </w:p>
    <w:p w14:paraId="501A76C0">
      <w:pPr>
        <w:spacing w:line="600" w:lineRule="exact"/>
        <w:jc w:val="left"/>
        <w:textAlignment w:val="center"/>
        <w:rPr>
          <w:rFonts w:ascii="Times New Roman" w:hAnsi="Times New Roman" w:eastAsia="仿宋_GB2312" w:cs="Times New Roman"/>
          <w:sz w:val="32"/>
          <w:szCs w:val="32"/>
        </w:rPr>
      </w:pPr>
      <w:r>
        <w:rPr>
          <w:rFonts w:ascii="Times New Roman" w:hAnsi="Times New Roman" w:eastAsia="楷体" w:cs="Times New Roman"/>
          <w:sz w:val="32"/>
          <w:szCs w:val="32"/>
        </w:rPr>
        <w:t xml:space="preserve">    </w:t>
      </w:r>
      <w:r>
        <w:rPr>
          <w:rFonts w:ascii="Times New Roman" w:hAnsi="Times New Roman" w:eastAsia="仿宋_GB2312" w:cs="Times New Roman"/>
          <w:sz w:val="32"/>
          <w:szCs w:val="32"/>
        </w:rPr>
        <w:t>围绕我区经济社会发展规划、重要改革方案、年度重点工作、惠民实事项目等明确的工作，将主要措施、实施步骤、职责分工、监督</w:t>
      </w:r>
      <w:r>
        <w:rPr>
          <w:rFonts w:ascii="Times New Roman" w:hAnsi="Times New Roman" w:eastAsia="仿宋_GB2312" w:cs="Times New Roman"/>
          <w:color w:val="000000" w:themeColor="text1"/>
          <w:sz w:val="32"/>
          <w:szCs w:val="32"/>
          <w14:textFill>
            <w14:solidFill>
              <w14:schemeClr w14:val="tx1"/>
            </w14:solidFill>
          </w14:textFill>
        </w:rPr>
        <w:t>渠道以及工作进度、存在问题、后续举措等信息向社会公开，重点公开各类发展目标、改革任务、民生举措等落实情况。2019年区发展改革局在“</w:t>
      </w:r>
      <w:r>
        <w:rPr>
          <w:rFonts w:ascii="Times New Roman" w:hAnsi="仿宋_GB2312" w:eastAsia="仿宋_GB2312" w:cs="Times New Roman"/>
          <w:color w:val="000000" w:themeColor="text1"/>
          <w:sz w:val="32"/>
          <w:szCs w:val="32"/>
          <w14:textFill>
            <w14:solidFill>
              <w14:schemeClr w14:val="tx1"/>
            </w14:solidFill>
          </w14:textFill>
        </w:rPr>
        <w:t>盘龙区政府门户网站</w:t>
      </w:r>
      <w:r>
        <w:rPr>
          <w:rFonts w:ascii="Times New Roman" w:hAnsi="Times New Roman" w:eastAsia="仿宋_GB2312" w:cs="Times New Roman"/>
          <w:color w:val="000000" w:themeColor="text1"/>
          <w:sz w:val="32"/>
          <w:szCs w:val="32"/>
          <w14:textFill>
            <w14:solidFill>
              <w14:schemeClr w14:val="tx1"/>
            </w14:solidFill>
          </w14:textFill>
        </w:rPr>
        <w:softHyphen/>
      </w:r>
      <w:r>
        <w:rPr>
          <w:rFonts w:ascii="Times New Roman" w:hAnsi="Times New Roman" w:eastAsia="仿宋_GB2312" w:cs="Times New Roman"/>
          <w:color w:val="000000" w:themeColor="text1"/>
          <w:sz w:val="32"/>
          <w:szCs w:val="32"/>
          <w14:textFill>
            <w14:solidFill>
              <w14:schemeClr w14:val="tx1"/>
            </w14:solidFill>
          </w14:textFill>
        </w:rPr>
        <w:t>——区发改局网页”公布关于印发《昆明市盘龙区关于促进经济平稳健康发展21条措施的意见》的通知（盘</w:t>
      </w:r>
      <w:r>
        <w:rPr>
          <w:rFonts w:ascii="Times New Roman" w:hAnsi="Times New Roman" w:eastAsia="仿宋_GB2312" w:cs="Times New Roman"/>
          <w:sz w:val="32"/>
          <w:szCs w:val="32"/>
        </w:rPr>
        <w:t>政发〔2019〕11号）。</w:t>
      </w:r>
    </w:p>
    <w:p w14:paraId="06BE1EDB">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（三）积极回应社会关切，继续推进价格收费信息公开</w:t>
      </w:r>
    </w:p>
    <w:p w14:paraId="2AB8F68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1.区发展改革局对全区2018年度所有行政事业性收费、政府定价和指导价的经营服务性收费事项进行清理汇总，对收费项目名称、设立依据、征收方式和标准等进行公开公示。 2019年发布了</w:t>
      </w:r>
      <w:r>
        <w:fldChar w:fldCharType="begin"/>
      </w:r>
      <w:r>
        <w:instrText xml:space="preserve"> HYPERLINK "http://www.kmpl.gov.cn/zcms/contentcore/resource/download?ID=1832035" \t "http://kmpl.gov.cn/c/2019-04-18/_blank" \o "盘龙区行政事业收费目录清单（2019）" </w:instrText>
      </w:r>
      <w:r>
        <w:fldChar w:fldCharType="separate"/>
      </w:r>
      <w:r>
        <w:rPr>
          <w:rFonts w:ascii="Times New Roman" w:hAnsi="Times New Roman" w:eastAsia="仿宋_GB2312" w:cs="Times New Roman"/>
          <w:sz w:val="32"/>
          <w:szCs w:val="32"/>
        </w:rPr>
        <w:t>盘龙区行政事业收费目录清单（2019）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和</w:t>
      </w:r>
      <w:r>
        <w:fldChar w:fldCharType="begin"/>
      </w:r>
      <w:r>
        <w:instrText xml:space="preserve"> HYPERLINK "http://www.kmpl.gov.cn/zcms/contentcore/resource/download?ID=1832035" \t "http://kmpl.gov.cn/c/2019-04-18/_blank" \o "盘龙区行政事业收费目录清单（2019）" </w:instrText>
      </w:r>
      <w:r>
        <w:fldChar w:fldCharType="separate"/>
      </w:r>
      <w:r>
        <w:rPr>
          <w:rFonts w:ascii="Times New Roman" w:hAnsi="Times New Roman" w:eastAsia="仿宋_GB2312" w:cs="Times New Roman"/>
          <w:sz w:val="32"/>
          <w:szCs w:val="32"/>
        </w:rPr>
        <w:t>盘龙区行政事业收费目录清单（2019年8月）</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p>
    <w:p w14:paraId="5292555B">
      <w:pPr>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sz w:val="32"/>
          <w:szCs w:val="32"/>
        </w:rPr>
        <w:t xml:space="preserve">   </w:t>
      </w:r>
      <w:r>
        <w:rPr>
          <w:rFonts w:ascii="Times New Roman" w:hAnsi="Times New Roman" w:eastAsia="仿宋_GB2312" w:cs="Times New Roman"/>
          <w:color w:val="000000" w:themeColor="text1"/>
          <w:sz w:val="32"/>
          <w:szCs w:val="32"/>
          <w14:textFill>
            <w14:solidFill>
              <w14:schemeClr w14:val="tx1"/>
            </w14:solidFill>
          </w14:textFill>
        </w:rPr>
        <w:t xml:space="preserve"> 2.及时在“</w:t>
      </w:r>
      <w:r>
        <w:rPr>
          <w:rFonts w:ascii="Times New Roman" w:hAnsi="仿宋_GB2312" w:eastAsia="仿宋_GB2312" w:cs="Times New Roman"/>
          <w:color w:val="000000" w:themeColor="text1"/>
          <w:sz w:val="32"/>
          <w:szCs w:val="32"/>
          <w14:textFill>
            <w14:solidFill>
              <w14:schemeClr w14:val="tx1"/>
            </w14:solidFill>
          </w14:textFill>
        </w:rPr>
        <w:t>盘龙区政府门户网站</w:t>
      </w:r>
      <w:r>
        <w:rPr>
          <w:rFonts w:ascii="Times New Roman" w:hAnsi="Times New Roman" w:eastAsia="仿宋_GB2312" w:cs="Times New Roman"/>
          <w:color w:val="000000" w:themeColor="text1"/>
          <w:sz w:val="32"/>
          <w:szCs w:val="32"/>
          <w14:textFill>
            <w14:solidFill>
              <w14:schemeClr w14:val="tx1"/>
            </w14:solidFill>
          </w14:textFill>
        </w:rPr>
        <w:softHyphen/>
      </w:r>
      <w:r>
        <w:rPr>
          <w:rFonts w:ascii="Times New Roman" w:hAnsi="Times New Roman" w:eastAsia="仿宋_GB2312" w:cs="Times New Roman"/>
          <w:color w:val="000000" w:themeColor="text1"/>
          <w:sz w:val="32"/>
          <w:szCs w:val="32"/>
          <w14:textFill>
            <w14:solidFill>
              <w14:schemeClr w14:val="tx1"/>
            </w14:solidFill>
          </w14:textFill>
        </w:rPr>
        <w:t>——价格和收费栏目”公布收到的不涉密的相关价格政策文件。2019年对《昆明市发展和改革委员会转发&lt;云南省发展和改革委员会关于公布云南省2019年春季中小学教辅材料零售价格的通知&gt;》（昆发改价格〔2019〕109号）《昆明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发展和改革委员会</w:t>
      </w:r>
      <w:r>
        <w:rPr>
          <w:rFonts w:ascii="Times New Roman" w:hAnsi="Times New Roman" w:eastAsia="仿宋_GB2312" w:cs="Times New Roman"/>
          <w:color w:val="000000" w:themeColor="text1"/>
          <w:sz w:val="32"/>
          <w:szCs w:val="32"/>
          <w14:textFill>
            <w14:solidFill>
              <w14:schemeClr w14:val="tx1"/>
            </w14:solidFill>
          </w14:textFill>
        </w:rPr>
        <w:t>转发&lt;云南省发展和改革委员会关于公布云南省2019年秋季中小学教辅材料零售价格的通知&gt;》 (昆发改价格〔2019〕482号) 《关于转发调整天然气基准门站价格有关文件的通知》（昆发改价格〔2019〕259号）、</w:t>
      </w:r>
      <w:r>
        <w:fldChar w:fldCharType="begin"/>
      </w:r>
      <w:r>
        <w:instrText xml:space="preserve"> HYPERLINK "http://kmpl.gov.cn/c/2019-12-26/3860862.shtml" </w:instrText>
      </w:r>
      <w:r>
        <w:fldChar w:fldCharType="separate"/>
      </w:r>
      <w:r>
        <w:rPr>
          <w:rFonts w:ascii="Times New Roman" w:hAnsi="Times New Roman" w:eastAsia="仿宋_GB2312" w:cs="Times New Roman"/>
          <w:color w:val="000000" w:themeColor="text1"/>
          <w:sz w:val="32"/>
          <w:szCs w:val="32"/>
          <w14:textFill>
            <w14:solidFill>
              <w14:schemeClr w14:val="tx1"/>
            </w14:solidFill>
          </w14:textFill>
        </w:rPr>
        <w:t>昆明市政府定价经营服务性收费目录清单</w:t>
      </w:r>
      <w:r>
        <w:rPr>
          <w:rFonts w:ascii="Times New Roman" w:hAnsi="Times New Roman" w:eastAsia="仿宋_GB2312" w:cs="Times New Roman"/>
          <w:color w:val="000000" w:themeColor="text1"/>
          <w:sz w:val="32"/>
          <w:szCs w:val="32"/>
          <w14:textFill>
            <w14:solidFill>
              <w14:schemeClr w14:val="tx1"/>
            </w14:solidFill>
          </w14:textFill>
        </w:rPr>
        <w:fldChar w:fldCharType="end"/>
      </w:r>
      <w:r>
        <w:rPr>
          <w:rFonts w:ascii="Times New Roman" w:hAnsi="Times New Roman" w:eastAsia="仿宋_GB2312" w:cs="Times New Roman"/>
          <w:color w:val="000000" w:themeColor="text1"/>
          <w:sz w:val="32"/>
          <w:szCs w:val="32"/>
          <w14:textFill>
            <w14:solidFill>
              <w14:schemeClr w14:val="tx1"/>
            </w14:solidFill>
          </w14:textFill>
        </w:rPr>
        <w:t>等进行公开公示。</w:t>
      </w:r>
    </w:p>
    <w:p w14:paraId="07FE2349">
      <w:pPr>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3.定期对全区定点价格监测点部分民生商品监测，并实地走访，形成价格监测情况分析周报，并在“</w:t>
      </w:r>
      <w:r>
        <w:rPr>
          <w:rFonts w:ascii="Times New Roman" w:hAnsi="仿宋_GB2312" w:eastAsia="仿宋_GB2312" w:cs="Times New Roman"/>
          <w:color w:val="000000" w:themeColor="text1"/>
          <w:sz w:val="32"/>
          <w:szCs w:val="32"/>
          <w14:textFill>
            <w14:solidFill>
              <w14:schemeClr w14:val="tx1"/>
            </w14:solidFill>
          </w14:textFill>
        </w:rPr>
        <w:t>盘龙区政府门户网站</w:t>
      </w:r>
      <w:r>
        <w:rPr>
          <w:rFonts w:ascii="Times New Roman" w:hAnsi="Times New Roman" w:eastAsia="仿宋_GB2312" w:cs="Times New Roman"/>
          <w:color w:val="000000" w:themeColor="text1"/>
          <w:sz w:val="32"/>
          <w:szCs w:val="32"/>
          <w14:textFill>
            <w14:solidFill>
              <w14:schemeClr w14:val="tx1"/>
            </w14:solidFill>
          </w14:textFill>
        </w:rPr>
        <w:softHyphen/>
      </w:r>
      <w:r>
        <w:rPr>
          <w:rFonts w:ascii="Times New Roman" w:hAnsi="Times New Roman" w:eastAsia="仿宋_GB2312" w:cs="Times New Roman"/>
          <w:color w:val="000000" w:themeColor="text1"/>
          <w:sz w:val="32"/>
          <w:szCs w:val="32"/>
          <w14:textFill>
            <w14:solidFill>
              <w14:schemeClr w14:val="tx1"/>
            </w14:solidFill>
          </w14:textFill>
        </w:rPr>
        <w:t>——区发改局网页”予以发布。</w:t>
      </w:r>
    </w:p>
    <w:p w14:paraId="78F92FEE">
      <w:pPr>
        <w:spacing w:line="560" w:lineRule="exact"/>
        <w:jc w:val="left"/>
        <w:textAlignment w:val="center"/>
        <w:rPr>
          <w:rFonts w:ascii="Times New Roman" w:hAnsi="Times New Roman" w:eastAsia="楷体_GB2312" w:cs="Times New Roman"/>
          <w:sz w:val="32"/>
          <w:szCs w:val="32"/>
        </w:rPr>
      </w:pPr>
      <w:r>
        <w:rPr>
          <w:rFonts w:ascii="Times New Roman" w:hAnsi="Times New Roman" w:eastAsia="楷体" w:cs="Times New Roman"/>
          <w:sz w:val="32"/>
          <w:szCs w:val="32"/>
        </w:rPr>
        <w:t xml:space="preserve">    </w:t>
      </w:r>
      <w:r>
        <w:rPr>
          <w:rFonts w:ascii="Times New Roman" w:hAnsi="Times New Roman" w:eastAsia="楷体_GB2312" w:cs="Times New Roman"/>
          <w:sz w:val="32"/>
          <w:szCs w:val="32"/>
        </w:rPr>
        <w:t>（四）细化财政信息公开</w:t>
      </w:r>
    </w:p>
    <w:p w14:paraId="1BA22D42">
      <w:pPr>
        <w:spacing w:line="600" w:lineRule="exact"/>
        <w:jc w:val="left"/>
        <w:textAlignment w:val="cente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 w:cs="Times New Roman"/>
          <w:sz w:val="32"/>
          <w:szCs w:val="32"/>
        </w:rPr>
        <w:t xml:space="preserve">    </w:t>
      </w:r>
      <w:r>
        <w:rPr>
          <w:rFonts w:ascii="Times New Roman" w:hAnsi="Times New Roman" w:eastAsia="仿宋_GB2312" w:cs="Times New Roman"/>
          <w:color w:val="000000" w:themeColor="text1"/>
          <w:sz w:val="32"/>
          <w:szCs w:val="32"/>
          <w14:textFill>
            <w14:solidFill>
              <w14:schemeClr w14:val="tx1"/>
            </w14:solidFill>
          </w14:textFill>
        </w:rPr>
        <w:t>按照区财政局要求，结合工作实际，2019年在“</w:t>
      </w:r>
      <w:r>
        <w:rPr>
          <w:rFonts w:ascii="Times New Roman" w:hAnsi="仿宋_GB2312" w:eastAsia="仿宋_GB2312" w:cs="Times New Roman"/>
          <w:color w:val="000000" w:themeColor="text1"/>
          <w:sz w:val="32"/>
          <w:szCs w:val="32"/>
          <w14:textFill>
            <w14:solidFill>
              <w14:schemeClr w14:val="tx1"/>
            </w14:solidFill>
          </w14:textFill>
        </w:rPr>
        <w:t>盘龙区政府门户网站</w:t>
      </w:r>
      <w:r>
        <w:rPr>
          <w:rFonts w:ascii="Times New Roman" w:hAnsi="Times New Roman" w:eastAsia="仿宋_GB2312" w:cs="Times New Roman"/>
          <w:color w:val="000000" w:themeColor="text1"/>
          <w:sz w:val="32"/>
          <w:szCs w:val="32"/>
          <w14:textFill>
            <w14:solidFill>
              <w14:schemeClr w14:val="tx1"/>
            </w14:solidFill>
          </w14:textFill>
        </w:rPr>
        <w:softHyphen/>
      </w:r>
      <w:r>
        <w:rPr>
          <w:rFonts w:ascii="Times New Roman" w:hAnsi="Times New Roman" w:eastAsia="仿宋_GB2312" w:cs="Times New Roman"/>
          <w:color w:val="000000" w:themeColor="text1"/>
          <w:sz w:val="32"/>
          <w:szCs w:val="32"/>
          <w14:textFill>
            <w14:solidFill>
              <w14:schemeClr w14:val="tx1"/>
            </w14:solidFill>
          </w14:textFill>
        </w:rPr>
        <w:t>——区发改局网页”公开昆明市盘龙区发展和改革局关于委托社会专业机构对松华坝水库一级保护区核心区移民搬迁资金进行专项审查的公示、昆明市盘龙区发展和改革局2019年部门预算公开和昆明市盘龙区发展和改革局2018年部门整体支出绩效自评报告。</w:t>
      </w:r>
    </w:p>
    <w:p w14:paraId="48D384CF">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（五）贯彻落实政府信息公开条例，进一步规范依申请公开工作，建立健全接收、登记、办理、答复等流程</w:t>
      </w:r>
    </w:p>
    <w:p w14:paraId="637B9A51">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2019年市民共递交3份《政府信息公开申请表》，我局及时收悉并给予受理。根据《中华人民共和国政府信息公开条例》及《盘龙区依申请公开政府信息工作制度》，将所提申请内容针对性答复。对已在网站公开的信息告知查询地址，对不属于我单位公开范围或不存在的内容，根据我局聘请律师和区政府办信息科的反馈意见，依法依规出具依申请公开政府信息答复书。</w:t>
      </w:r>
    </w:p>
    <w:p w14:paraId="398A839B">
      <w:pPr>
        <w:widowControl/>
        <w:shd w:val="clear" w:color="auto" w:fill="FFFFFF"/>
        <w:spacing w:after="240" w:line="560" w:lineRule="exact"/>
        <w:ind w:firstLine="480"/>
        <w:rPr>
          <w:rFonts w:ascii="Times New Roman" w:hAnsi="Times New Roman" w:eastAsia="黑体" w:cs="Times New Roman"/>
          <w:bCs/>
          <w:color w:val="333333"/>
          <w:kern w:val="0"/>
          <w:sz w:val="32"/>
          <w:szCs w:val="32"/>
        </w:rPr>
      </w:pPr>
      <w:r>
        <w:rPr>
          <w:rFonts w:ascii="Times New Roman" w:hAnsi="黑体" w:eastAsia="黑体" w:cs="Times New Roman"/>
          <w:bCs/>
          <w:color w:val="333333"/>
          <w:kern w:val="0"/>
          <w:sz w:val="32"/>
          <w:szCs w:val="32"/>
        </w:rPr>
        <w:t>二、主动公开政府信息情况</w:t>
      </w:r>
    </w:p>
    <w:tbl>
      <w:tblPr>
        <w:tblStyle w:val="5"/>
        <w:tblW w:w="8140" w:type="dxa"/>
        <w:jc w:val="center"/>
        <w:tblLayout w:type="autofit"/>
        <w:tblCellMar>
          <w:top w:w="0" w:type="dxa"/>
          <w:left w:w="0" w:type="dxa"/>
          <w:bottom w:w="0" w:type="dxa"/>
          <w:right w:w="0" w:type="dxa"/>
        </w:tblCellMar>
      </w:tblPr>
      <w:tblGrid>
        <w:gridCol w:w="3113"/>
        <w:gridCol w:w="1875"/>
        <w:gridCol w:w="6"/>
        <w:gridCol w:w="1160"/>
        <w:gridCol w:w="1986"/>
      </w:tblGrid>
      <w:tr w14:paraId="12F0B71D">
        <w:tblPrEx>
          <w:tblCellMar>
            <w:top w:w="0" w:type="dxa"/>
            <w:left w:w="0" w:type="dxa"/>
            <w:bottom w:w="0" w:type="dxa"/>
            <w:right w:w="0" w:type="dxa"/>
          </w:tblCellMar>
        </w:tblPrEx>
        <w:trPr>
          <w:trHeight w:val="495" w:hRule="atLeast"/>
          <w:jc w:val="center"/>
        </w:trPr>
        <w:tc>
          <w:tcPr>
            <w:tcW w:w="8140"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396F72CC">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第二十条第（一）项</w:t>
            </w:r>
          </w:p>
        </w:tc>
      </w:tr>
      <w:tr w14:paraId="317CAAC7">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7519B57">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2459666">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本年新</w:t>
            </w:r>
            <w:r>
              <w:rPr>
                <w:rFonts w:ascii="Times New Roman" w:hAnsi="Times New Roman" w:eastAsia="宋体" w:cs="Times New Roman"/>
                <w:color w:val="000000"/>
                <w:kern w:val="0"/>
                <w:sz w:val="20"/>
                <w:szCs w:val="20"/>
              </w:rPr>
              <w:br w:type="textWrapping"/>
            </w:r>
            <w:r>
              <w:rPr>
                <w:rFonts w:ascii="Times New Roman" w:hAnsi="宋体" w:eastAsia="宋体" w:cs="Times New Roman"/>
                <w:kern w:val="0"/>
                <w:sz w:val="20"/>
                <w:szCs w:val="20"/>
              </w:rPr>
              <w:t>制作数量</w:t>
            </w:r>
          </w:p>
        </w:tc>
        <w:tc>
          <w:tcPr>
            <w:tcW w:w="116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6DADF96">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本年新</w:t>
            </w:r>
            <w:r>
              <w:rPr>
                <w:rFonts w:ascii="Times New Roman" w:hAnsi="Times New Roman" w:eastAsia="宋体" w:cs="Times New Roman"/>
                <w:color w:val="000000"/>
                <w:kern w:val="0"/>
                <w:sz w:val="20"/>
                <w:szCs w:val="20"/>
              </w:rPr>
              <w:br w:type="textWrapping"/>
            </w:r>
            <w:r>
              <w:rPr>
                <w:rFonts w:ascii="Times New Roman" w:hAnsi="宋体" w:eastAsia="宋体" w:cs="Times New Roman"/>
                <w:kern w:val="0"/>
                <w:sz w:val="20"/>
                <w:szCs w:val="20"/>
              </w:rPr>
              <w:t>公开数量</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124BDA9">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对外公开总数量</w:t>
            </w:r>
          </w:p>
        </w:tc>
      </w:tr>
      <w:tr w14:paraId="61AEC165">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DC71948">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6EC1F4">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11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73FE181">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843C3EE">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r>
      <w:tr w14:paraId="2093C576">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7D15A14">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3795CC1">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11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5161F224">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AF199BE">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r>
      <w:tr w14:paraId="4DE39EDD">
        <w:tblPrEx>
          <w:tblCellMar>
            <w:top w:w="0" w:type="dxa"/>
            <w:left w:w="0" w:type="dxa"/>
            <w:bottom w:w="0" w:type="dxa"/>
            <w:right w:w="0" w:type="dxa"/>
          </w:tblCellMar>
        </w:tblPrEx>
        <w:trPr>
          <w:trHeight w:val="480"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5DB22C25">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第二十条第（五）项</w:t>
            </w:r>
          </w:p>
        </w:tc>
      </w:tr>
      <w:tr w14:paraId="22672F89">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09AE4EF">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4D058DA4">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上一年项目数量</w:t>
            </w:r>
          </w:p>
        </w:tc>
        <w:tc>
          <w:tcPr>
            <w:tcW w:w="116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04AC640">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本年增</w:t>
            </w:r>
            <w:r>
              <w:rPr>
                <w:rFonts w:ascii="Times New Roman" w:hAnsi="Times New Roman" w:eastAsia="宋体" w:cs="Times New Roman"/>
                <w:color w:val="000000"/>
                <w:kern w:val="0"/>
                <w:sz w:val="20"/>
                <w:szCs w:val="20"/>
              </w:rPr>
              <w:t>/</w:t>
            </w:r>
            <w:r>
              <w:rPr>
                <w:rFonts w:ascii="Times New Roman" w:hAnsi="宋体" w:eastAsia="宋体" w:cs="Times New Roman"/>
                <w:color w:val="000000"/>
                <w:kern w:val="0"/>
                <w:sz w:val="20"/>
                <w:szCs w:val="20"/>
              </w:rPr>
              <w:t>减</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29C658E">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处理决定数量</w:t>
            </w:r>
          </w:p>
        </w:tc>
      </w:tr>
      <w:tr w14:paraId="2A5DC7D1">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C8ED3FE">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行政许可</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40072F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9164EF4">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减</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139D98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r w14:paraId="04410F2B">
        <w:tblPrEx>
          <w:tblCellMar>
            <w:top w:w="0" w:type="dxa"/>
            <w:left w:w="0" w:type="dxa"/>
            <w:bottom w:w="0" w:type="dxa"/>
            <w:right w:w="0" w:type="dxa"/>
          </w:tblCellMar>
        </w:tblPrEx>
        <w:trPr>
          <w:trHeight w:val="55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1ECD700">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D971898">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2</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9CDE96">
            <w:pPr>
              <w:widowControl/>
              <w:jc w:val="center"/>
              <w:rPr>
                <w:rFonts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宋体" w:eastAsia="宋体" w:cs="Times New Roman"/>
                <w:color w:val="000000" w:themeColor="text1"/>
                <w:kern w:val="0"/>
                <w:sz w:val="20"/>
                <w:szCs w:val="20"/>
                <w14:textFill>
                  <w14:solidFill>
                    <w14:schemeClr w14:val="tx1"/>
                  </w14:solidFill>
                </w14:textFill>
              </w:rPr>
              <w:t>0</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EF963FB">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r>
      <w:tr w14:paraId="381A85AF">
        <w:tblPrEx>
          <w:tblCellMar>
            <w:top w:w="0" w:type="dxa"/>
            <w:left w:w="0" w:type="dxa"/>
            <w:bottom w:w="0" w:type="dxa"/>
            <w:right w:w="0" w:type="dxa"/>
          </w:tblCellMar>
        </w:tblPrEx>
        <w:trPr>
          <w:trHeight w:val="40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D14CD75">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第二十条第（六）项</w:t>
            </w:r>
          </w:p>
        </w:tc>
      </w:tr>
      <w:tr w14:paraId="0E26F6B8">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2946B30">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7C8CBAB3">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上一年项目数量</w:t>
            </w:r>
          </w:p>
        </w:tc>
        <w:tc>
          <w:tcPr>
            <w:tcW w:w="1166"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1F9A0DB">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本年增</w:t>
            </w:r>
            <w:r>
              <w:rPr>
                <w:rFonts w:ascii="Times New Roman" w:hAnsi="Times New Roman" w:eastAsia="宋体" w:cs="Times New Roman"/>
                <w:color w:val="000000"/>
                <w:kern w:val="0"/>
                <w:sz w:val="20"/>
                <w:szCs w:val="20"/>
              </w:rPr>
              <w:t>/</w:t>
            </w:r>
            <w:r>
              <w:rPr>
                <w:rFonts w:ascii="Times New Roman" w:hAnsi="宋体" w:eastAsia="宋体" w:cs="Times New Roman"/>
                <w:color w:val="000000"/>
                <w:kern w:val="0"/>
                <w:sz w:val="20"/>
                <w:szCs w:val="20"/>
              </w:rPr>
              <w:t>减</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B51DBA9">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处理决定数量</w:t>
            </w:r>
          </w:p>
        </w:tc>
      </w:tr>
      <w:tr w14:paraId="48703356">
        <w:tblPrEx>
          <w:tblCellMar>
            <w:top w:w="0" w:type="dxa"/>
            <w:left w:w="0" w:type="dxa"/>
            <w:bottom w:w="0" w:type="dxa"/>
            <w:right w:w="0" w:type="dxa"/>
          </w:tblCellMar>
        </w:tblPrEx>
        <w:trPr>
          <w:trHeight w:val="43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0B4F654">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行政处罚</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7CE0FF5">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11</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01F7CD6">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减</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15678AB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r w14:paraId="3AEC9526">
        <w:tblPrEx>
          <w:tblCellMar>
            <w:top w:w="0" w:type="dxa"/>
            <w:left w:w="0" w:type="dxa"/>
            <w:bottom w:w="0" w:type="dxa"/>
            <w:right w:w="0" w:type="dxa"/>
          </w:tblCellMar>
        </w:tblPrEx>
        <w:trPr>
          <w:trHeight w:val="40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A1CDA67">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行政强制</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CA3C65C">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1</w:t>
            </w:r>
          </w:p>
        </w:tc>
        <w:tc>
          <w:tcPr>
            <w:tcW w:w="1160"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7EE8519B">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减</w:t>
            </w:r>
          </w:p>
        </w:tc>
        <w:tc>
          <w:tcPr>
            <w:tcW w:w="1986"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8985D00">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r>
      <w:tr w14:paraId="4C46D0D8">
        <w:tblPrEx>
          <w:tblCellMar>
            <w:top w:w="0" w:type="dxa"/>
            <w:left w:w="0" w:type="dxa"/>
            <w:bottom w:w="0" w:type="dxa"/>
            <w:right w:w="0" w:type="dxa"/>
          </w:tblCellMar>
        </w:tblPrEx>
        <w:trPr>
          <w:trHeight w:val="474"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15B5436">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第二十条第（八）项</w:t>
            </w:r>
          </w:p>
        </w:tc>
      </w:tr>
      <w:tr w14:paraId="0DCBD128">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F5D8E7E">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32E8973">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上一年项目数量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14:paraId="6EEF0850">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本年增</w:t>
            </w:r>
            <w:r>
              <w:rPr>
                <w:rFonts w:ascii="Times New Roman" w:hAnsi="Times New Roman" w:eastAsia="宋体" w:cs="Times New Roman"/>
                <w:color w:val="000000"/>
                <w:kern w:val="0"/>
                <w:sz w:val="20"/>
                <w:szCs w:val="20"/>
              </w:rPr>
              <w:t>/</w:t>
            </w:r>
            <w:r>
              <w:rPr>
                <w:rFonts w:ascii="Times New Roman" w:hAnsi="宋体" w:eastAsia="宋体" w:cs="Times New Roman"/>
                <w:color w:val="000000"/>
                <w:kern w:val="0"/>
                <w:sz w:val="20"/>
                <w:szCs w:val="20"/>
              </w:rPr>
              <w:t>减</w:t>
            </w:r>
          </w:p>
        </w:tc>
      </w:tr>
      <w:tr w14:paraId="54FF73CC">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35D1ACF">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6C0BBC53">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14:paraId="10420D9E">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 0</w:t>
            </w:r>
          </w:p>
        </w:tc>
      </w:tr>
      <w:tr w14:paraId="17039814">
        <w:tblPrEx>
          <w:tblCellMar>
            <w:top w:w="0" w:type="dxa"/>
            <w:left w:w="0" w:type="dxa"/>
            <w:bottom w:w="0" w:type="dxa"/>
            <w:right w:w="0" w:type="dxa"/>
          </w:tblCellMar>
        </w:tblPrEx>
        <w:trPr>
          <w:trHeight w:val="476" w:hRule="atLeast"/>
          <w:jc w:val="center"/>
        </w:trPr>
        <w:tc>
          <w:tcPr>
            <w:tcW w:w="8140"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1E818AD9">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第二十条第（九）项</w:t>
            </w:r>
          </w:p>
        </w:tc>
      </w:tr>
      <w:tr w14:paraId="389F7516">
        <w:tblPrEx>
          <w:tblCellMar>
            <w:top w:w="0" w:type="dxa"/>
            <w:left w:w="0" w:type="dxa"/>
            <w:bottom w:w="0" w:type="dxa"/>
            <w:right w:w="0" w:type="dxa"/>
          </w:tblCellMar>
        </w:tblPrEx>
        <w:trPr>
          <w:trHeight w:val="585"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75A96E9">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1A474EED">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采购项目数量</w:t>
            </w:r>
          </w:p>
        </w:tc>
        <w:tc>
          <w:tcPr>
            <w:tcW w:w="314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14:paraId="519F30A0">
            <w:pPr>
              <w:widowControl/>
              <w:jc w:val="center"/>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采购总金额</w:t>
            </w:r>
          </w:p>
        </w:tc>
      </w:tr>
      <w:tr w14:paraId="4FAD025B">
        <w:tblPrEx>
          <w:tblCellMar>
            <w:top w:w="0" w:type="dxa"/>
            <w:left w:w="0" w:type="dxa"/>
            <w:bottom w:w="0" w:type="dxa"/>
            <w:right w:w="0" w:type="dxa"/>
          </w:tblCellMar>
        </w:tblPrEx>
        <w:trPr>
          <w:trHeight w:val="53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681B497">
            <w:pPr>
              <w:widowControl/>
              <w:jc w:val="left"/>
              <w:rPr>
                <w:rFonts w:ascii="Times New Roman" w:hAnsi="Times New Roman" w:eastAsia="宋体" w:cs="Times New Roman"/>
                <w:kern w:val="0"/>
                <w:sz w:val="24"/>
                <w:szCs w:val="24"/>
              </w:rPr>
            </w:pPr>
            <w:r>
              <w:rPr>
                <w:rFonts w:ascii="Times New Roman" w:hAnsi="宋体" w:eastAsia="宋体" w:cs="Times New Roman"/>
                <w:color w:val="000000"/>
                <w:kern w:val="0"/>
                <w:sz w:val="20"/>
                <w:szCs w:val="20"/>
              </w:rPr>
              <w:t>政府集中采购</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14:paraId="06BFB646">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314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14:paraId="1A61813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bl>
    <w:p w14:paraId="233FBF72">
      <w:pPr>
        <w:widowControl/>
        <w:shd w:val="clear" w:color="auto" w:fill="FFFFFF"/>
        <w:spacing w:after="240"/>
        <w:ind w:firstLine="480"/>
        <w:rPr>
          <w:rFonts w:ascii="Times New Roman" w:hAnsi="Times New Roman" w:eastAsia="黑体" w:cs="Times New Roman"/>
          <w:bCs/>
          <w:color w:val="333333"/>
          <w:kern w:val="0"/>
          <w:sz w:val="32"/>
          <w:szCs w:val="32"/>
        </w:rPr>
      </w:pPr>
      <w:r>
        <w:rPr>
          <w:rFonts w:ascii="Times New Roman" w:hAnsi="黑体" w:eastAsia="黑体" w:cs="Times New Roman"/>
          <w:bCs/>
          <w:color w:val="333333"/>
          <w:kern w:val="0"/>
          <w:sz w:val="32"/>
          <w:szCs w:val="32"/>
        </w:rPr>
        <w:t>三、收到和处理政府信息公开申请情况</w:t>
      </w:r>
    </w:p>
    <w:tbl>
      <w:tblPr>
        <w:tblStyle w:val="5"/>
        <w:tblW w:w="9071" w:type="dxa"/>
        <w:jc w:val="center"/>
        <w:tblLayout w:type="autofit"/>
        <w:tblCellMar>
          <w:top w:w="0" w:type="dxa"/>
          <w:left w:w="0" w:type="dxa"/>
          <w:bottom w:w="0" w:type="dxa"/>
          <w:right w:w="0" w:type="dxa"/>
        </w:tblCellMar>
      </w:tblPr>
      <w:tblGrid>
        <w:gridCol w:w="617"/>
        <w:gridCol w:w="854"/>
        <w:gridCol w:w="2086"/>
        <w:gridCol w:w="813"/>
        <w:gridCol w:w="755"/>
        <w:gridCol w:w="755"/>
        <w:gridCol w:w="813"/>
        <w:gridCol w:w="973"/>
        <w:gridCol w:w="711"/>
        <w:gridCol w:w="694"/>
      </w:tblGrid>
      <w:tr w14:paraId="235EC4A1">
        <w:tblPrEx>
          <w:tblCellMar>
            <w:top w:w="0" w:type="dxa"/>
            <w:left w:w="0" w:type="dxa"/>
            <w:bottom w:w="0" w:type="dxa"/>
            <w:right w:w="0" w:type="dxa"/>
          </w:tblCellMar>
        </w:tblPrEx>
        <w:trPr>
          <w:jc w:val="center"/>
        </w:trPr>
        <w:tc>
          <w:tcPr>
            <w:tcW w:w="355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59D508">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（本列数据的勾稽关系为：第一项加第二项之和，等于第三项加第四项之和）</w:t>
            </w:r>
          </w:p>
        </w:tc>
        <w:tc>
          <w:tcPr>
            <w:tcW w:w="551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97FC600">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申请人情况</w:t>
            </w:r>
          </w:p>
        </w:tc>
      </w:tr>
      <w:tr w14:paraId="7AA3E242">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385E54CA">
            <w:pPr>
              <w:widowControl/>
              <w:jc w:val="left"/>
              <w:rPr>
                <w:rFonts w:ascii="Times New Roman" w:hAnsi="Times New Roman" w:eastAsia="宋体" w:cs="Times New Roman"/>
                <w:kern w:val="0"/>
                <w:sz w:val="24"/>
                <w:szCs w:val="24"/>
              </w:rPr>
            </w:pPr>
          </w:p>
        </w:tc>
        <w:tc>
          <w:tcPr>
            <w:tcW w:w="813"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44D7518">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自然人</w:t>
            </w:r>
          </w:p>
        </w:tc>
        <w:tc>
          <w:tcPr>
            <w:tcW w:w="400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4936B3C">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法人或其他组织</w:t>
            </w:r>
          </w:p>
        </w:tc>
        <w:tc>
          <w:tcPr>
            <w:tcW w:w="69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D70C48">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总计</w:t>
            </w:r>
          </w:p>
        </w:tc>
      </w:tr>
      <w:tr w14:paraId="57610559">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single" w:color="auto" w:sz="8" w:space="0"/>
              <w:right w:val="single" w:color="auto" w:sz="8" w:space="0"/>
            </w:tcBorders>
            <w:vAlign w:val="center"/>
          </w:tcPr>
          <w:p w14:paraId="2AB3375C">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0317F1B0">
            <w:pPr>
              <w:widowControl/>
              <w:jc w:val="left"/>
              <w:rPr>
                <w:rFonts w:ascii="Times New Roman" w:hAnsi="Times New Roman" w:eastAsia="宋体" w:cs="Times New Roman"/>
                <w:kern w:val="0"/>
                <w:sz w:val="24"/>
                <w:szCs w:val="24"/>
              </w:rPr>
            </w:pP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1E1F454">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商业企业</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6667DDE">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科研机构</w:t>
            </w:r>
          </w:p>
        </w:tc>
        <w:tc>
          <w:tcPr>
            <w:tcW w:w="81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C8777BE">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社会公益组织</w:t>
            </w:r>
          </w:p>
        </w:tc>
        <w:tc>
          <w:tcPr>
            <w:tcW w:w="97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C7540A">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法律服务机构</w:t>
            </w:r>
          </w:p>
        </w:tc>
        <w:tc>
          <w:tcPr>
            <w:tcW w:w="71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7EAA19">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14:paraId="2CF26E0A">
            <w:pPr>
              <w:widowControl/>
              <w:jc w:val="left"/>
              <w:rPr>
                <w:rFonts w:ascii="Times New Roman" w:hAnsi="Times New Roman" w:eastAsia="宋体" w:cs="Times New Roman"/>
                <w:kern w:val="0"/>
                <w:sz w:val="24"/>
                <w:szCs w:val="24"/>
              </w:rPr>
            </w:pPr>
          </w:p>
        </w:tc>
      </w:tr>
      <w:tr w14:paraId="7F8A925A">
        <w:tblPrEx>
          <w:tblCellMar>
            <w:top w:w="0" w:type="dxa"/>
            <w:left w:w="0" w:type="dxa"/>
            <w:bottom w:w="0" w:type="dxa"/>
            <w:right w:w="0" w:type="dxa"/>
          </w:tblCellMar>
        </w:tblPrEx>
        <w:trPr>
          <w:jc w:val="center"/>
        </w:trPr>
        <w:tc>
          <w:tcPr>
            <w:tcW w:w="355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29B3A82">
            <w:pPr>
              <w:widowControl/>
              <w:jc w:val="left"/>
              <w:rPr>
                <w:rFonts w:ascii="Times New Roman" w:hAnsi="Times New Roman" w:eastAsia="宋体" w:cs="Times New Roman"/>
                <w:kern w:val="0"/>
                <w:sz w:val="24"/>
                <w:szCs w:val="24"/>
              </w:rPr>
            </w:pPr>
            <w:r>
              <w:rPr>
                <w:rFonts w:ascii="Times New Roman" w:hAnsi="宋体" w:eastAsia="宋体" w:cs="Times New Roman"/>
                <w:kern w:val="0"/>
                <w:sz w:val="20"/>
                <w:szCs w:val="20"/>
              </w:rPr>
              <w:t>一、本年新收政府信息公开申请数量</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57815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2</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810D4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46E8D9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94B685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79FCEAF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660943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2902B6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3</w:t>
            </w:r>
          </w:p>
        </w:tc>
      </w:tr>
      <w:tr w14:paraId="52C0942C">
        <w:tblPrEx>
          <w:tblCellMar>
            <w:top w:w="0" w:type="dxa"/>
            <w:left w:w="0" w:type="dxa"/>
            <w:bottom w:w="0" w:type="dxa"/>
            <w:right w:w="0" w:type="dxa"/>
          </w:tblCellMar>
        </w:tblPrEx>
        <w:trPr>
          <w:jc w:val="center"/>
        </w:trPr>
        <w:tc>
          <w:tcPr>
            <w:tcW w:w="355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188DA30">
            <w:pPr>
              <w:widowControl/>
              <w:jc w:val="left"/>
              <w:rPr>
                <w:rFonts w:ascii="Times New Roman" w:hAnsi="Times New Roman" w:eastAsia="宋体" w:cs="Times New Roman"/>
                <w:kern w:val="0"/>
                <w:sz w:val="24"/>
                <w:szCs w:val="24"/>
              </w:rPr>
            </w:pPr>
            <w:r>
              <w:rPr>
                <w:rFonts w:ascii="Times New Roman" w:hAnsi="宋体" w:eastAsia="宋体" w:cs="Times New Roman"/>
                <w:kern w:val="0"/>
                <w:sz w:val="20"/>
                <w:szCs w:val="20"/>
              </w:rPr>
              <w:t>二、上年结转政府信息公开申请数量</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216680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9A1C21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13357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0FFF99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B45423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8F7D97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4CFF87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7BAD3BFA">
        <w:tblPrEx>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CFE5BB">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三、本年度办理结果</w:t>
            </w: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DCFB476">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（一）予以公开</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12B5AB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74101E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5401CDD">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8175EA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9EE9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4BF72A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262E3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r>
      <w:tr w14:paraId="7C8767B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9E56C4C">
            <w:pPr>
              <w:widowControl/>
              <w:jc w:val="left"/>
              <w:rPr>
                <w:rFonts w:ascii="Times New Roman" w:hAnsi="Times New Roman" w:eastAsia="宋体" w:cs="Times New Roman"/>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B3EC731">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（二）部分公开（区分处理的，只计这一情形，不计其他情形）</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A3EC21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6AC1A2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3071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23A5DA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A0F7C9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F6F3C8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11D3D26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6118787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BC7BA52">
            <w:pPr>
              <w:widowControl/>
              <w:jc w:val="left"/>
              <w:rPr>
                <w:rFonts w:ascii="Times New Roman" w:hAnsi="Times New Roman" w:eastAsia="宋体" w:cs="Times New Roman"/>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75E801C">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（三）不予公开</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8DAEE30">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1.属于国家秘密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7B1EB1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3079A1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FABF5D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AFF20AD">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22F084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E9E05D">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3EED71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1E080FB1">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6BC7DB89">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32C019A3">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16CDC39">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2.其他法律行政法规禁止公开</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A0102D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11CAB8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8D9C66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2F6BF8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7A14CF7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186D17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E03306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432788F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0265DE2">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418300AB">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66E2EF">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3.危及“三安全一稳定”</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376727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093980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48859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87BA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902574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1F106D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2BC0D0F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230CD64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AF8EEA7">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0E054C5C">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5BFA72E">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4.保护第三方合法权益</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5A867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7B9E57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763B41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6EB410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3865FCA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4C507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424D37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160CAB9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E9A28DB">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21F666AC">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CB92210">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5.属于三类内部事务信息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A057E6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2D07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C706A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84F6C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34FE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1098749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D4842D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55B1A95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9EC8988">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70617691">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533D7914">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6.属于四类过程性信息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BC806A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792426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F2D5C0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7DA85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34CEEBD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2BEFE8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997FFC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1E48BA9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ED3D513">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008F01EC">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2AE9D61B">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7.属于行政执法案卷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1BBC62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400DC3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DD6482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16244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92701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5122CCD">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03AC1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060587C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6CC78F2">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546BF2D3">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78F034EE">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8.属于行政查询事项</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3C2DF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815035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DD5B13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16E378FD">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FCB5E7D">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A31E01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230483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6ABB9CFD">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2C91FFE">
            <w:pPr>
              <w:widowControl/>
              <w:jc w:val="left"/>
              <w:rPr>
                <w:rFonts w:ascii="Times New Roman" w:hAnsi="Times New Roman" w:eastAsia="宋体" w:cs="Times New Roman"/>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6CF8653">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（四）无法提供</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47B4E1EE">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1.本机关不掌握相关政府信息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EDEF4B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A946FD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5210FB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08E6CF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0F631F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5F7B01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81CC99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r>
      <w:tr w14:paraId="33D7C207">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3475593">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05502DCA">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703B67A">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2.没有现成信息需要另行制作</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2ADE39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4024F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011D07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A89BDE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BA0C68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0A43CA0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500875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2B3029B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CBA16C7">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6D252D51">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F2101">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3.补正后申请内容仍不明确</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0A632E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4A294D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EFF051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9C31A0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7C0EEE3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2280AF2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FAF587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109C6D6E">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D330195">
            <w:pPr>
              <w:widowControl/>
              <w:jc w:val="left"/>
              <w:rPr>
                <w:rFonts w:ascii="Times New Roman" w:hAnsi="Times New Roman" w:eastAsia="宋体" w:cs="Times New Roman"/>
                <w:kern w:val="0"/>
                <w:sz w:val="24"/>
                <w:szCs w:val="24"/>
              </w:rPr>
            </w:pPr>
          </w:p>
        </w:tc>
        <w:tc>
          <w:tcPr>
            <w:tcW w:w="85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FB6E3A1">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（五）不予处理</w:t>
            </w: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067FC2F">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1.信访举报投诉类申请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FEBC6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E0D5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4B18A28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97E008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FAC30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2DE022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3AF9FA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39018EF3">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2050813">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4EFFAF2E">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686598F4">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2.重复申请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F319F1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2D0DD9B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7ECD3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A9E3B0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4636FEC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958E0B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39F4CE9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r>
      <w:tr w14:paraId="31673A14">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340FEDF3">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62618E03">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0443C245">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3.要求提供公开出版物</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EF0883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184217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0C4054D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1A9E9D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5217A56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DDF8A1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FA8B3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1F91592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BD3A4C3">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404A1218">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107A5512">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4.无正当理由大量反复申请</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DB29EF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1DCEF3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155E7C8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4D5FC94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E402A9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7C439B26">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7DD2262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32C37775">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8D5C9A5">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30683F25">
            <w:pPr>
              <w:widowControl/>
              <w:jc w:val="left"/>
              <w:rPr>
                <w:rFonts w:ascii="Times New Roman" w:hAnsi="Times New Roman" w:eastAsia="宋体" w:cs="Times New Roman"/>
                <w:kern w:val="0"/>
                <w:sz w:val="24"/>
                <w:szCs w:val="24"/>
              </w:rPr>
            </w:pPr>
          </w:p>
        </w:tc>
        <w:tc>
          <w:tcPr>
            <w:tcW w:w="2086" w:type="dxa"/>
            <w:tcBorders>
              <w:top w:val="nil"/>
              <w:left w:val="nil"/>
              <w:bottom w:val="single" w:color="auto" w:sz="8" w:space="0"/>
              <w:right w:val="single" w:color="auto" w:sz="8" w:space="0"/>
            </w:tcBorders>
            <w:tcMar>
              <w:top w:w="0" w:type="dxa"/>
              <w:left w:w="108" w:type="dxa"/>
              <w:bottom w:w="0" w:type="dxa"/>
              <w:right w:w="108" w:type="dxa"/>
            </w:tcMar>
            <w:vAlign w:val="center"/>
          </w:tcPr>
          <w:p w14:paraId="3A4D35C3">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5.要求行政机关确认或重新出具已获取信息</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9D2108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5F6B83C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182687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9764F3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2254860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55B300D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D690A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0B8CB10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54666A0E">
            <w:pPr>
              <w:widowControl/>
              <w:jc w:val="left"/>
              <w:rPr>
                <w:rFonts w:ascii="Times New Roman" w:hAnsi="Times New Roman" w:eastAsia="宋体" w:cs="Times New Roman"/>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36548F6E">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（六）其他处理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39325F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CEDFE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86DCA3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3DF497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358A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37DCC87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8C147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r w14:paraId="0F46AD5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574BAEE">
            <w:pPr>
              <w:widowControl/>
              <w:jc w:val="left"/>
              <w:rPr>
                <w:rFonts w:ascii="Times New Roman" w:hAnsi="Times New Roman" w:eastAsia="宋体" w:cs="Times New Roman"/>
                <w:kern w:val="0"/>
                <w:sz w:val="24"/>
                <w:szCs w:val="24"/>
              </w:rPr>
            </w:pPr>
          </w:p>
        </w:tc>
        <w:tc>
          <w:tcPr>
            <w:tcW w:w="294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113C086C">
            <w:pPr>
              <w:widowControl/>
              <w:jc w:val="left"/>
              <w:rPr>
                <w:rFonts w:ascii="Times New Roman" w:hAnsi="Times New Roman" w:eastAsia="宋体" w:cs="Times New Roman"/>
                <w:kern w:val="0"/>
                <w:sz w:val="24"/>
                <w:szCs w:val="24"/>
              </w:rPr>
            </w:pPr>
            <w:r>
              <w:rPr>
                <w:rFonts w:ascii="Times New Roman" w:hAnsi="Times New Roman" w:eastAsia="楷体" w:cs="Times New Roman"/>
                <w:kern w:val="0"/>
                <w:sz w:val="20"/>
                <w:szCs w:val="20"/>
              </w:rPr>
              <w:t>（七）总计</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79B5394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2</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6CCFDA9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1</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A0C44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0DE629C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1FD6055B">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664B8F1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25FB5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3</w:t>
            </w:r>
          </w:p>
        </w:tc>
      </w:tr>
      <w:tr w14:paraId="6FDEF19B">
        <w:tblPrEx>
          <w:tblCellMar>
            <w:top w:w="0" w:type="dxa"/>
            <w:left w:w="0" w:type="dxa"/>
            <w:bottom w:w="0" w:type="dxa"/>
            <w:right w:w="0" w:type="dxa"/>
          </w:tblCellMar>
        </w:tblPrEx>
        <w:trPr>
          <w:jc w:val="center"/>
        </w:trPr>
        <w:tc>
          <w:tcPr>
            <w:tcW w:w="355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D7101D">
            <w:pPr>
              <w:widowControl/>
              <w:jc w:val="left"/>
              <w:rPr>
                <w:rFonts w:ascii="Times New Roman" w:hAnsi="Times New Roman" w:eastAsia="宋体" w:cs="Times New Roman"/>
                <w:kern w:val="0"/>
                <w:sz w:val="24"/>
                <w:szCs w:val="24"/>
              </w:rPr>
            </w:pPr>
            <w:r>
              <w:rPr>
                <w:rFonts w:ascii="Times New Roman" w:hAnsi="宋体" w:eastAsia="宋体" w:cs="Times New Roman"/>
                <w:kern w:val="0"/>
                <w:sz w:val="20"/>
                <w:szCs w:val="20"/>
              </w:rPr>
              <w:t>四、结转下年度继续办理</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22EEB09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DD86B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55" w:type="dxa"/>
            <w:tcBorders>
              <w:top w:val="nil"/>
              <w:left w:val="nil"/>
              <w:bottom w:val="single" w:color="auto" w:sz="8" w:space="0"/>
              <w:right w:val="single" w:color="auto" w:sz="8" w:space="0"/>
            </w:tcBorders>
            <w:tcMar>
              <w:top w:w="0" w:type="dxa"/>
              <w:left w:w="108" w:type="dxa"/>
              <w:bottom w:w="0" w:type="dxa"/>
              <w:right w:w="108" w:type="dxa"/>
            </w:tcMar>
            <w:vAlign w:val="center"/>
          </w:tcPr>
          <w:p w14:paraId="7CA6C4F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8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64ADE4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973" w:type="dxa"/>
            <w:tcBorders>
              <w:top w:val="nil"/>
              <w:left w:val="nil"/>
              <w:bottom w:val="single" w:color="auto" w:sz="8" w:space="0"/>
              <w:right w:val="single" w:color="auto" w:sz="8" w:space="0"/>
            </w:tcBorders>
            <w:tcMar>
              <w:top w:w="0" w:type="dxa"/>
              <w:left w:w="108" w:type="dxa"/>
              <w:bottom w:w="0" w:type="dxa"/>
              <w:right w:w="108" w:type="dxa"/>
            </w:tcMar>
            <w:vAlign w:val="center"/>
          </w:tcPr>
          <w:p w14:paraId="2CE6F2F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711" w:type="dxa"/>
            <w:tcBorders>
              <w:top w:val="nil"/>
              <w:left w:val="nil"/>
              <w:bottom w:val="single" w:color="auto" w:sz="8" w:space="0"/>
              <w:right w:val="single" w:color="auto" w:sz="8" w:space="0"/>
            </w:tcBorders>
            <w:tcMar>
              <w:top w:w="0" w:type="dxa"/>
              <w:left w:w="108" w:type="dxa"/>
              <w:bottom w:w="0" w:type="dxa"/>
              <w:right w:w="108" w:type="dxa"/>
            </w:tcMar>
            <w:vAlign w:val="center"/>
          </w:tcPr>
          <w:p w14:paraId="4382A49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94" w:type="dxa"/>
            <w:tcBorders>
              <w:top w:val="nil"/>
              <w:left w:val="nil"/>
              <w:bottom w:val="single" w:color="auto" w:sz="8" w:space="0"/>
              <w:right w:val="single" w:color="auto" w:sz="8" w:space="0"/>
            </w:tcBorders>
            <w:tcMar>
              <w:top w:w="0" w:type="dxa"/>
              <w:left w:w="108" w:type="dxa"/>
              <w:bottom w:w="0" w:type="dxa"/>
              <w:right w:w="108" w:type="dxa"/>
            </w:tcMar>
            <w:vAlign w:val="center"/>
          </w:tcPr>
          <w:p w14:paraId="5C5634E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r>
    </w:tbl>
    <w:p w14:paraId="24E20E54">
      <w:pPr>
        <w:widowControl/>
        <w:shd w:val="clear" w:color="auto" w:fill="FFFFFF"/>
        <w:spacing w:after="240"/>
        <w:ind w:firstLine="480"/>
        <w:rPr>
          <w:rFonts w:ascii="Times New Roman" w:hAnsi="Times New Roman" w:eastAsia="宋体" w:cs="Times New Roman"/>
          <w:color w:val="333333"/>
          <w:kern w:val="0"/>
          <w:sz w:val="24"/>
          <w:szCs w:val="24"/>
        </w:rPr>
      </w:pPr>
      <w:r>
        <w:rPr>
          <w:rFonts w:ascii="Times New Roman" w:hAnsi="黑体" w:eastAsia="黑体" w:cs="Times New Roman"/>
          <w:bCs/>
          <w:color w:val="333333"/>
          <w:kern w:val="0"/>
          <w:sz w:val="32"/>
          <w:szCs w:val="32"/>
        </w:rPr>
        <w:t>四、政府信息公开行政复议、行政诉讼情况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04B7E5D">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5769EA">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69E1C86">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行政诉讼</w:t>
            </w:r>
          </w:p>
        </w:tc>
      </w:tr>
      <w:tr w14:paraId="0E7E412C">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A8B997">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060F1224">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9A7502">
            <w:pPr>
              <w:widowControl/>
              <w:jc w:val="center"/>
              <w:rPr>
                <w:rFonts w:ascii="Times New Roman" w:hAnsi="Times New Roman" w:eastAsia="宋体" w:cs="Times New Roman"/>
                <w:kern w:val="0"/>
                <w:sz w:val="24"/>
                <w:szCs w:val="24"/>
              </w:rPr>
            </w:pPr>
            <w:r>
              <w:rPr>
                <w:rFonts w:ascii="Times New Roman" w:hAnsi="宋体" w:eastAsia="宋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30CEC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4C7964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CA1D207">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B4E78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复议后起诉</w:t>
            </w:r>
          </w:p>
        </w:tc>
      </w:tr>
      <w:tr w14:paraId="1A0DC1B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0D50F906">
            <w:pPr>
              <w:widowControl/>
              <w:jc w:val="left"/>
              <w:rPr>
                <w:rFonts w:ascii="Times New Roman" w:hAnsi="Times New Roman" w:eastAsia="宋体" w:cs="Times New Roman"/>
                <w:kern w:val="0"/>
                <w:sz w:val="24"/>
                <w:szCs w:val="24"/>
              </w:rPr>
            </w:pPr>
          </w:p>
        </w:tc>
        <w:tc>
          <w:tcPr>
            <w:tcW w:w="0" w:type="auto"/>
            <w:vMerge w:val="continue"/>
            <w:tcBorders>
              <w:top w:val="nil"/>
              <w:left w:val="nil"/>
              <w:bottom w:val="single" w:color="auto" w:sz="8" w:space="0"/>
              <w:right w:val="single" w:color="auto" w:sz="8" w:space="0"/>
            </w:tcBorders>
            <w:vAlign w:val="center"/>
          </w:tcPr>
          <w:p w14:paraId="2818743D">
            <w:pPr>
              <w:widowControl/>
              <w:jc w:val="left"/>
              <w:rPr>
                <w:rFonts w:ascii="Times New Roman" w:hAnsi="Times New Roman" w:eastAsia="宋体" w:cs="Times New Roman"/>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1E9FF99">
            <w:pPr>
              <w:widowControl/>
              <w:jc w:val="left"/>
              <w:rPr>
                <w:rFonts w:ascii="Times New Roman" w:hAnsi="Times New Roman" w:eastAsia="宋体" w:cs="Times New Roman"/>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6AC47B9F">
            <w:pPr>
              <w:widowControl/>
              <w:jc w:val="left"/>
              <w:rPr>
                <w:rFonts w:ascii="Times New Roman" w:hAnsi="Times New Roman" w:eastAsia="宋体" w:cs="Times New Roman"/>
                <w:kern w:val="0"/>
                <w:sz w:val="24"/>
                <w:szCs w:val="24"/>
              </w:rPr>
            </w:pPr>
          </w:p>
        </w:tc>
        <w:tc>
          <w:tcPr>
            <w:tcW w:w="0" w:type="auto"/>
            <w:vMerge w:val="continue"/>
            <w:tcBorders>
              <w:top w:val="single" w:color="auto" w:sz="8" w:space="0"/>
              <w:left w:val="nil"/>
              <w:bottom w:val="single" w:color="auto" w:sz="8" w:space="0"/>
              <w:right w:val="single" w:color="auto" w:sz="8" w:space="0"/>
            </w:tcBorders>
            <w:vAlign w:val="center"/>
          </w:tcPr>
          <w:p w14:paraId="5AFDD54D">
            <w:pPr>
              <w:widowControl/>
              <w:jc w:val="left"/>
              <w:rPr>
                <w:rFonts w:ascii="Times New Roman" w:hAnsi="Times New Roman" w:eastAsia="宋体" w:cs="Times New Roman"/>
                <w:kern w:val="0"/>
                <w:sz w:val="24"/>
                <w:szCs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0980935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FB295F1">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826BD1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2004715">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46E871">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F41A994">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540BB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A59116A">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28E430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F1B376">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总计</w:t>
            </w:r>
          </w:p>
        </w:tc>
      </w:tr>
      <w:tr w14:paraId="62EE5608">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BEE95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2CE775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57A1BD2C">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0024B10">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7A9001B8">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1F58CDA">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5360CC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791ABFF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AA603">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1BB694B">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DA4B6E">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657AC12">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AB803DF">
            <w:pPr>
              <w:widowControl/>
              <w:jc w:val="center"/>
              <w:rPr>
                <w:rFonts w:ascii="Times New Roman" w:hAnsi="Times New Roman" w:eastAsia="宋体" w:cs="Times New Roman"/>
                <w:kern w:val="0"/>
                <w:sz w:val="24"/>
                <w:szCs w:val="24"/>
              </w:rPr>
            </w:pPr>
            <w:r>
              <w:rPr>
                <w:rFonts w:ascii="Times New Roman" w:hAnsi="Times New Roman" w:eastAsia="宋体" w:cs="Times New Roman"/>
                <w:color w:val="000000"/>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150719BF">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0"/>
                <w:szCs w:val="20"/>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720FE179">
            <w:pPr>
              <w:widowControl/>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0</w:t>
            </w:r>
          </w:p>
        </w:tc>
      </w:tr>
    </w:tbl>
    <w:p w14:paraId="78C88D97">
      <w:pPr>
        <w:widowControl/>
        <w:shd w:val="clear" w:color="auto" w:fill="FFFFFF"/>
        <w:jc w:val="center"/>
        <w:rPr>
          <w:rFonts w:ascii="宋体" w:hAnsi="宋体" w:eastAsia="宋体" w:cs="宋体"/>
          <w:color w:val="333333"/>
          <w:kern w:val="0"/>
          <w:sz w:val="24"/>
          <w:szCs w:val="24"/>
        </w:rPr>
      </w:pPr>
    </w:p>
    <w:p w14:paraId="0E987BF9">
      <w:pPr>
        <w:widowControl/>
        <w:shd w:val="clear" w:color="auto" w:fill="FFFFFF"/>
        <w:ind w:firstLine="480"/>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五、存在的主要问题及改进情况</w:t>
      </w:r>
    </w:p>
    <w:p w14:paraId="18DBB0C1">
      <w:pPr>
        <w:widowControl/>
        <w:shd w:val="clear" w:color="auto" w:fill="FFFFFF"/>
        <w:spacing w:line="600" w:lineRule="exact"/>
        <w:ind w:firstLine="482"/>
        <w:rPr>
          <w:rFonts w:ascii="黑体" w:hAnsi="黑体" w:eastAsia="黑体" w:cs="宋体"/>
          <w:bCs/>
          <w:color w:val="333333"/>
          <w:kern w:val="0"/>
          <w:sz w:val="32"/>
          <w:szCs w:val="32"/>
        </w:rPr>
      </w:pPr>
      <w:r>
        <w:rPr>
          <w:rFonts w:hint="eastAsia" w:ascii="仿宋_GB2312" w:hAnsi="Times New Roman" w:eastAsia="仿宋_GB2312" w:cs="仿宋_GB2312"/>
          <w:sz w:val="32"/>
          <w:szCs w:val="32"/>
        </w:rPr>
        <w:t>需要区发展改革局公开和维护的栏目及信息较多，而我局由于人员较少，信息维护人员往往身兼多职，且信息公开公示工作往往时效性较强、文稿质量要求较高，有时存在难以应付现象。下一步，我局将在人少事多的情况下，加强各科室人员配合，提高信息业务工作能力和水平。</w:t>
      </w:r>
    </w:p>
    <w:p w14:paraId="29C122ED">
      <w:pPr>
        <w:widowControl/>
        <w:shd w:val="clear" w:color="auto" w:fill="FFFFFF"/>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 xml:space="preserve">    六、其他需要报告的事项</w:t>
      </w:r>
    </w:p>
    <w:p w14:paraId="4C3598B3">
      <w:pPr>
        <w:spacing w:line="600" w:lineRule="exact"/>
        <w:ind w:firstLine="640" w:firstLineChars="200"/>
        <w:jc w:val="left"/>
        <w:rPr>
          <w:rFonts w:ascii="仿宋_GB2312" w:eastAsia="仿宋_GB2312"/>
          <w:sz w:val="32"/>
          <w:szCs w:val="32"/>
        </w:rPr>
      </w:pPr>
      <w:r>
        <w:rPr>
          <w:rFonts w:hint="eastAsia" w:ascii="楷体" w:hAnsi="楷体" w:eastAsia="楷体" w:cs="楷体_GB2312"/>
          <w:sz w:val="32"/>
          <w:szCs w:val="32"/>
        </w:rPr>
        <w:t>无</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39732"/>
      <w:docPartObj>
        <w:docPartGallery w:val="autotext"/>
      </w:docPartObj>
    </w:sdtPr>
    <w:sdtEndPr>
      <w:rPr>
        <w:rFonts w:ascii="Times New Roman" w:hAnsi="Times New Roman" w:cs="Times New Roman"/>
        <w:sz w:val="28"/>
        <w:szCs w:val="28"/>
      </w:rPr>
    </w:sdtEndPr>
    <w:sdtContent>
      <w:p w14:paraId="5AFE1F20">
        <w:pPr>
          <w:pStyle w:val="2"/>
          <w:jc w:val="right"/>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14:paraId="65303BB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939733"/>
      <w:docPartObj>
        <w:docPartGallery w:val="autotext"/>
      </w:docPartObj>
    </w:sdtPr>
    <w:sdtEndPr>
      <w:rPr>
        <w:rFonts w:ascii="Times New Roman" w:hAnsi="Times New Roman" w:cs="Times New Roman"/>
        <w:sz w:val="28"/>
        <w:szCs w:val="28"/>
      </w:rPr>
    </w:sdtEndPr>
    <w:sdtContent>
      <w:p w14:paraId="21EF8A5A">
        <w:pPr>
          <w:pStyle w:val="2"/>
          <w:rPr>
            <w:rFonts w:ascii="Times New Roman" w:hAnsi="Times New Roman" w:cs="Times New Roman"/>
            <w:sz w:val="28"/>
            <w:szCs w:val="28"/>
          </w:rPr>
        </w:pPr>
        <w:r>
          <w:rPr>
            <w:rFonts w:ascii="Times New Roman" w:hAnsi="Times New Roman" w:cs="Times New Roman"/>
            <w:sz w:val="28"/>
            <w:szCs w:val="28"/>
          </w:rPr>
          <w:t>—</w:t>
        </w:r>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14:paraId="28860E5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F71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9A"/>
    <w:rsid w:val="0003286F"/>
    <w:rsid w:val="0004559A"/>
    <w:rsid w:val="00057374"/>
    <w:rsid w:val="000B643F"/>
    <w:rsid w:val="000C23F4"/>
    <w:rsid w:val="000C2AD0"/>
    <w:rsid w:val="000F0E3D"/>
    <w:rsid w:val="00101D45"/>
    <w:rsid w:val="00103807"/>
    <w:rsid w:val="001520D2"/>
    <w:rsid w:val="0016300E"/>
    <w:rsid w:val="001B277D"/>
    <w:rsid w:val="001F49ED"/>
    <w:rsid w:val="00222C10"/>
    <w:rsid w:val="00252E77"/>
    <w:rsid w:val="00255AA8"/>
    <w:rsid w:val="00260D29"/>
    <w:rsid w:val="0026206D"/>
    <w:rsid w:val="002E22FC"/>
    <w:rsid w:val="002E7A0F"/>
    <w:rsid w:val="002F0A9D"/>
    <w:rsid w:val="00323C7B"/>
    <w:rsid w:val="003500E2"/>
    <w:rsid w:val="00355BCC"/>
    <w:rsid w:val="003A3807"/>
    <w:rsid w:val="003E6B88"/>
    <w:rsid w:val="00426338"/>
    <w:rsid w:val="00482580"/>
    <w:rsid w:val="00482A05"/>
    <w:rsid w:val="004B4A74"/>
    <w:rsid w:val="004D7918"/>
    <w:rsid w:val="00525D8A"/>
    <w:rsid w:val="0053682E"/>
    <w:rsid w:val="005A5EBE"/>
    <w:rsid w:val="0060331C"/>
    <w:rsid w:val="00624E39"/>
    <w:rsid w:val="006303B2"/>
    <w:rsid w:val="00691BF2"/>
    <w:rsid w:val="007026B6"/>
    <w:rsid w:val="007215A8"/>
    <w:rsid w:val="007321D2"/>
    <w:rsid w:val="0075394E"/>
    <w:rsid w:val="0077683B"/>
    <w:rsid w:val="007A54C8"/>
    <w:rsid w:val="007A5C12"/>
    <w:rsid w:val="007B6187"/>
    <w:rsid w:val="00802F38"/>
    <w:rsid w:val="008243C4"/>
    <w:rsid w:val="0086214D"/>
    <w:rsid w:val="00870B43"/>
    <w:rsid w:val="00871CB0"/>
    <w:rsid w:val="008A072F"/>
    <w:rsid w:val="008A3E9A"/>
    <w:rsid w:val="008C1F16"/>
    <w:rsid w:val="008C3E22"/>
    <w:rsid w:val="00961EC3"/>
    <w:rsid w:val="00982E35"/>
    <w:rsid w:val="009A09AE"/>
    <w:rsid w:val="009A2AFB"/>
    <w:rsid w:val="009B5A4E"/>
    <w:rsid w:val="009C5E36"/>
    <w:rsid w:val="009D5310"/>
    <w:rsid w:val="00A241FA"/>
    <w:rsid w:val="00A8417C"/>
    <w:rsid w:val="00A84D21"/>
    <w:rsid w:val="00AE3E6E"/>
    <w:rsid w:val="00AE4541"/>
    <w:rsid w:val="00B12F2B"/>
    <w:rsid w:val="00B3631D"/>
    <w:rsid w:val="00B81FDD"/>
    <w:rsid w:val="00BC0860"/>
    <w:rsid w:val="00BD1E1F"/>
    <w:rsid w:val="00BD7B77"/>
    <w:rsid w:val="00BE46A5"/>
    <w:rsid w:val="00BE5DA1"/>
    <w:rsid w:val="00BF3465"/>
    <w:rsid w:val="00D01955"/>
    <w:rsid w:val="00D20A50"/>
    <w:rsid w:val="00D7572D"/>
    <w:rsid w:val="00DD7877"/>
    <w:rsid w:val="00E138EA"/>
    <w:rsid w:val="00E40FE1"/>
    <w:rsid w:val="00E76C26"/>
    <w:rsid w:val="00EC49D1"/>
    <w:rsid w:val="00ED3E26"/>
    <w:rsid w:val="00EF2E19"/>
    <w:rsid w:val="00F12911"/>
    <w:rsid w:val="00F27A39"/>
    <w:rsid w:val="00F34363"/>
    <w:rsid w:val="00F541BB"/>
    <w:rsid w:val="00F549FC"/>
    <w:rsid w:val="00F81653"/>
    <w:rsid w:val="00FA500E"/>
    <w:rsid w:val="00FB0EE5"/>
    <w:rsid w:val="00FC41FB"/>
    <w:rsid w:val="00FD7272"/>
    <w:rsid w:val="00FE10A0"/>
    <w:rsid w:val="73C70244"/>
    <w:rsid w:val="7B964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qFormat/>
    <w:uiPriority w:val="0"/>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811A-CB79-419E-BFE2-ADA28498F745}">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2411</Words>
  <Characters>2553</Characters>
  <Lines>29</Lines>
  <Paragraphs>8</Paragraphs>
  <TotalTime>1173</TotalTime>
  <ScaleCrop>false</ScaleCrop>
  <LinksUpToDate>false</LinksUpToDate>
  <CharactersWithSpaces>2578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2019-11-27T07:32:00Z</dcterms:created>
  <dc:creator>Administrator</dc:creator>
  <cp:lastModifiedBy>学而知之</cp:lastModifiedBy>
  <cp:lastPrinted>2020-01-15T05:42:00Z</cp:lastPrinted>
  <dcterms:modified xsi:type="dcterms:W3CDTF">2025-12-16T03:28:52Z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eyJoZGlkIjoiNDlhYTc5NDc4NDUxMTc0YzljM2FkNzNkNjQyOGQ0Y2EiLCJ1c2VySWQiOiIxOTk2MjU0OTkifQ==</vt:lpwstr>
  </property>
  <property fmtid="{D5CDD505-2E9C-101B-9397-08002B2CF9AE}" pid="3" name="KSOProductBuildVer">
    <vt:lpwstr>2052-12.1.0.24034</vt:lpwstr>
  </property>
  <property fmtid="{D5CDD505-2E9C-101B-9397-08002B2CF9AE}" pid="4" name="ICV">
    <vt:lpwstr>761B03C7C9974E099ED5C507CAFC938B_13</vt:lpwstr>
  </property>
</Properties>
</file>