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2FCE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0"/>
          <w:kern w:val="0"/>
          <w:sz w:val="60"/>
          <w:szCs w:val="60"/>
          <w:fitText w:val="8528" w:id="736835110"/>
        </w:rPr>
        <w:t>盘</w:t>
      </w:r>
      <w:r>
        <w:rPr>
          <w:rFonts w:hint="eastAsia" w:ascii="楷体_GB2312" w:hAnsi="华文中宋" w:eastAsia="楷体_GB2312"/>
          <w:color w:val="FF0000"/>
          <w:spacing w:val="0"/>
          <w:w w:val="98"/>
          <w:kern w:val="0"/>
          <w:sz w:val="60"/>
          <w:szCs w:val="60"/>
          <w:fitText w:val="8528" w:id="736835110"/>
        </w:rPr>
        <w:t xml:space="preserve"> 龙 区 市 场 监 督 管 理 局</w:t>
      </w:r>
    </w:p>
    <w:p w14:paraId="4D0CA039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C6C5A7A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甘薯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”等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批次不合格食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eastAsia="zh-CN"/>
        </w:rPr>
        <w:t>用农产品、食品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核查处置工作信息的通告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237591B4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根据国家市场监督管理总局食品抽验信息系统，涉及昆明市盘龙区辖区内食品经营销售的“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甘薯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批次不合格食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用农产品、食品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，现将不合格食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用农产品、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食品核查处置工作信息进行公示（详见附件）。</w:t>
      </w:r>
    </w:p>
    <w:p w14:paraId="7349CA82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广大消费者如发现食品安全违法行为，可拨打12315热线电话投诉举报。</w:t>
      </w:r>
    </w:p>
    <w:p w14:paraId="088B4811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783881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甘薯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批次不合格食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用农产品、食品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核查处置工作信息公示表</w:t>
      </w:r>
    </w:p>
    <w:p w14:paraId="2B73A9F4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F98353C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0CB99A7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盘龙区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市场监督管理局</w:t>
      </w:r>
    </w:p>
    <w:p w14:paraId="34A61D94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527DAF7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8225A08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6582F9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0E"/>
    <w:rsid w:val="0087560E"/>
    <w:rsid w:val="00A313D9"/>
    <w:rsid w:val="00A86AEB"/>
    <w:rsid w:val="035408AB"/>
    <w:rsid w:val="09251C79"/>
    <w:rsid w:val="0CB04387"/>
    <w:rsid w:val="11A5727B"/>
    <w:rsid w:val="15D279D5"/>
    <w:rsid w:val="16D33942"/>
    <w:rsid w:val="195B4F9E"/>
    <w:rsid w:val="1D8D4EE1"/>
    <w:rsid w:val="1F18170E"/>
    <w:rsid w:val="23B66F37"/>
    <w:rsid w:val="24041686"/>
    <w:rsid w:val="25154AA9"/>
    <w:rsid w:val="26494236"/>
    <w:rsid w:val="2AB033FD"/>
    <w:rsid w:val="302A6F98"/>
    <w:rsid w:val="3A9D1B3F"/>
    <w:rsid w:val="3C695EE8"/>
    <w:rsid w:val="3F993108"/>
    <w:rsid w:val="3FBF2D85"/>
    <w:rsid w:val="3FF24C1F"/>
    <w:rsid w:val="400151AB"/>
    <w:rsid w:val="43926AD1"/>
    <w:rsid w:val="4A960FD4"/>
    <w:rsid w:val="4B4C21CB"/>
    <w:rsid w:val="4E44314C"/>
    <w:rsid w:val="4E9E62F2"/>
    <w:rsid w:val="505D41F1"/>
    <w:rsid w:val="54EA122C"/>
    <w:rsid w:val="553E0BF9"/>
    <w:rsid w:val="582C335F"/>
    <w:rsid w:val="59A250BF"/>
    <w:rsid w:val="5F6E4226"/>
    <w:rsid w:val="63A27729"/>
    <w:rsid w:val="6A615675"/>
    <w:rsid w:val="6B2360AF"/>
    <w:rsid w:val="6CDD5AB0"/>
    <w:rsid w:val="6E8C03C7"/>
    <w:rsid w:val="71045C67"/>
    <w:rsid w:val="74995FC7"/>
    <w:rsid w:val="768E2675"/>
    <w:rsid w:val="77060600"/>
    <w:rsid w:val="774C3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230</Characters>
  <Lines>4</Lines>
  <Paragraphs>1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</cp:lastModifiedBy>
  <dcterms:modified xsi:type="dcterms:W3CDTF">2026-01-06T07:03:40Z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eyJoZGlkIjoiMmFkYjI4Yjg2ZGNiMDg2YTIzZmFlYjhjMTZmYWQ4MjYiLCJ1c2VySWQiOiI1MjQ1OTE2NTgifQ==</vt:lpwstr>
  </property>
  <property fmtid="{D5CDD505-2E9C-101B-9397-08002B2CF9AE}" pid="4" name="ICV">
    <vt:lpwstr>FCC97AB194794522907720B25D309E1F_13</vt:lpwstr>
  </property>
</Properties>
</file>