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rPr>
          <w:rFonts w:hint="eastAsia"/>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盘龙区财政局涉企行政检查事项清单</w:t>
      </w:r>
    </w:p>
    <w:tbl>
      <w:tblPr>
        <w:tblStyle w:val="3"/>
        <w:tblpPr w:leftFromText="180" w:rightFromText="180" w:vertAnchor="text" w:horzAnchor="page" w:tblpX="1450" w:tblpY="677"/>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906"/>
        <w:gridCol w:w="1248"/>
        <w:gridCol w:w="1338"/>
        <w:gridCol w:w="1692"/>
        <w:gridCol w:w="166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6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906"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检查事项</w:t>
            </w:r>
          </w:p>
        </w:tc>
        <w:tc>
          <w:tcPr>
            <w:tcW w:w="1248"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检查对象</w:t>
            </w:r>
          </w:p>
        </w:tc>
        <w:tc>
          <w:tcPr>
            <w:tcW w:w="1338"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检查依据</w:t>
            </w:r>
          </w:p>
        </w:tc>
        <w:tc>
          <w:tcPr>
            <w:tcW w:w="1692"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法定实施主体</w:t>
            </w:r>
          </w:p>
        </w:tc>
        <w:tc>
          <w:tcPr>
            <w:tcW w:w="166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法定行使层级</w:t>
            </w:r>
          </w:p>
        </w:tc>
        <w:tc>
          <w:tcPr>
            <w:tcW w:w="750"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61" w:type="dxa"/>
          </w:tcPr>
          <w:p>
            <w:pPr>
              <w:jc w:val="center"/>
              <w:rPr>
                <w:rFonts w:hint="default" w:ascii="黑体" w:hAnsi="黑体" w:eastAsia="黑体" w:cs="黑体"/>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1</w:t>
            </w:r>
          </w:p>
        </w:tc>
        <w:tc>
          <w:tcPr>
            <w:tcW w:w="1906"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对企业涉及财务、会计事项实施监督检查</w:t>
            </w:r>
          </w:p>
        </w:tc>
        <w:tc>
          <w:tcPr>
            <w:tcW w:w="1248"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盘龙区辖区内的企业</w:t>
            </w:r>
          </w:p>
        </w:tc>
        <w:tc>
          <w:tcPr>
            <w:tcW w:w="133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中华人民共和国会计法》第三十条：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专业能力、遵守职业道德。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2.《财政部门监督办法》（财政部令第69号）第二条：县级以上人民政府财政部门依法对单位和个人涉及财政、财务、会计等事项实施监督。</w:t>
            </w:r>
          </w:p>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3.《财政检查工作办法》（财政部令32号）第二条：县级以上人民政府财政部门依法实施财政检查。</w:t>
            </w:r>
          </w:p>
        </w:tc>
        <w:tc>
          <w:tcPr>
            <w:tcW w:w="1692"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昆明市盘龙区财政局</w:t>
            </w:r>
          </w:p>
        </w:tc>
        <w:tc>
          <w:tcPr>
            <w:tcW w:w="1665"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区级</w:t>
            </w:r>
          </w:p>
        </w:tc>
        <w:tc>
          <w:tcPr>
            <w:tcW w:w="750" w:type="dxa"/>
          </w:tcPr>
          <w:p>
            <w:pPr>
              <w:jc w:val="center"/>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61" w:type="dxa"/>
          </w:tcPr>
          <w:p>
            <w:pPr>
              <w:jc w:val="center"/>
              <w:rPr>
                <w:rFonts w:hint="default" w:ascii="Times New Roman" w:hAnsi="Times New Roman" w:eastAsia="黑体" w:cs="Times New Roman"/>
                <w:sz w:val="32"/>
                <w:szCs w:val="32"/>
                <w:vertAlign w:val="baseline"/>
                <w:lang w:val="en-US" w:eastAsia="zh-CN"/>
              </w:rPr>
            </w:pPr>
            <w:r>
              <w:rPr>
                <w:rFonts w:hint="eastAsia" w:ascii="Times New Roman" w:hAnsi="Times New Roman" w:eastAsia="黑体" w:cs="Times New Roman"/>
                <w:sz w:val="32"/>
                <w:szCs w:val="32"/>
                <w:vertAlign w:val="baseline"/>
                <w:lang w:val="en-US" w:eastAsia="zh-CN"/>
              </w:rPr>
              <w:t>2</w:t>
            </w:r>
          </w:p>
        </w:tc>
        <w:tc>
          <w:tcPr>
            <w:tcW w:w="1906"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对企业委托中介机构从事会计代理记账业务的检查</w:t>
            </w:r>
          </w:p>
        </w:tc>
        <w:tc>
          <w:tcPr>
            <w:tcW w:w="1248"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盘龙区辖区内委托中介机构从事会计代理记账业务的企业</w:t>
            </w:r>
          </w:p>
        </w:tc>
        <w:tc>
          <w:tcPr>
            <w:tcW w:w="133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1.《中华人民共和国会计法》第三十四条第一款第三项：各单位应当根据会计业务的需要，依法采取下列一种方式组织本单位的会计工作：委托经批准设立从事会计代理记账业务的中介机构代理记账。</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2.《代理记账管理办法》第十条：未设置会计机构或配备会计人员的单位，应当委托代理记账机构办理会计业务。 </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3.《云南省代理记账管理实施办法》第四条：未设置会计机构或配备会计人员的单位，应当委托代理记账机构办理会计业务。未取得代理记账许可证书的机构不得从事代理记账业务。</w:t>
            </w:r>
          </w:p>
        </w:tc>
        <w:tc>
          <w:tcPr>
            <w:tcW w:w="1692"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昆明市盘龙区财政局</w:t>
            </w:r>
          </w:p>
        </w:tc>
        <w:tc>
          <w:tcPr>
            <w:tcW w:w="1665"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区级</w:t>
            </w:r>
          </w:p>
        </w:tc>
        <w:tc>
          <w:tcPr>
            <w:tcW w:w="750" w:type="dxa"/>
          </w:tcPr>
          <w:p>
            <w:pPr>
              <w:jc w:val="center"/>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61" w:type="dxa"/>
          </w:tcPr>
          <w:p>
            <w:pPr>
              <w:jc w:val="center"/>
              <w:rPr>
                <w:rFonts w:hint="default" w:ascii="Times New Roman" w:hAnsi="Times New Roman" w:eastAsia="黑体" w:cs="Times New Roman"/>
                <w:sz w:val="32"/>
                <w:szCs w:val="32"/>
                <w:vertAlign w:val="baseline"/>
                <w:lang w:val="en-US" w:eastAsia="zh-CN"/>
              </w:rPr>
            </w:pPr>
            <w:r>
              <w:rPr>
                <w:rFonts w:hint="eastAsia" w:ascii="Times New Roman" w:hAnsi="Times New Roman" w:eastAsia="黑体" w:cs="Times New Roman"/>
                <w:sz w:val="32"/>
                <w:szCs w:val="32"/>
                <w:vertAlign w:val="baseline"/>
                <w:lang w:val="en-US" w:eastAsia="zh-CN"/>
              </w:rPr>
              <w:t>3</w:t>
            </w:r>
          </w:p>
        </w:tc>
        <w:tc>
          <w:tcPr>
            <w:tcW w:w="1906"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对中介机构从事会计代理记账业务开展情况的检查</w:t>
            </w:r>
          </w:p>
        </w:tc>
        <w:tc>
          <w:tcPr>
            <w:tcW w:w="1248"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盘龙区辖区内从事会计代理记账业务的中介机构</w:t>
            </w:r>
          </w:p>
        </w:tc>
        <w:tc>
          <w:tcPr>
            <w:tcW w:w="133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代理记账管理办法》第十七条：县级以上人民政府财政部门对代理记账机构及其从事代理记账业务情况实施监督，随机抽取检查对象、随机选派执法检查人员，并将抽查情况及查处结果依法及时向社会公开。对委托代理记账的企业因违反财税法律、法规受到处理处罚的，县级以上人民政府财政部门应当将其委托的代理记账机构列入重点检查对象。 </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云南省代理记账管理实施办法》第二十一条：县级人民政府财政部门对代理记账机构及其从事代理记账业务情况实施监督检查，会同市场监管、税务部门采取部门联动，按照“双随机、一公开”要求，随机抽取检查对象、随机选派执法检查人员，不定期进行检查，构建“一处违法、处处受限”的联合惩戒机制。</w:t>
            </w:r>
          </w:p>
        </w:tc>
        <w:tc>
          <w:tcPr>
            <w:tcW w:w="1692"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昆明市盘龙区财政局</w:t>
            </w:r>
          </w:p>
        </w:tc>
        <w:tc>
          <w:tcPr>
            <w:tcW w:w="1665"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区级</w:t>
            </w:r>
          </w:p>
        </w:tc>
        <w:tc>
          <w:tcPr>
            <w:tcW w:w="750" w:type="dxa"/>
          </w:tcPr>
          <w:p>
            <w:pPr>
              <w:jc w:val="center"/>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61" w:type="dxa"/>
          </w:tcPr>
          <w:p>
            <w:pPr>
              <w:jc w:val="center"/>
              <w:rPr>
                <w:rFonts w:hint="default" w:ascii="Times New Roman" w:hAnsi="Times New Roman" w:eastAsia="黑体" w:cs="Times New Roman"/>
                <w:sz w:val="32"/>
                <w:szCs w:val="32"/>
                <w:vertAlign w:val="baseline"/>
                <w:lang w:val="en-US" w:eastAsia="zh-CN"/>
              </w:rPr>
            </w:pPr>
            <w:r>
              <w:rPr>
                <w:rFonts w:hint="eastAsia" w:ascii="Times New Roman" w:hAnsi="Times New Roman" w:eastAsia="黑体" w:cs="Times New Roman"/>
                <w:sz w:val="32"/>
                <w:szCs w:val="32"/>
                <w:vertAlign w:val="baseline"/>
                <w:lang w:val="en-US" w:eastAsia="zh-CN"/>
              </w:rPr>
              <w:t>4</w:t>
            </w:r>
          </w:p>
        </w:tc>
        <w:tc>
          <w:tcPr>
            <w:tcW w:w="1906"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对中介机构是否取得代理记账资格从事会计代理记账业务的检查</w:t>
            </w:r>
          </w:p>
        </w:tc>
        <w:tc>
          <w:tcPr>
            <w:tcW w:w="1248"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盘龙区辖区内从事会计代理记账业务的中介机构</w:t>
            </w:r>
          </w:p>
        </w:tc>
        <w:tc>
          <w:tcPr>
            <w:tcW w:w="133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1.《代理记账管理办法》第二条第二款 ：本办法所称代理记账机构是指依法取得代理记账资格，从事代理记账业务的机构。 </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2.《代理记账管理办法》第三条第一款 ：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 </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3.《代理记账管理办法》第六条第三款 ：审批机关进行全覆盖例行检查，发现实际情况与承诺内容不符的，依法撤销审批并给予处罚。 </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云南省代理记账管理实施办法》第二条第二款：本办法所称代理记账机构是指依法取得代理记账资格，从事代理记账业务的机构。第三条第一款：除会计师事务所以外的机构从事代理记账业务应当经县（市、区）人民政府财政部门（以下简称审批机关）批准，领取由财政部统一样式，省级印制的代理记账许可证书。</w:t>
            </w:r>
          </w:p>
        </w:tc>
        <w:tc>
          <w:tcPr>
            <w:tcW w:w="1692"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昆明市盘龙区财政局</w:t>
            </w:r>
          </w:p>
        </w:tc>
        <w:tc>
          <w:tcPr>
            <w:tcW w:w="1665" w:type="dxa"/>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区级</w:t>
            </w:r>
          </w:p>
        </w:tc>
        <w:tc>
          <w:tcPr>
            <w:tcW w:w="750" w:type="dxa"/>
          </w:tcPr>
          <w:p>
            <w:pPr>
              <w:jc w:val="center"/>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1" w:type="dxa"/>
            <w:vAlign w:val="top"/>
          </w:tcPr>
          <w:p>
            <w:pPr>
              <w:jc w:val="center"/>
              <w:rPr>
                <w:rFonts w:hint="default" w:ascii="Times New Roman" w:hAnsi="Times New Roman" w:eastAsia="黑体" w:cs="Times New Roman"/>
                <w:sz w:val="32"/>
                <w:szCs w:val="32"/>
                <w:vertAlign w:val="baseline"/>
                <w:lang w:val="en-US" w:eastAsia="zh-CN"/>
              </w:rPr>
            </w:pPr>
            <w:r>
              <w:rPr>
                <w:rFonts w:hint="eastAsia" w:ascii="Times New Roman" w:hAnsi="Times New Roman" w:eastAsia="黑体" w:cs="Times New Roman"/>
                <w:sz w:val="32"/>
                <w:szCs w:val="32"/>
                <w:vertAlign w:val="baseline"/>
                <w:lang w:val="en-US" w:eastAsia="zh-CN"/>
              </w:rPr>
              <w:t>5</w:t>
            </w:r>
          </w:p>
        </w:tc>
        <w:tc>
          <w:tcPr>
            <w:tcW w:w="190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fldChar w:fldCharType="begin"/>
            </w:r>
            <w:r>
              <w:rPr>
                <w:rFonts w:hint="eastAsia" w:ascii="宋体" w:hAnsi="宋体" w:eastAsia="宋体" w:cs="宋体"/>
                <w:i w:val="0"/>
                <w:color w:val="000000"/>
                <w:kern w:val="0"/>
                <w:sz w:val="24"/>
                <w:szCs w:val="24"/>
                <w:u w:val="none"/>
                <w:lang w:val="en-US" w:eastAsia="zh-CN" w:bidi="ar"/>
              </w:rPr>
              <w:instrText xml:space="preserve"> HYPERLINK "http://qingdan.ynbb.gov.cn/show_view.html?qingDanSn=60ebadc896a1455f8d7a344024126967" </w:instrText>
            </w:r>
            <w:r>
              <w:rPr>
                <w:rFonts w:hint="eastAsia" w:ascii="宋体" w:hAnsi="宋体" w:eastAsia="宋体" w:cs="宋体"/>
                <w:i w:val="0"/>
                <w:color w:val="000000"/>
                <w:kern w:val="0"/>
                <w:sz w:val="24"/>
                <w:szCs w:val="24"/>
                <w:u w:val="none"/>
                <w:lang w:val="en-US" w:eastAsia="zh-CN" w:bidi="ar"/>
              </w:rPr>
              <w:fldChar w:fldCharType="separate"/>
            </w:r>
            <w:r>
              <w:rPr>
                <w:rFonts w:hint="eastAsia" w:ascii="宋体" w:hAnsi="宋体" w:eastAsia="宋体" w:cs="宋体"/>
                <w:i w:val="0"/>
                <w:color w:val="000000"/>
                <w:kern w:val="0"/>
                <w:sz w:val="24"/>
                <w:szCs w:val="24"/>
                <w:u w:val="none"/>
                <w:lang w:val="en-US" w:eastAsia="zh-CN" w:bidi="ar"/>
              </w:rPr>
              <w:t>融资担保公司监管检查</w:t>
            </w:r>
            <w:r>
              <w:rPr>
                <w:rFonts w:hint="eastAsia" w:ascii="宋体" w:hAnsi="宋体" w:eastAsia="宋体" w:cs="宋体"/>
                <w:i w:val="0"/>
                <w:color w:val="000000"/>
                <w:kern w:val="0"/>
                <w:sz w:val="24"/>
                <w:szCs w:val="24"/>
                <w:u w:val="none"/>
                <w:lang w:val="en-US" w:eastAsia="zh-CN" w:bidi="ar"/>
              </w:rPr>
              <w:fldChar w:fldCharType="end"/>
            </w:r>
          </w:p>
        </w:tc>
        <w:tc>
          <w:tcPr>
            <w:tcW w:w="124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辖区融资担保公司</w:t>
            </w:r>
          </w:p>
        </w:tc>
        <w:tc>
          <w:tcPr>
            <w:tcW w:w="133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行政法规：《融资担保公司监督管理条例》中华人民共和国国务院令第 683 号,第二十四条  监督管理部门应当建立健全监督管理工作制度， 运用大数据等现代信息技术手段实时监测风险，加强对融资担保公司的非现场监管和现场检查，并与有关部门建立监督管理协调机制和信息共享机制。</w:t>
            </w:r>
          </w:p>
        </w:tc>
        <w:tc>
          <w:tcPr>
            <w:tcW w:w="1692"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地方金融监督管理部门</w:t>
            </w:r>
          </w:p>
        </w:tc>
        <w:tc>
          <w:tcPr>
            <w:tcW w:w="1665"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区级</w:t>
            </w:r>
          </w:p>
        </w:tc>
        <w:tc>
          <w:tcPr>
            <w:tcW w:w="750" w:type="dxa"/>
            <w:vAlign w:val="top"/>
          </w:tcPr>
          <w:p>
            <w:pPr>
              <w:jc w:val="center"/>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1" w:type="dxa"/>
            <w:vAlign w:val="top"/>
          </w:tcPr>
          <w:p>
            <w:pPr>
              <w:jc w:val="center"/>
              <w:rPr>
                <w:rFonts w:hint="default" w:ascii="Times New Roman" w:hAnsi="Times New Roman" w:eastAsia="黑体" w:cs="Times New Roman"/>
                <w:sz w:val="32"/>
                <w:szCs w:val="32"/>
                <w:vertAlign w:val="baseline"/>
                <w:lang w:val="en-US" w:eastAsia="zh-CN"/>
              </w:rPr>
            </w:pPr>
            <w:r>
              <w:rPr>
                <w:rFonts w:hint="eastAsia" w:ascii="Times New Roman" w:hAnsi="Times New Roman" w:eastAsia="黑体" w:cs="Times New Roman"/>
                <w:sz w:val="32"/>
                <w:szCs w:val="32"/>
                <w:vertAlign w:val="baseline"/>
                <w:lang w:val="en-US" w:eastAsia="zh-CN"/>
              </w:rPr>
              <w:t>6</w:t>
            </w:r>
          </w:p>
        </w:tc>
        <w:tc>
          <w:tcPr>
            <w:tcW w:w="190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典当行现场检查</w:t>
            </w:r>
          </w:p>
        </w:tc>
        <w:tc>
          <w:tcPr>
            <w:tcW w:w="124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辖区典当行</w:t>
            </w:r>
          </w:p>
        </w:tc>
        <w:tc>
          <w:tcPr>
            <w:tcW w:w="133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行政规范性文件：《中国银保监会办公厅关于加强典当行监督管理的通知》第十三条:省级地方金融监督管理部门可委托市级、县区及地方金融监管部门负责非现场监管、现场检查、年审等部分监管工作。</w:t>
            </w:r>
          </w:p>
        </w:tc>
        <w:tc>
          <w:tcPr>
            <w:tcW w:w="1692"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地方金融监督管理部门</w:t>
            </w:r>
          </w:p>
        </w:tc>
        <w:tc>
          <w:tcPr>
            <w:tcW w:w="1665"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区级</w:t>
            </w:r>
          </w:p>
        </w:tc>
        <w:tc>
          <w:tcPr>
            <w:tcW w:w="750" w:type="dxa"/>
          </w:tcPr>
          <w:p>
            <w:pPr>
              <w:jc w:val="center"/>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1" w:type="dxa"/>
            <w:vAlign w:val="top"/>
          </w:tcPr>
          <w:p>
            <w:pPr>
              <w:jc w:val="center"/>
              <w:rPr>
                <w:rFonts w:hint="default" w:ascii="Times New Roman" w:hAnsi="Times New Roman" w:eastAsia="黑体" w:cs="Times New Roman"/>
                <w:sz w:val="32"/>
                <w:szCs w:val="32"/>
                <w:vertAlign w:val="baseline"/>
                <w:lang w:val="en-US" w:eastAsia="zh-CN"/>
              </w:rPr>
            </w:pPr>
            <w:r>
              <w:rPr>
                <w:rFonts w:hint="eastAsia" w:ascii="Times New Roman" w:hAnsi="Times New Roman" w:eastAsia="黑体" w:cs="Times New Roman"/>
                <w:sz w:val="32"/>
                <w:szCs w:val="32"/>
                <w:vertAlign w:val="baseline"/>
                <w:lang w:val="en-US" w:eastAsia="zh-CN"/>
              </w:rPr>
              <w:t>7</w:t>
            </w:r>
          </w:p>
        </w:tc>
        <w:tc>
          <w:tcPr>
            <w:tcW w:w="190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商业保理公司现场检查</w:t>
            </w:r>
          </w:p>
        </w:tc>
        <w:tc>
          <w:tcPr>
            <w:tcW w:w="124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辖区商业保理公司</w:t>
            </w:r>
          </w:p>
        </w:tc>
        <w:tc>
          <w:tcPr>
            <w:tcW w:w="133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部门规范性文件：《中国银保监会办公厅关于加强商业保理企业监督管理的通知》第十条 各金融监管局要结合非现场监管发现的问题和风险监管要求，加大现场检查的力度。</w:t>
            </w:r>
          </w:p>
        </w:tc>
        <w:tc>
          <w:tcPr>
            <w:tcW w:w="1692"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地方金融监督管理部门</w:t>
            </w:r>
          </w:p>
        </w:tc>
        <w:tc>
          <w:tcPr>
            <w:tcW w:w="1665"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区级</w:t>
            </w:r>
          </w:p>
        </w:tc>
        <w:tc>
          <w:tcPr>
            <w:tcW w:w="750" w:type="dxa"/>
          </w:tcPr>
          <w:p>
            <w:pPr>
              <w:jc w:val="center"/>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1" w:type="dxa"/>
            <w:vAlign w:val="top"/>
          </w:tcPr>
          <w:p>
            <w:pPr>
              <w:jc w:val="center"/>
              <w:rPr>
                <w:rFonts w:hint="default" w:ascii="Times New Roman" w:hAnsi="Times New Roman" w:eastAsia="黑体" w:cs="Times New Roman"/>
                <w:sz w:val="32"/>
                <w:szCs w:val="32"/>
                <w:vertAlign w:val="baseline"/>
                <w:lang w:val="en-US" w:eastAsia="zh-CN"/>
              </w:rPr>
            </w:pPr>
            <w:r>
              <w:rPr>
                <w:rFonts w:hint="eastAsia" w:ascii="Times New Roman" w:hAnsi="Times New Roman" w:eastAsia="黑体" w:cs="Times New Roman"/>
                <w:sz w:val="32"/>
                <w:szCs w:val="32"/>
                <w:vertAlign w:val="baseline"/>
                <w:lang w:val="en-US" w:eastAsia="zh-CN"/>
              </w:rPr>
              <w:t>8</w:t>
            </w:r>
          </w:p>
        </w:tc>
        <w:tc>
          <w:tcPr>
            <w:tcW w:w="190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地方金融组织规范整治现场检查</w:t>
            </w:r>
          </w:p>
        </w:tc>
        <w:tc>
          <w:tcPr>
            <w:tcW w:w="124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地方7+4类金融组织</w:t>
            </w:r>
          </w:p>
        </w:tc>
        <w:tc>
          <w:tcPr>
            <w:tcW w:w="133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行政规范性文件：《云南省地方金融组织规范整治工作实施方案》要求，每3年对行政区域内地方金融组织至少完成一轮全面检查</w:t>
            </w:r>
          </w:p>
        </w:tc>
        <w:tc>
          <w:tcPr>
            <w:tcW w:w="1692"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地方金融监督管理部门</w:t>
            </w:r>
          </w:p>
        </w:tc>
        <w:tc>
          <w:tcPr>
            <w:tcW w:w="1665"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区级</w:t>
            </w:r>
          </w:p>
        </w:tc>
        <w:tc>
          <w:tcPr>
            <w:tcW w:w="750" w:type="dxa"/>
          </w:tcPr>
          <w:p>
            <w:pPr>
              <w:jc w:val="center"/>
              <w:rPr>
                <w:rFonts w:hint="eastAsia"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1" w:type="dxa"/>
            <w:vAlign w:val="top"/>
          </w:tcPr>
          <w:p>
            <w:pPr>
              <w:jc w:val="center"/>
              <w:rPr>
                <w:rFonts w:hint="default" w:ascii="Times New Roman" w:hAnsi="Times New Roman" w:eastAsia="黑体" w:cs="Times New Roman"/>
                <w:sz w:val="32"/>
                <w:szCs w:val="32"/>
                <w:vertAlign w:val="baseline"/>
                <w:lang w:val="en-US" w:eastAsia="zh-CN"/>
              </w:rPr>
            </w:pPr>
            <w:r>
              <w:rPr>
                <w:rFonts w:hint="eastAsia" w:ascii="Times New Roman" w:hAnsi="Times New Roman" w:eastAsia="黑体" w:cs="Times New Roman"/>
                <w:sz w:val="32"/>
                <w:szCs w:val="32"/>
                <w:vertAlign w:val="baseline"/>
                <w:lang w:val="en-US" w:eastAsia="zh-CN"/>
              </w:rPr>
              <w:t>9</w:t>
            </w:r>
          </w:p>
        </w:tc>
        <w:tc>
          <w:tcPr>
            <w:tcW w:w="1906"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涉嫌非法集资问题（线索）核查</w:t>
            </w:r>
          </w:p>
        </w:tc>
        <w:tc>
          <w:tcPr>
            <w:tcW w:w="124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辖区涉非线索主体</w:t>
            </w:r>
          </w:p>
        </w:tc>
        <w:tc>
          <w:tcPr>
            <w:tcW w:w="1338"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法律法规：《防范和处置非法集资条例》第二十一条　处置非法集资牵头部门组织调查涉嫌非法集资行为，可以采取下列措施：</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（一）进入涉嫌非法集资的场所进行调查取证；</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（二）询问与被调查事件有关的单位和个人，要求其对有关事项作出说明；</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（三）查阅、复制与被调查事件有关的文件、资料、电子数据等，对可能被转移、隐匿或者毁损的文件、资料、电子设备等予以封存；</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（四）经处置非法集资牵头部门主要负责人批准，依法查询涉嫌非法集资的有关账户。调查人员不得少于2人，并应当出示执法证件。与被调查事件有关的单位和个人应当配合调查，不得拒绝、阻碍。</w:t>
            </w:r>
          </w:p>
        </w:tc>
        <w:tc>
          <w:tcPr>
            <w:tcW w:w="1692"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非法集资牵头部门</w:t>
            </w:r>
          </w:p>
        </w:tc>
        <w:tc>
          <w:tcPr>
            <w:tcW w:w="1665" w:type="dxa"/>
            <w:vAlign w:val="top"/>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区级</w:t>
            </w:r>
            <w:bookmarkStart w:id="0" w:name="_GoBack"/>
            <w:bookmarkEnd w:id="0"/>
          </w:p>
        </w:tc>
        <w:tc>
          <w:tcPr>
            <w:tcW w:w="750" w:type="dxa"/>
          </w:tcPr>
          <w:p>
            <w:pPr>
              <w:jc w:val="center"/>
              <w:rPr>
                <w:rFonts w:hint="eastAsia" w:ascii="黑体" w:hAnsi="黑体" w:eastAsia="黑体" w:cs="黑体"/>
                <w:sz w:val="32"/>
                <w:szCs w:val="32"/>
                <w:vertAlign w:val="baseline"/>
                <w:lang w:val="en-US" w:eastAsia="zh-CN"/>
              </w:rPr>
            </w:pPr>
          </w:p>
        </w:tc>
      </w:tr>
    </w:tbl>
    <w:p>
      <w:pPr>
        <w:jc w:val="left"/>
        <w:rPr>
          <w:rFonts w:hint="eastAsia" w:ascii="黑体" w:hAnsi="黑体" w:eastAsia="黑体" w:cs="黑体"/>
          <w:sz w:val="32"/>
          <w:szCs w:val="32"/>
          <w:lang w:val="en-US" w:eastAsia="zh-CN"/>
        </w:rPr>
      </w:pP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填表说明：</w:t>
      </w: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1.本表填报行政执法部门所有的涉企检查事项，包括纳入市场监管领域随机抽查事项清单的事项和未纳入的事项。</w:t>
      </w:r>
    </w:p>
    <w:p>
      <w:pPr>
        <w:numPr>
          <w:ilvl w:val="0"/>
          <w:numId w:val="0"/>
        </w:numPr>
        <w:jc w:val="left"/>
        <w:rPr>
          <w:rFonts w:hint="default" w:ascii="仿宋" w:hAnsi="仿宋" w:eastAsia="仿宋" w:cs="仿宋"/>
          <w:spacing w:val="-20"/>
          <w:sz w:val="28"/>
          <w:szCs w:val="28"/>
          <w:lang w:val="en-US" w:eastAsia="zh-CN"/>
        </w:rPr>
      </w:pPr>
      <w:r>
        <w:rPr>
          <w:rFonts w:hint="eastAsia" w:ascii="仿宋_GB2312" w:hAnsi="仿宋_GB2312" w:eastAsia="仿宋_GB2312" w:cs="仿宋_GB2312"/>
          <w:sz w:val="32"/>
          <w:szCs w:val="32"/>
          <w:lang w:val="en-US" w:eastAsia="zh-CN"/>
        </w:rPr>
        <w:t>2.“检查事项”“检查对象”参考《云南省市场监管领域部门联合抽查事项清单编制口径和标准》中“抽查事项”“检查对象”的填报指南。</w:t>
      </w:r>
    </w:p>
    <w:sectPr>
      <w:pgSz w:w="11906" w:h="16838"/>
      <w:pgMar w:top="2098" w:right="1474"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D0868"/>
    <w:rsid w:val="029107CB"/>
    <w:rsid w:val="05A62E57"/>
    <w:rsid w:val="0C6D0868"/>
    <w:rsid w:val="218D5374"/>
    <w:rsid w:val="24783863"/>
    <w:rsid w:val="266C0CE9"/>
    <w:rsid w:val="2EDD317B"/>
    <w:rsid w:val="3AE0638A"/>
    <w:rsid w:val="3FA660FD"/>
    <w:rsid w:val="49DA219D"/>
    <w:rsid w:val="50CD1684"/>
    <w:rsid w:val="56A37675"/>
    <w:rsid w:val="5BCF452D"/>
    <w:rsid w:val="5FBF4AE5"/>
    <w:rsid w:val="6349243A"/>
    <w:rsid w:val="63FD4D00"/>
    <w:rsid w:val="694B1035"/>
    <w:rsid w:val="6A7365E0"/>
    <w:rsid w:val="72CE5CCC"/>
    <w:rsid w:val="7F7E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2</Words>
  <Characters>2</Characters>
  <Lines>0</Lines>
  <Paragraphs>0</Paragraphs>
  <TotalTime>1</TotalTime>
  <ScaleCrop>false</ScaleCrop>
  <LinksUpToDate>false</LinksUpToDate>
  <CharactersWithSpaces>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2025-04-17T01:23:00Z</dcterms:created>
  <dc:creator>HP</dc:creator>
  <cp:lastModifiedBy>HOP</cp:lastModifiedBy>
  <dcterms:modified xsi:type="dcterms:W3CDTF">2026-01-12T06:37:53Z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A0B7272EC29E493D8BB1ADE1242A3337</vt:lpwstr>
  </property>
  <property fmtid="{D5CDD505-2E9C-101B-9397-08002B2CF9AE}" pid="4" name="KSOTemplateDocerSaveRecord">
    <vt:lpwstr>eyJoZGlkIjoiOGY5YTA1ODc2M2E3YzlkOTQ5NTk4NWY0MjFkOWNhMGIifQ==</vt:lpwstr>
  </property>
</Properties>
</file>