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4BCCE">
      <w:pPr>
        <w:rPr>
          <w:rFonts w:ascii="Arial" w:hAnsi="Arial" w:cs="Arial"/>
          <w:b/>
          <w:bCs/>
          <w:sz w:val="36"/>
          <w:szCs w:val="36"/>
        </w:rPr>
      </w:pPr>
      <w:r>
        <w:rPr>
          <w:rFonts w:ascii="Arial" w:hAnsi="Arial" w:cs="Arial"/>
          <w:b/>
          <w:bCs/>
          <w:sz w:val="36"/>
          <w:szCs w:val="36"/>
        </w:rPr>
        <w:t>监督索引号53010300128601000</w:t>
      </w:r>
    </w:p>
    <w:p w14:paraId="7B48E334">
      <w:pPr>
        <w:jc w:val="center"/>
        <w:rPr>
          <w:rFonts w:ascii="黑体" w:hAnsi="黑体" w:eastAsia="黑体"/>
          <w:sz w:val="36"/>
          <w:szCs w:val="36"/>
        </w:rPr>
      </w:pPr>
      <w:r>
        <w:rPr>
          <w:rFonts w:hint="eastAsia" w:ascii="黑体" w:hAnsi="黑体" w:eastAsia="黑体"/>
          <w:sz w:val="36"/>
          <w:szCs w:val="36"/>
        </w:rPr>
        <w:t>盘龙区区级机关工作委员会2017年度部门决算公开信息</w:t>
      </w:r>
    </w:p>
    <w:p w14:paraId="3733665F">
      <w:pPr>
        <w:jc w:val="center"/>
        <w:rPr>
          <w:rFonts w:hint="eastAsia" w:ascii="黑体" w:hAnsi="黑体" w:eastAsia="黑体"/>
          <w:sz w:val="36"/>
          <w:szCs w:val="36"/>
        </w:rPr>
      </w:pPr>
      <w:r>
        <w:rPr>
          <w:rFonts w:hint="eastAsia" w:ascii="黑体" w:hAnsi="黑体" w:eastAsia="黑体"/>
          <w:sz w:val="36"/>
          <w:szCs w:val="36"/>
        </w:rPr>
        <w:t>目录</w:t>
      </w:r>
    </w:p>
    <w:p w14:paraId="6FF8F91F">
      <w:pPr>
        <w:jc w:val="center"/>
        <w:rPr>
          <w:rFonts w:hint="eastAsia" w:ascii="黑体" w:hAnsi="黑体" w:eastAsia="黑体"/>
          <w:sz w:val="36"/>
          <w:szCs w:val="36"/>
        </w:rPr>
      </w:pPr>
      <w:r>
        <w:rPr>
          <w:rFonts w:hint="eastAsia" w:ascii="黑体" w:hAnsi="黑体" w:eastAsia="黑体"/>
          <w:sz w:val="36"/>
          <w:szCs w:val="36"/>
        </w:rPr>
        <w:t xml:space="preserve"> </w:t>
      </w:r>
    </w:p>
    <w:p w14:paraId="5F8E1E15">
      <w:pPr>
        <w:jc w:val="left"/>
        <w:rPr>
          <w:rFonts w:hint="eastAsia" w:ascii="黑体" w:hAnsi="黑体" w:eastAsia="黑体"/>
          <w:sz w:val="30"/>
          <w:szCs w:val="30"/>
        </w:rPr>
      </w:pPr>
      <w:r>
        <w:rPr>
          <w:rFonts w:hint="eastAsia" w:ascii="黑体" w:hAnsi="黑体" w:eastAsia="黑体"/>
          <w:sz w:val="30"/>
          <w:szCs w:val="30"/>
        </w:rPr>
        <w:t>第一部分  单位概况</w:t>
      </w:r>
    </w:p>
    <w:p w14:paraId="445CF35D">
      <w:pPr>
        <w:spacing w:line="240" w:lineRule="atLeast"/>
        <w:jc w:val="left"/>
        <w:rPr>
          <w:rFonts w:hint="eastAsia" w:ascii="仿宋" w:hAnsi="仿宋" w:eastAsia="仿宋"/>
          <w:sz w:val="30"/>
          <w:szCs w:val="30"/>
        </w:rPr>
      </w:pPr>
      <w:r>
        <w:rPr>
          <w:rFonts w:hint="eastAsia" w:ascii="仿宋" w:hAnsi="仿宋" w:eastAsia="仿宋"/>
          <w:sz w:val="30"/>
          <w:szCs w:val="30"/>
        </w:rPr>
        <w:t>一、部门主要职能</w:t>
      </w:r>
    </w:p>
    <w:p w14:paraId="3BCF6940">
      <w:pPr>
        <w:numPr>
          <w:ilvl w:val="0"/>
          <w:numId w:val="1"/>
        </w:numPr>
        <w:spacing w:line="240" w:lineRule="atLeast"/>
        <w:jc w:val="left"/>
        <w:rPr>
          <w:rFonts w:hint="eastAsia" w:ascii="仿宋" w:hAnsi="仿宋" w:eastAsia="仿宋"/>
          <w:sz w:val="30"/>
          <w:szCs w:val="30"/>
        </w:rPr>
      </w:pPr>
      <w:r>
        <w:rPr>
          <w:rFonts w:hint="eastAsia" w:ascii="仿宋" w:hAnsi="仿宋" w:eastAsia="仿宋"/>
          <w:sz w:val="30"/>
          <w:szCs w:val="30"/>
        </w:rPr>
        <w:t>部门基本情况</w:t>
      </w:r>
    </w:p>
    <w:p w14:paraId="3FC7266E">
      <w:pPr>
        <w:spacing w:line="240" w:lineRule="atLeast"/>
        <w:jc w:val="left"/>
        <w:rPr>
          <w:rFonts w:hint="eastAsia" w:ascii="仿宋" w:hAnsi="仿宋" w:eastAsia="仿宋"/>
          <w:sz w:val="30"/>
          <w:szCs w:val="30"/>
        </w:rPr>
      </w:pPr>
      <w:r>
        <w:rPr>
          <w:rFonts w:hint="eastAsia" w:ascii="仿宋" w:hAnsi="仿宋" w:eastAsia="仿宋"/>
          <w:sz w:val="30"/>
          <w:szCs w:val="30"/>
        </w:rPr>
        <w:t xml:space="preserve"> </w:t>
      </w:r>
    </w:p>
    <w:p w14:paraId="306FA290">
      <w:pPr>
        <w:numPr>
          <w:ilvl w:val="0"/>
          <w:numId w:val="2"/>
        </w:numPr>
        <w:jc w:val="left"/>
        <w:rPr>
          <w:rFonts w:hint="eastAsia" w:ascii="黑体" w:hAnsi="黑体" w:eastAsia="黑体"/>
          <w:sz w:val="30"/>
          <w:szCs w:val="30"/>
        </w:rPr>
      </w:pPr>
      <w:r>
        <w:rPr>
          <w:rFonts w:hint="eastAsia" w:ascii="黑体" w:hAnsi="黑体" w:eastAsia="黑体"/>
          <w:sz w:val="30"/>
          <w:szCs w:val="30"/>
        </w:rPr>
        <w:t xml:space="preserve"> 2017年度部门决算公开报表及决算情况说明</w:t>
      </w:r>
    </w:p>
    <w:p w14:paraId="091BBC5A">
      <w:pPr>
        <w:jc w:val="left"/>
        <w:rPr>
          <w:rFonts w:hint="eastAsia" w:ascii="仿宋" w:hAnsi="仿宋" w:eastAsia="仿宋"/>
          <w:sz w:val="30"/>
          <w:szCs w:val="30"/>
        </w:rPr>
      </w:pPr>
      <w:r>
        <w:rPr>
          <w:rFonts w:hint="eastAsia" w:ascii="仿宋" w:hAnsi="仿宋" w:eastAsia="仿宋"/>
          <w:sz w:val="30"/>
          <w:szCs w:val="30"/>
        </w:rPr>
        <w:t>一、2017年度收入支出决算总体情况表及说明</w:t>
      </w:r>
    </w:p>
    <w:p w14:paraId="50A36157">
      <w:pPr>
        <w:jc w:val="left"/>
        <w:rPr>
          <w:rFonts w:hint="eastAsia" w:ascii="仿宋" w:hAnsi="仿宋" w:eastAsia="仿宋"/>
          <w:sz w:val="30"/>
          <w:szCs w:val="30"/>
        </w:rPr>
      </w:pPr>
      <w:r>
        <w:rPr>
          <w:rFonts w:hint="eastAsia" w:ascii="仿宋" w:hAnsi="仿宋" w:eastAsia="仿宋"/>
          <w:sz w:val="30"/>
          <w:szCs w:val="30"/>
        </w:rPr>
        <w:t>二、2017年度收入决算情况表及说明</w:t>
      </w:r>
    </w:p>
    <w:p w14:paraId="372BCCA2">
      <w:pPr>
        <w:jc w:val="left"/>
        <w:rPr>
          <w:rFonts w:hint="eastAsia" w:ascii="仿宋" w:hAnsi="仿宋" w:eastAsia="仿宋"/>
          <w:sz w:val="30"/>
          <w:szCs w:val="30"/>
        </w:rPr>
      </w:pPr>
      <w:r>
        <w:rPr>
          <w:rFonts w:hint="eastAsia" w:ascii="仿宋" w:hAnsi="仿宋" w:eastAsia="仿宋"/>
          <w:sz w:val="30"/>
          <w:szCs w:val="30"/>
        </w:rPr>
        <w:t>三、2017年度支出决算情况表及说明</w:t>
      </w:r>
    </w:p>
    <w:p w14:paraId="0BA8400F">
      <w:pPr>
        <w:jc w:val="left"/>
        <w:rPr>
          <w:rFonts w:hint="eastAsia" w:ascii="仿宋" w:hAnsi="仿宋" w:eastAsia="仿宋"/>
          <w:sz w:val="30"/>
          <w:szCs w:val="30"/>
        </w:rPr>
      </w:pPr>
      <w:r>
        <w:rPr>
          <w:rFonts w:hint="eastAsia" w:ascii="仿宋" w:hAnsi="仿宋" w:eastAsia="仿宋"/>
          <w:sz w:val="30"/>
          <w:szCs w:val="30"/>
        </w:rPr>
        <w:t>四、2017年度财政拨款收入支出决算总体情况表及说明</w:t>
      </w:r>
    </w:p>
    <w:p w14:paraId="4526755D">
      <w:pPr>
        <w:jc w:val="left"/>
        <w:rPr>
          <w:rFonts w:hint="eastAsia" w:ascii="仿宋" w:hAnsi="仿宋" w:eastAsia="仿宋"/>
          <w:sz w:val="30"/>
          <w:szCs w:val="30"/>
        </w:rPr>
      </w:pPr>
      <w:r>
        <w:rPr>
          <w:rFonts w:hint="eastAsia" w:ascii="仿宋" w:hAnsi="仿宋" w:eastAsia="仿宋"/>
          <w:sz w:val="30"/>
          <w:szCs w:val="30"/>
        </w:rPr>
        <w:t>五、2017年度一般公共预算财政拨款收入支出决算情况表及说明</w:t>
      </w:r>
    </w:p>
    <w:p w14:paraId="7DA96693">
      <w:pPr>
        <w:jc w:val="left"/>
        <w:rPr>
          <w:rFonts w:hint="eastAsia" w:ascii="仿宋" w:hAnsi="仿宋" w:eastAsia="仿宋"/>
          <w:sz w:val="30"/>
          <w:szCs w:val="30"/>
        </w:rPr>
      </w:pPr>
      <w:r>
        <w:rPr>
          <w:rFonts w:hint="eastAsia" w:ascii="仿宋" w:hAnsi="仿宋" w:eastAsia="仿宋"/>
          <w:sz w:val="30"/>
          <w:szCs w:val="30"/>
        </w:rPr>
        <w:t>六、2017年度一般公共预算财政拨款基本支出决算情况表及说明</w:t>
      </w:r>
    </w:p>
    <w:p w14:paraId="310C6544">
      <w:pPr>
        <w:jc w:val="left"/>
        <w:rPr>
          <w:rFonts w:hint="eastAsia" w:ascii="仿宋" w:hAnsi="仿宋" w:eastAsia="仿宋"/>
          <w:sz w:val="30"/>
          <w:szCs w:val="30"/>
        </w:rPr>
      </w:pPr>
      <w:r>
        <w:rPr>
          <w:rFonts w:hint="eastAsia" w:ascii="仿宋" w:hAnsi="仿宋" w:eastAsia="仿宋"/>
          <w:sz w:val="30"/>
          <w:szCs w:val="30"/>
        </w:rPr>
        <w:t>七、政府性基金预算财政拨款收入支出决算表</w:t>
      </w:r>
    </w:p>
    <w:p w14:paraId="20133DE5">
      <w:pPr>
        <w:jc w:val="left"/>
        <w:rPr>
          <w:rFonts w:hint="eastAsia" w:ascii="仿宋" w:hAnsi="仿宋" w:eastAsia="仿宋"/>
          <w:sz w:val="30"/>
          <w:szCs w:val="30"/>
        </w:rPr>
      </w:pPr>
      <w:r>
        <w:rPr>
          <w:rFonts w:hint="eastAsia" w:ascii="仿宋" w:hAnsi="仿宋" w:eastAsia="仿宋"/>
          <w:sz w:val="30"/>
          <w:szCs w:val="30"/>
        </w:rPr>
        <w:t>八、财政专户管理资金收入支出决算表</w:t>
      </w:r>
    </w:p>
    <w:p w14:paraId="7C105940">
      <w:pPr>
        <w:jc w:val="left"/>
        <w:rPr>
          <w:rFonts w:hint="eastAsia" w:ascii="仿宋" w:hAnsi="仿宋" w:eastAsia="仿宋"/>
          <w:sz w:val="30"/>
          <w:szCs w:val="30"/>
        </w:rPr>
      </w:pPr>
      <w:r>
        <w:rPr>
          <w:rFonts w:hint="eastAsia" w:ascii="仿宋" w:hAnsi="仿宋" w:eastAsia="仿宋"/>
          <w:sz w:val="30"/>
          <w:szCs w:val="30"/>
        </w:rPr>
        <w:t>九、“三公”经费、行政参公单位机关运行经费情况表</w:t>
      </w:r>
    </w:p>
    <w:p w14:paraId="7D626F0B">
      <w:pPr>
        <w:jc w:val="left"/>
        <w:rPr>
          <w:rFonts w:hint="eastAsia" w:ascii="仿宋" w:hAnsi="仿宋" w:eastAsia="仿宋"/>
          <w:sz w:val="30"/>
          <w:szCs w:val="30"/>
        </w:rPr>
      </w:pPr>
      <w:r>
        <w:rPr>
          <w:rFonts w:hint="eastAsia" w:ascii="仿宋" w:hAnsi="仿宋" w:eastAsia="仿宋"/>
          <w:sz w:val="30"/>
          <w:szCs w:val="30"/>
        </w:rPr>
        <w:t xml:space="preserve"> </w:t>
      </w:r>
    </w:p>
    <w:p w14:paraId="5C4DDDF6">
      <w:pPr>
        <w:jc w:val="left"/>
        <w:rPr>
          <w:rFonts w:hint="eastAsia" w:ascii="黑体" w:hAnsi="黑体" w:eastAsia="黑体"/>
          <w:sz w:val="30"/>
          <w:szCs w:val="30"/>
        </w:rPr>
      </w:pPr>
      <w:r>
        <w:rPr>
          <w:rFonts w:hint="eastAsia" w:ascii="黑体" w:hAnsi="黑体" w:eastAsia="黑体"/>
          <w:sz w:val="30"/>
          <w:szCs w:val="30"/>
        </w:rPr>
        <w:t>第三部门  2017年度部门决算情况说明</w:t>
      </w:r>
    </w:p>
    <w:p w14:paraId="69C5154C">
      <w:pPr>
        <w:jc w:val="left"/>
        <w:rPr>
          <w:rFonts w:hint="eastAsia" w:ascii="仿宋" w:hAnsi="仿宋" w:eastAsia="仿宋"/>
          <w:sz w:val="30"/>
          <w:szCs w:val="30"/>
        </w:rPr>
      </w:pPr>
      <w:r>
        <w:rPr>
          <w:rFonts w:hint="eastAsia" w:ascii="仿宋" w:hAnsi="仿宋" w:eastAsia="仿宋"/>
          <w:sz w:val="30"/>
          <w:szCs w:val="30"/>
        </w:rPr>
        <w:t>一、收入决算情况说明</w:t>
      </w:r>
    </w:p>
    <w:p w14:paraId="3EA7973E">
      <w:pPr>
        <w:jc w:val="left"/>
        <w:rPr>
          <w:rFonts w:hint="eastAsia" w:ascii="仿宋" w:hAnsi="仿宋" w:eastAsia="仿宋"/>
          <w:sz w:val="30"/>
          <w:szCs w:val="30"/>
        </w:rPr>
      </w:pPr>
      <w:r>
        <w:rPr>
          <w:rFonts w:hint="eastAsia" w:ascii="仿宋" w:hAnsi="仿宋" w:eastAsia="仿宋"/>
          <w:sz w:val="30"/>
          <w:szCs w:val="30"/>
        </w:rPr>
        <w:t>二、支出决算情况说明</w:t>
      </w:r>
    </w:p>
    <w:p w14:paraId="67650E64">
      <w:pPr>
        <w:jc w:val="left"/>
        <w:rPr>
          <w:rFonts w:hint="eastAsia" w:ascii="仿宋" w:hAnsi="仿宋" w:eastAsia="仿宋"/>
          <w:sz w:val="30"/>
          <w:szCs w:val="30"/>
        </w:rPr>
      </w:pPr>
      <w:r>
        <w:rPr>
          <w:rFonts w:hint="eastAsia" w:ascii="仿宋" w:hAnsi="仿宋" w:eastAsia="仿宋"/>
          <w:sz w:val="30"/>
          <w:szCs w:val="30"/>
        </w:rPr>
        <w:t>三、一般公共预算财政拨款支出决算情况说明</w:t>
      </w:r>
    </w:p>
    <w:p w14:paraId="11C35671">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四、一般公共预算财政拨款“三公”经费支出决算情况说明</w:t>
      </w:r>
    </w:p>
    <w:p w14:paraId="47217E4B">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五、其他重要事项及相关口径情况说明</w:t>
      </w:r>
    </w:p>
    <w:p w14:paraId="31AA5523">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 xml:space="preserve"> </w:t>
      </w:r>
    </w:p>
    <w:p w14:paraId="4A520D09">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 xml:space="preserve"> </w:t>
      </w:r>
    </w:p>
    <w:p w14:paraId="2437FBA0">
      <w:pPr>
        <w:widowControl/>
        <w:snapToGrid w:val="0"/>
        <w:spacing w:before="100" w:after="100" w:line="360" w:lineRule="auto"/>
        <w:jc w:val="left"/>
        <w:rPr>
          <w:rFonts w:hint="eastAsia" w:ascii="黑体" w:hAnsi="黑体" w:eastAsia="黑体"/>
          <w:sz w:val="30"/>
          <w:szCs w:val="30"/>
        </w:rPr>
      </w:pPr>
      <w:r>
        <w:rPr>
          <w:rFonts w:hint="eastAsia" w:ascii="黑体" w:hAnsi="黑体" w:eastAsia="黑体"/>
          <w:sz w:val="30"/>
          <w:szCs w:val="30"/>
        </w:rPr>
        <w:t>第四部分  名词解释</w:t>
      </w:r>
    </w:p>
    <w:p w14:paraId="044C6B74">
      <w:pPr>
        <w:jc w:val="center"/>
        <w:rPr>
          <w:rFonts w:hint="eastAsia" w:ascii="黑体" w:hAnsi="黑体" w:eastAsia="黑体"/>
          <w:sz w:val="32"/>
          <w:szCs w:val="32"/>
        </w:rPr>
      </w:pPr>
      <w:r>
        <w:rPr>
          <w:rFonts w:hint="eastAsia" w:ascii="黑体" w:hAnsi="黑体" w:eastAsia="黑体"/>
          <w:sz w:val="32"/>
          <w:szCs w:val="32"/>
        </w:rPr>
        <w:t>第一部分 盘龙区区级机关工作委员会概况</w:t>
      </w:r>
    </w:p>
    <w:p w14:paraId="48495F3A">
      <w:pPr>
        <w:spacing w:line="600" w:lineRule="exact"/>
        <w:ind w:firstLine="600" w:firstLineChars="200"/>
        <w:rPr>
          <w:rFonts w:hint="eastAsia" w:ascii="黑体" w:hAnsi="黑体" w:eastAsia="黑体"/>
          <w:sz w:val="30"/>
          <w:szCs w:val="30"/>
        </w:rPr>
      </w:pPr>
      <w:r>
        <w:rPr>
          <w:rFonts w:hint="eastAsia" w:ascii="黑体" w:hAnsi="黑体" w:eastAsia="黑体"/>
          <w:sz w:val="30"/>
          <w:szCs w:val="30"/>
        </w:rPr>
        <w:t>一、主要职能</w:t>
      </w:r>
    </w:p>
    <w:p w14:paraId="1377F842">
      <w:pPr>
        <w:spacing w:line="600" w:lineRule="exact"/>
        <w:ind w:firstLine="600" w:firstLineChars="200"/>
        <w:rPr>
          <w:rFonts w:hint="eastAsia" w:ascii="仿宋" w:hAnsi="仿宋" w:eastAsia="仿宋"/>
          <w:sz w:val="30"/>
          <w:szCs w:val="30"/>
        </w:rPr>
      </w:pPr>
      <w:r>
        <w:rPr>
          <w:rFonts w:hint="eastAsia" w:ascii="仿宋" w:hAnsi="仿宋" w:eastAsia="仿宋"/>
          <w:sz w:val="30"/>
          <w:szCs w:val="30"/>
        </w:rPr>
        <w:t>（一）主要职能</w:t>
      </w:r>
    </w:p>
    <w:p w14:paraId="4F483B45">
      <w:pPr>
        <w:spacing w:line="240" w:lineRule="atLeast"/>
        <w:jc w:val="left"/>
        <w:rPr>
          <w:rFonts w:hint="eastAsia" w:ascii="仿宋" w:hAnsi="仿宋" w:eastAsia="仿宋"/>
          <w:sz w:val="30"/>
          <w:szCs w:val="30"/>
        </w:rPr>
      </w:pPr>
      <w:r>
        <w:rPr>
          <w:rFonts w:hint="eastAsia" w:ascii="仿宋" w:hAnsi="仿宋" w:eastAsia="仿宋"/>
          <w:sz w:val="30"/>
          <w:szCs w:val="30"/>
        </w:rPr>
        <w:t>1.宣传和执行党的路线、方针、政策，宣传和执行党中央、上级党组织和本级党组织的决议，发挥党组织的战斗堡垒作用和党员的先锋模范作用。</w:t>
      </w:r>
    </w:p>
    <w:p w14:paraId="5B0888EA">
      <w:pPr>
        <w:spacing w:line="240" w:lineRule="atLeast"/>
        <w:jc w:val="left"/>
        <w:rPr>
          <w:rFonts w:hint="eastAsia" w:ascii="仿宋" w:hAnsi="仿宋" w:eastAsia="仿宋"/>
          <w:sz w:val="30"/>
          <w:szCs w:val="30"/>
        </w:rPr>
      </w:pPr>
      <w:r>
        <w:rPr>
          <w:rFonts w:hint="eastAsia" w:ascii="仿宋" w:hAnsi="仿宋" w:eastAsia="仿宋"/>
          <w:sz w:val="30"/>
          <w:szCs w:val="30"/>
        </w:rPr>
        <w:t>2.组织党员认真学习马克思列宁主义、毛泽东思想、邓小平理论</w:t>
      </w:r>
      <w:bookmarkStart w:id="0" w:name="_GoBack"/>
      <w:bookmarkEnd w:id="0"/>
      <w:r>
        <w:rPr>
          <w:rFonts w:hint="eastAsia" w:ascii="仿宋" w:hAnsi="仿宋" w:eastAsia="仿宋"/>
          <w:sz w:val="30"/>
          <w:szCs w:val="30"/>
        </w:rPr>
        <w:t>、“三个代表”重要思想、科学发展观、习近平总书记系列</w:t>
      </w:r>
      <w:r>
        <w:rPr>
          <w:rFonts w:hint="eastAsia" w:ascii="仿宋" w:hAnsi="仿宋" w:eastAsia="仿宋"/>
          <w:sz w:val="30"/>
          <w:szCs w:val="30"/>
          <w:lang w:val="en-US" w:eastAsia="zh-CN"/>
        </w:rPr>
        <w:t>重要</w:t>
      </w:r>
      <w:r>
        <w:rPr>
          <w:rFonts w:hint="eastAsia" w:ascii="仿宋" w:hAnsi="仿宋" w:eastAsia="仿宋"/>
          <w:sz w:val="30"/>
          <w:szCs w:val="30"/>
        </w:rPr>
        <w:t>讲话精神和党的路线、方针、政策以及区委决议，学习科学、文化、法律、社会主义市场经济知识和业务知识。</w:t>
      </w:r>
    </w:p>
    <w:p w14:paraId="495F67AB">
      <w:pPr>
        <w:spacing w:line="240" w:lineRule="atLeast"/>
        <w:jc w:val="left"/>
        <w:rPr>
          <w:rFonts w:hint="eastAsia" w:ascii="仿宋" w:hAnsi="仿宋" w:eastAsia="仿宋"/>
          <w:sz w:val="30"/>
          <w:szCs w:val="30"/>
        </w:rPr>
      </w:pPr>
      <w:r>
        <w:rPr>
          <w:rFonts w:hint="eastAsia" w:ascii="仿宋" w:hAnsi="仿宋" w:eastAsia="仿宋"/>
          <w:sz w:val="30"/>
          <w:szCs w:val="30"/>
        </w:rPr>
        <w:t>3.对所属机关基层党组织党建工作进行研究和指导，提出加强和改进机关党的建设的意见和建议。</w:t>
      </w:r>
    </w:p>
    <w:p w14:paraId="3E50D7FE">
      <w:pPr>
        <w:spacing w:line="240" w:lineRule="atLeast"/>
        <w:jc w:val="left"/>
        <w:rPr>
          <w:rFonts w:hint="eastAsia" w:ascii="仿宋" w:hAnsi="仿宋" w:eastAsia="仿宋"/>
          <w:sz w:val="30"/>
          <w:szCs w:val="30"/>
        </w:rPr>
      </w:pPr>
      <w:r>
        <w:rPr>
          <w:rFonts w:hint="eastAsia" w:ascii="仿宋" w:hAnsi="仿宋" w:eastAsia="仿宋"/>
          <w:sz w:val="30"/>
          <w:szCs w:val="30"/>
        </w:rPr>
        <w:t>4.对所属机关基层党组织请示的有关问题作出决定、批复或者答复。</w:t>
      </w:r>
    </w:p>
    <w:p w14:paraId="62E05BF5">
      <w:pPr>
        <w:spacing w:line="240" w:lineRule="atLeast"/>
        <w:jc w:val="left"/>
        <w:rPr>
          <w:rFonts w:hint="eastAsia" w:ascii="仿宋" w:hAnsi="仿宋" w:eastAsia="仿宋"/>
          <w:sz w:val="30"/>
          <w:szCs w:val="30"/>
        </w:rPr>
      </w:pPr>
      <w:r>
        <w:rPr>
          <w:rFonts w:hint="eastAsia" w:ascii="仿宋" w:hAnsi="仿宋" w:eastAsia="仿宋"/>
          <w:sz w:val="30"/>
          <w:szCs w:val="30"/>
        </w:rPr>
        <w:t>5.督促指导所属机关基层党组织按期进行换届；审批所属机关基层党组织关于召开党员大会的请示；审批所属机关基层党组织选出的书记、副书记。</w:t>
      </w:r>
    </w:p>
    <w:p w14:paraId="2A76692F">
      <w:pPr>
        <w:spacing w:line="240" w:lineRule="atLeast"/>
        <w:jc w:val="left"/>
        <w:rPr>
          <w:rFonts w:hint="eastAsia" w:ascii="仿宋" w:hAnsi="仿宋" w:eastAsia="仿宋"/>
          <w:sz w:val="30"/>
          <w:szCs w:val="30"/>
        </w:rPr>
      </w:pPr>
      <w:r>
        <w:rPr>
          <w:rFonts w:hint="eastAsia" w:ascii="仿宋" w:hAnsi="仿宋" w:eastAsia="仿宋"/>
          <w:sz w:val="30"/>
          <w:szCs w:val="30"/>
        </w:rPr>
        <w:t xml:space="preserve">6.配合区委有关部门抓好直属机关领导班子思想政治建设，参与对所属党组织的党员领导干部民主生活会督促检查和指导工作，了解和掌握情况，按规定报送情况报告。  </w:t>
      </w:r>
    </w:p>
    <w:p w14:paraId="574C10C3">
      <w:pPr>
        <w:spacing w:line="240" w:lineRule="atLeast"/>
        <w:jc w:val="left"/>
        <w:rPr>
          <w:rFonts w:hint="eastAsia" w:ascii="仿宋" w:hAnsi="仿宋" w:eastAsia="仿宋"/>
          <w:sz w:val="30"/>
          <w:szCs w:val="30"/>
        </w:rPr>
      </w:pPr>
      <w:r>
        <w:rPr>
          <w:rFonts w:hint="eastAsia" w:ascii="仿宋" w:hAnsi="仿宋" w:eastAsia="仿宋"/>
          <w:sz w:val="30"/>
          <w:szCs w:val="30"/>
        </w:rPr>
        <w:t>7.指导所属机关基层党组织加强党风廉政建设，实施对党员特别是党员领导干部的监督。</w:t>
      </w:r>
    </w:p>
    <w:p w14:paraId="19031A8B">
      <w:pPr>
        <w:spacing w:line="240" w:lineRule="atLeast"/>
        <w:jc w:val="left"/>
        <w:rPr>
          <w:rFonts w:hint="eastAsia" w:ascii="仿宋" w:hAnsi="仿宋" w:eastAsia="仿宋"/>
          <w:sz w:val="30"/>
          <w:szCs w:val="30"/>
        </w:rPr>
      </w:pPr>
      <w:r>
        <w:rPr>
          <w:rFonts w:hint="eastAsia" w:ascii="仿宋" w:hAnsi="仿宋" w:eastAsia="仿宋"/>
          <w:sz w:val="30"/>
          <w:szCs w:val="30"/>
        </w:rPr>
        <w:t>8.了解和掌握所属机关工作人员的思想状况，指导所属机关基层党组织加强思想政治工作和精神文明建设。</w:t>
      </w:r>
    </w:p>
    <w:p w14:paraId="1373454E">
      <w:pPr>
        <w:spacing w:line="240" w:lineRule="atLeast"/>
        <w:jc w:val="left"/>
        <w:rPr>
          <w:rFonts w:hint="eastAsia" w:ascii="仿宋" w:hAnsi="仿宋" w:eastAsia="仿宋"/>
          <w:sz w:val="30"/>
          <w:szCs w:val="30"/>
        </w:rPr>
      </w:pPr>
      <w:r>
        <w:rPr>
          <w:rFonts w:hint="eastAsia" w:ascii="仿宋" w:hAnsi="仿宋" w:eastAsia="仿宋"/>
          <w:sz w:val="30"/>
          <w:szCs w:val="30"/>
        </w:rPr>
        <w:t>9.对所属机关基层党组织贯彻落实区委决议、决定和重要工作部署的情况进行督促检查。</w:t>
      </w:r>
    </w:p>
    <w:p w14:paraId="1C54CBF2">
      <w:pPr>
        <w:spacing w:line="240" w:lineRule="atLeast"/>
        <w:jc w:val="left"/>
        <w:rPr>
          <w:rFonts w:hint="eastAsia" w:ascii="仿宋" w:hAnsi="仿宋" w:eastAsia="仿宋"/>
          <w:sz w:val="30"/>
          <w:szCs w:val="30"/>
        </w:rPr>
      </w:pPr>
      <w:r>
        <w:rPr>
          <w:rFonts w:hint="eastAsia" w:ascii="仿宋" w:hAnsi="仿宋" w:eastAsia="仿宋"/>
          <w:sz w:val="30"/>
          <w:szCs w:val="30"/>
        </w:rPr>
        <w:t>10.对所属机关基层党组织贯彻执行《中国共产党党和国家机关基层组织工作条例》的情况进行督促检查，每年向区委报告。</w:t>
      </w:r>
    </w:p>
    <w:p w14:paraId="12D71C1D">
      <w:pPr>
        <w:spacing w:line="240" w:lineRule="atLeast"/>
        <w:jc w:val="left"/>
        <w:rPr>
          <w:rFonts w:hint="eastAsia" w:ascii="仿宋" w:hAnsi="仿宋" w:eastAsia="仿宋"/>
          <w:sz w:val="30"/>
          <w:szCs w:val="30"/>
        </w:rPr>
      </w:pPr>
      <w:r>
        <w:rPr>
          <w:rFonts w:hint="eastAsia" w:ascii="仿宋" w:hAnsi="仿宋" w:eastAsia="仿宋"/>
          <w:sz w:val="30"/>
          <w:szCs w:val="30"/>
        </w:rPr>
        <w:t>11.对入党积极分子进行教育、培养和考察，做好发展党员工作。</w:t>
      </w:r>
    </w:p>
    <w:p w14:paraId="6CFEA91A">
      <w:pPr>
        <w:spacing w:line="240" w:lineRule="atLeast"/>
        <w:jc w:val="left"/>
        <w:rPr>
          <w:rFonts w:hint="eastAsia" w:ascii="仿宋" w:hAnsi="仿宋" w:eastAsia="仿宋"/>
          <w:sz w:val="30"/>
          <w:szCs w:val="30"/>
        </w:rPr>
      </w:pPr>
      <w:r>
        <w:rPr>
          <w:rFonts w:hint="eastAsia" w:ascii="仿宋" w:hAnsi="仿宋" w:eastAsia="仿宋"/>
          <w:sz w:val="30"/>
          <w:szCs w:val="30"/>
        </w:rPr>
        <w:t>12.领导机关工会、共青团、妇委会等群众组织，支持这些组织依照各自章程独立负责地开展工作。</w:t>
      </w:r>
    </w:p>
    <w:p w14:paraId="06603A25">
      <w:pPr>
        <w:spacing w:line="240" w:lineRule="atLeast"/>
        <w:jc w:val="left"/>
        <w:rPr>
          <w:rFonts w:hint="eastAsia" w:ascii="仿宋" w:hAnsi="仿宋" w:eastAsia="仿宋"/>
          <w:sz w:val="30"/>
          <w:szCs w:val="30"/>
        </w:rPr>
      </w:pPr>
      <w:r>
        <w:rPr>
          <w:rFonts w:hint="eastAsia" w:ascii="仿宋" w:hAnsi="仿宋" w:eastAsia="仿宋"/>
          <w:sz w:val="30"/>
          <w:szCs w:val="30"/>
        </w:rPr>
        <w:t>13. 履行区委规定的其他职责任务。</w:t>
      </w:r>
    </w:p>
    <w:p w14:paraId="047675F6">
      <w:pPr>
        <w:spacing w:line="240" w:lineRule="atLeast"/>
        <w:jc w:val="left"/>
        <w:rPr>
          <w:rFonts w:hint="eastAsia" w:ascii="仿宋" w:hAnsi="仿宋" w:eastAsia="仿宋"/>
          <w:sz w:val="30"/>
          <w:szCs w:val="30"/>
        </w:rPr>
      </w:pPr>
      <w:r>
        <w:rPr>
          <w:rFonts w:hint="eastAsia" w:ascii="仿宋" w:hAnsi="仿宋" w:eastAsia="仿宋"/>
          <w:sz w:val="30"/>
          <w:szCs w:val="30"/>
        </w:rPr>
        <w:t xml:space="preserve"> </w:t>
      </w:r>
    </w:p>
    <w:p w14:paraId="1AEB8C0F">
      <w:pPr>
        <w:pStyle w:val="2"/>
        <w:adjustRightInd w:val="0"/>
        <w:snapToGrid w:val="0"/>
        <w:spacing w:before="93" w:line="600" w:lineRule="exact"/>
        <w:ind w:firstLine="600" w:firstLineChars="200"/>
        <w:rPr>
          <w:rFonts w:hint="eastAsia" w:ascii="仿宋" w:hAnsi="仿宋" w:eastAsia="仿宋"/>
        </w:rPr>
      </w:pPr>
      <w:r>
        <w:rPr>
          <w:rFonts w:hint="eastAsia" w:ascii="仿宋" w:hAnsi="仿宋" w:eastAsia="仿宋"/>
        </w:rPr>
        <w:t>（二）2017年度重点工作任务介绍</w:t>
      </w:r>
    </w:p>
    <w:p w14:paraId="24011F87">
      <w:pPr>
        <w:spacing w:line="600" w:lineRule="exact"/>
        <w:ind w:firstLine="600" w:firstLineChars="200"/>
        <w:rPr>
          <w:rFonts w:hint="eastAsia" w:ascii="仿宋" w:hAnsi="仿宋" w:eastAsia="仿宋"/>
          <w:color w:val="000000"/>
          <w:kern w:val="0"/>
          <w:sz w:val="30"/>
          <w:szCs w:val="30"/>
        </w:rPr>
      </w:pPr>
      <w:r>
        <w:rPr>
          <w:rFonts w:hint="eastAsia" w:ascii="仿宋" w:hAnsi="仿宋" w:eastAsia="仿宋"/>
          <w:color w:val="000000"/>
          <w:kern w:val="0"/>
          <w:sz w:val="30"/>
          <w:szCs w:val="30"/>
        </w:rPr>
        <w:t>对入党积极分子进行教育、培养考察，做好发展党员工作。对所属机关基层党组织贯彻执行（中国共产党党和国家机关基层组织工作条例）的情况进行检查，每年向区委报告。</w:t>
      </w:r>
    </w:p>
    <w:p w14:paraId="2C5E03F8">
      <w:pPr>
        <w:spacing w:line="600" w:lineRule="exact"/>
        <w:ind w:firstLine="600" w:firstLineChars="200"/>
        <w:rPr>
          <w:rFonts w:hint="eastAsia" w:ascii="仿宋" w:hAnsi="仿宋" w:eastAsia="仿宋"/>
          <w:color w:val="000000"/>
          <w:kern w:val="0"/>
          <w:sz w:val="30"/>
          <w:szCs w:val="30"/>
        </w:rPr>
      </w:pPr>
      <w:r>
        <w:rPr>
          <w:rFonts w:hint="eastAsia" w:ascii="仿宋" w:hAnsi="仿宋" w:eastAsia="仿宋"/>
          <w:color w:val="000000"/>
          <w:kern w:val="0"/>
          <w:sz w:val="30"/>
          <w:szCs w:val="30"/>
        </w:rPr>
        <w:t xml:space="preserve"> </w:t>
      </w:r>
    </w:p>
    <w:p w14:paraId="55AFDD8A">
      <w:pPr>
        <w:spacing w:line="600" w:lineRule="exact"/>
        <w:ind w:firstLine="600" w:firstLineChars="200"/>
        <w:rPr>
          <w:rFonts w:hint="eastAsia" w:ascii="黑体" w:hAnsi="黑体" w:eastAsia="黑体"/>
          <w:sz w:val="30"/>
          <w:szCs w:val="30"/>
        </w:rPr>
      </w:pPr>
      <w:r>
        <w:rPr>
          <w:rFonts w:hint="eastAsia" w:ascii="黑体" w:hAnsi="黑体" w:eastAsia="黑体"/>
          <w:sz w:val="30"/>
          <w:szCs w:val="30"/>
        </w:rPr>
        <w:t>二、部门基本情况</w:t>
      </w:r>
    </w:p>
    <w:p w14:paraId="4793F07F">
      <w:pPr>
        <w:spacing w:line="600" w:lineRule="exact"/>
        <w:ind w:firstLine="600" w:firstLineChars="200"/>
        <w:rPr>
          <w:rFonts w:hint="eastAsia" w:ascii="仿宋" w:hAnsi="仿宋" w:eastAsia="仿宋"/>
          <w:sz w:val="30"/>
          <w:szCs w:val="30"/>
        </w:rPr>
      </w:pPr>
      <w:r>
        <w:rPr>
          <w:rFonts w:hint="eastAsia" w:ascii="仿宋" w:hAnsi="仿宋" w:eastAsia="仿宋"/>
          <w:sz w:val="30"/>
          <w:szCs w:val="30"/>
        </w:rPr>
        <w:t>（一）部门决算单位构成</w:t>
      </w:r>
    </w:p>
    <w:p w14:paraId="21313613">
      <w:pPr>
        <w:widowControl/>
        <w:shd w:val="clear" w:color="auto" w:fill="FFFFFF"/>
        <w:spacing w:line="560" w:lineRule="atLeast"/>
        <w:ind w:firstLine="630"/>
        <w:rPr>
          <w:rFonts w:hint="eastAsia" w:ascii="仿宋" w:hAnsi="仿宋" w:eastAsia="仿宋"/>
          <w:color w:val="000000"/>
          <w:kern w:val="0"/>
          <w:sz w:val="30"/>
          <w:szCs w:val="30"/>
        </w:rPr>
      </w:pPr>
      <w:r>
        <w:rPr>
          <w:rFonts w:hint="eastAsia" w:ascii="仿宋" w:hAnsi="仿宋" w:eastAsia="仿宋"/>
          <w:color w:val="000000"/>
          <w:kern w:val="0"/>
          <w:sz w:val="30"/>
          <w:szCs w:val="30"/>
        </w:rPr>
        <w:t>盘龙区区级机关工作委员会，正科级，作为中共昆明市盘龙区委的派出机构，领导直属机关党的工作，2017年共有在职人员7人，其中书记1名，副书记2名，改非领导3名，科员1名。共有办公室、党群工作室2个内设机构。</w:t>
      </w:r>
    </w:p>
    <w:p w14:paraId="0FF04380">
      <w:pPr>
        <w:ind w:firstLine="600" w:firstLineChars="200"/>
        <w:rPr>
          <w:rFonts w:hint="eastAsia" w:ascii="仿宋" w:hAnsi="仿宋" w:eastAsia="仿宋"/>
          <w:sz w:val="30"/>
          <w:szCs w:val="30"/>
        </w:rPr>
      </w:pPr>
      <w:r>
        <w:rPr>
          <w:rFonts w:hint="eastAsia" w:ascii="仿宋" w:hAnsi="仿宋" w:eastAsia="仿宋"/>
          <w:sz w:val="30"/>
          <w:szCs w:val="30"/>
        </w:rPr>
        <w:t xml:space="preserve">（二）部门人员和车辆的编制及实有情况 </w:t>
      </w:r>
    </w:p>
    <w:p w14:paraId="6A60247A">
      <w:pPr>
        <w:spacing w:line="600" w:lineRule="exact"/>
        <w:ind w:firstLine="600" w:firstLineChars="200"/>
        <w:rPr>
          <w:rFonts w:hint="eastAsia" w:ascii="仿宋" w:hAnsi="仿宋" w:eastAsia="仿宋"/>
          <w:kern w:val="0"/>
          <w:sz w:val="30"/>
          <w:szCs w:val="30"/>
        </w:rPr>
      </w:pPr>
      <w:r>
        <w:rPr>
          <w:rFonts w:hint="eastAsia" w:ascii="仿宋" w:hAnsi="仿宋" w:eastAsia="仿宋"/>
          <w:sz w:val="30"/>
          <w:szCs w:val="30"/>
        </w:rPr>
        <w:t>盘龙区区级机关工委2017年末实有人员编制6</w:t>
      </w:r>
      <w:r>
        <w:rPr>
          <w:rFonts w:hint="eastAsia" w:ascii="仿宋" w:hAnsi="仿宋" w:eastAsia="仿宋"/>
          <w:kern w:val="0"/>
          <w:sz w:val="30"/>
          <w:szCs w:val="30"/>
        </w:rPr>
        <w:t>人。其中：行政编制6人，在职在编实有行政人员7人，离退休人员5人。其中：离休0人，退休5人。</w:t>
      </w:r>
    </w:p>
    <w:p w14:paraId="6A42B691">
      <w:pPr>
        <w:spacing w:line="600" w:lineRule="exact"/>
        <w:ind w:firstLine="600" w:firstLineChars="200"/>
        <w:rPr>
          <w:rFonts w:hint="eastAsia" w:ascii="仿宋" w:hAnsi="仿宋" w:eastAsia="仿宋"/>
          <w:kern w:val="0"/>
          <w:sz w:val="30"/>
          <w:szCs w:val="30"/>
        </w:rPr>
      </w:pPr>
      <w:r>
        <w:rPr>
          <w:rFonts w:hint="eastAsia" w:ascii="仿宋" w:hAnsi="仿宋" w:eastAsia="仿宋"/>
          <w:kern w:val="0"/>
          <w:sz w:val="30"/>
          <w:szCs w:val="30"/>
        </w:rPr>
        <w:t>实有车辆编制0辆，在编实有车辆0辆。</w:t>
      </w:r>
    </w:p>
    <w:p w14:paraId="6F777502">
      <w:pPr>
        <w:spacing w:line="600" w:lineRule="exact"/>
        <w:ind w:firstLine="600" w:firstLineChars="200"/>
        <w:rPr>
          <w:rFonts w:hint="eastAsia" w:ascii="仿宋" w:hAnsi="仿宋" w:eastAsia="仿宋"/>
          <w:kern w:val="0"/>
          <w:sz w:val="30"/>
          <w:szCs w:val="30"/>
        </w:rPr>
      </w:pPr>
      <w:r>
        <w:rPr>
          <w:rFonts w:hint="eastAsia" w:ascii="仿宋" w:hAnsi="仿宋" w:eastAsia="仿宋"/>
          <w:kern w:val="0"/>
          <w:sz w:val="30"/>
          <w:szCs w:val="30"/>
        </w:rPr>
        <w:t xml:space="preserve"> </w:t>
      </w:r>
    </w:p>
    <w:p w14:paraId="3BA53069">
      <w:pPr>
        <w:numPr>
          <w:ilvl w:val="0"/>
          <w:numId w:val="3"/>
        </w:numPr>
        <w:jc w:val="center"/>
        <w:rPr>
          <w:rFonts w:hint="eastAsia" w:ascii="黑体" w:hAnsi="黑体" w:eastAsia="黑体"/>
          <w:sz w:val="32"/>
          <w:szCs w:val="32"/>
        </w:rPr>
      </w:pPr>
      <w:r>
        <w:rPr>
          <w:rFonts w:hint="eastAsia" w:ascii="黑体" w:hAnsi="黑体" w:eastAsia="黑体"/>
          <w:sz w:val="32"/>
          <w:szCs w:val="32"/>
        </w:rPr>
        <w:t xml:space="preserve"> 2017年度部门决算表</w:t>
      </w:r>
    </w:p>
    <w:p w14:paraId="2A37244B">
      <w:pPr>
        <w:pStyle w:val="3"/>
        <w:spacing w:before="0" w:beforeAutospacing="0" w:after="0" w:afterAutospacing="0" w:line="600" w:lineRule="atLeast"/>
        <w:ind w:firstLine="600"/>
        <w:jc w:val="center"/>
        <w:rPr>
          <w:rFonts w:hint="eastAsia" w:ascii="Calibri" w:hAnsi="Calibri"/>
        </w:rPr>
      </w:pPr>
      <w:r>
        <w:rPr>
          <w:rFonts w:ascii="仿宋_GB2312" w:hAnsi="仿宋_GB2312"/>
          <w:color w:val="333333"/>
          <w:sz w:val="30"/>
          <w:szCs w:val="30"/>
          <w:shd w:val="clear" w:color="auto" w:fill="FFFFFF"/>
        </w:rPr>
        <w:t>（详见附件）</w:t>
      </w:r>
    </w:p>
    <w:p w14:paraId="7D1B1C26">
      <w:pPr>
        <w:rPr>
          <w:rFonts w:ascii="黑体" w:hAnsi="黑体" w:eastAsia="黑体"/>
          <w:sz w:val="32"/>
          <w:szCs w:val="32"/>
        </w:rPr>
      </w:pPr>
      <w:r>
        <w:rPr>
          <w:rFonts w:hint="eastAsia" w:ascii="黑体" w:hAnsi="黑体" w:eastAsia="黑体"/>
          <w:sz w:val="32"/>
          <w:szCs w:val="32"/>
        </w:rPr>
        <w:t xml:space="preserve"> </w:t>
      </w:r>
    </w:p>
    <w:p w14:paraId="750ED5B6">
      <w:pPr>
        <w:jc w:val="left"/>
        <w:rPr>
          <w:rFonts w:hint="eastAsia" w:ascii="黑体" w:hAnsi="黑体" w:eastAsia="黑体"/>
          <w:sz w:val="30"/>
          <w:szCs w:val="30"/>
        </w:rPr>
      </w:pPr>
      <w:r>
        <w:rPr>
          <w:rFonts w:hint="eastAsia" w:ascii="黑体" w:hAnsi="黑体" w:eastAsia="黑体"/>
          <w:sz w:val="30"/>
          <w:szCs w:val="30"/>
        </w:rPr>
        <w:t>第三部门  2017年度部门决算情况说明</w:t>
      </w:r>
    </w:p>
    <w:p w14:paraId="2329156E">
      <w:pPr>
        <w:jc w:val="left"/>
        <w:rPr>
          <w:rFonts w:hint="eastAsia" w:ascii="仿宋" w:hAnsi="仿宋" w:eastAsia="仿宋"/>
          <w:sz w:val="30"/>
          <w:szCs w:val="30"/>
        </w:rPr>
      </w:pPr>
      <w:r>
        <w:rPr>
          <w:rFonts w:hint="eastAsia" w:ascii="仿宋" w:hAnsi="仿宋" w:eastAsia="仿宋"/>
          <w:sz w:val="30"/>
          <w:szCs w:val="30"/>
        </w:rPr>
        <w:t>一、收入决算情况说明</w:t>
      </w:r>
    </w:p>
    <w:p w14:paraId="4FF345E7">
      <w:pPr>
        <w:pStyle w:val="3"/>
        <w:shd w:val="clear" w:color="auto" w:fill="FFFFFF"/>
        <w:spacing w:before="150" w:beforeAutospacing="0" w:after="0" w:afterAutospacing="0" w:line="562" w:lineRule="atLeast"/>
        <w:ind w:firstLine="634"/>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盘龙区区级机关工委2017年度收入合计128.25万元，其中：财政拨款收入128.25万元，占100%；上级补助收入0万元，占0%；事业收入0万元，占0%；经营收入0万元，占0%；附属单位缴款0万元，占0%；其他收入0万元，占0%。</w:t>
      </w:r>
    </w:p>
    <w:p w14:paraId="1F350339">
      <w:pPr>
        <w:jc w:val="left"/>
        <w:rPr>
          <w:rFonts w:hint="eastAsia" w:ascii="仿宋" w:hAnsi="仿宋" w:eastAsia="仿宋"/>
          <w:sz w:val="30"/>
          <w:szCs w:val="30"/>
        </w:rPr>
      </w:pPr>
      <w:r>
        <w:rPr>
          <w:rFonts w:hint="eastAsia" w:ascii="仿宋" w:hAnsi="仿宋" w:eastAsia="仿宋"/>
          <w:sz w:val="30"/>
          <w:szCs w:val="30"/>
        </w:rPr>
        <w:t>二、支出决算情况说明</w:t>
      </w:r>
    </w:p>
    <w:p w14:paraId="10965023">
      <w:pPr>
        <w:pStyle w:val="3"/>
        <w:shd w:val="clear" w:color="auto" w:fill="FFFFFF"/>
        <w:spacing w:before="150" w:beforeAutospacing="0" w:after="0" w:afterAutospacing="0" w:line="562" w:lineRule="atLeast"/>
        <w:ind w:firstLine="634"/>
        <w:jc w:val="both"/>
        <w:rPr>
          <w:rFonts w:hint="eastAsia" w:ascii="仿宋" w:hAnsi="仿宋" w:eastAsia="仿宋"/>
          <w:color w:val="000000"/>
          <w:sz w:val="30"/>
          <w:szCs w:val="30"/>
          <w:shd w:val="clear" w:color="auto" w:fill="FFFFFF"/>
        </w:rPr>
      </w:pPr>
      <w:r>
        <w:rPr>
          <w:rFonts w:hint="eastAsia" w:ascii="仿宋" w:hAnsi="仿宋" w:eastAsia="仿宋"/>
          <w:sz w:val="30"/>
          <w:szCs w:val="30"/>
        </w:rPr>
        <w:t>盘龙区区级机关工委2017年度支出合计128.25万元。其中：基本支出109.29万元，占总支出的85.22％；项目支出18.96万元，占总支出的14.78％；</w:t>
      </w:r>
      <w:r>
        <w:rPr>
          <w:rFonts w:hint="eastAsia" w:ascii="仿宋" w:hAnsi="仿宋" w:eastAsia="仿宋"/>
          <w:color w:val="000000"/>
          <w:sz w:val="30"/>
          <w:szCs w:val="30"/>
          <w:shd w:val="clear" w:color="auto" w:fill="FFFFFF"/>
        </w:rPr>
        <w:t>上缴上级支出0万元，占0%；经营支出0万元，占0%；对附属单位补助支出0万元，占0%。</w:t>
      </w:r>
    </w:p>
    <w:p w14:paraId="215188B5">
      <w:pPr>
        <w:pStyle w:val="3"/>
        <w:spacing w:beforeAutospacing="0" w:afterAutospacing="0" w:line="600" w:lineRule="atLeast"/>
        <w:ind w:firstLine="600"/>
        <w:rPr>
          <w:rFonts w:hint="eastAsia" w:ascii="Calibri" w:hAnsi="Calibri"/>
        </w:rPr>
      </w:pPr>
      <w:r>
        <w:rPr>
          <w:rFonts w:hint="eastAsia" w:ascii="楷体" w:hAnsi="楷体" w:eastAsia="楷体"/>
          <w:color w:val="333333"/>
          <w:sz w:val="30"/>
          <w:szCs w:val="30"/>
          <w:shd w:val="clear" w:color="auto" w:fill="FFFFFF"/>
        </w:rPr>
        <w:t>（一）基本支出情况</w:t>
      </w:r>
    </w:p>
    <w:p w14:paraId="650F29DE">
      <w:pPr>
        <w:pStyle w:val="3"/>
        <w:spacing w:beforeAutospacing="0" w:afterAutospacing="0" w:line="600" w:lineRule="atLeast"/>
        <w:ind w:firstLine="600"/>
      </w:pPr>
      <w:r>
        <w:rPr>
          <w:rFonts w:hint="eastAsia" w:ascii="仿宋" w:hAnsi="仿宋" w:eastAsia="仿宋"/>
          <w:color w:val="333333"/>
          <w:sz w:val="30"/>
          <w:szCs w:val="30"/>
          <w:shd w:val="clear" w:color="auto" w:fill="FFFFFF"/>
        </w:rPr>
        <w:t>2017年度用于保障云南省昆明市盘龙区区级机关工委机关正常运转的日常支出109.29万元。与上年对比增加19.16万元,主要是2017年工资增资引起的。</w:t>
      </w:r>
    </w:p>
    <w:p w14:paraId="6FB38422">
      <w:pPr>
        <w:pStyle w:val="3"/>
        <w:spacing w:beforeAutospacing="0" w:afterAutospacing="0" w:line="600" w:lineRule="atLeast"/>
        <w:ind w:firstLine="600"/>
      </w:pPr>
      <w:r>
        <w:rPr>
          <w:rFonts w:hint="eastAsia" w:ascii="楷体" w:hAnsi="楷体" w:eastAsia="楷体"/>
          <w:color w:val="333333"/>
          <w:sz w:val="30"/>
          <w:szCs w:val="30"/>
          <w:shd w:val="clear" w:color="auto" w:fill="FFFFFF"/>
        </w:rPr>
        <w:t>（二）项目支出情况</w:t>
      </w:r>
    </w:p>
    <w:p w14:paraId="3AA318FA">
      <w:pPr>
        <w:pStyle w:val="3"/>
        <w:spacing w:beforeAutospacing="0" w:afterAutospacing="0" w:line="600" w:lineRule="atLeast"/>
        <w:ind w:firstLine="600"/>
      </w:pPr>
      <w:r>
        <w:rPr>
          <w:rFonts w:hint="eastAsia" w:ascii="仿宋" w:hAnsi="仿宋" w:eastAsia="仿宋"/>
          <w:color w:val="333333"/>
          <w:sz w:val="30"/>
          <w:szCs w:val="30"/>
          <w:shd w:val="clear" w:color="auto" w:fill="FFFFFF"/>
        </w:rPr>
        <w:t>2017年度用于保障南省昆明市盘龙区区级机关工委完成特定的行政工作任务或事业发展目标，用于专项业务工作的经费支出18.96万元。与上年对比持平。</w:t>
      </w:r>
    </w:p>
    <w:p w14:paraId="05DCA983">
      <w:pPr>
        <w:pStyle w:val="3"/>
        <w:shd w:val="clear" w:color="auto" w:fill="FFFFFF"/>
        <w:spacing w:before="150" w:beforeAutospacing="0" w:after="0" w:afterAutospacing="0" w:line="562" w:lineRule="atLeast"/>
        <w:ind w:firstLine="634"/>
        <w:jc w:val="both"/>
        <w:rPr>
          <w:rFonts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 xml:space="preserve"> </w:t>
      </w:r>
    </w:p>
    <w:p w14:paraId="496CAA17">
      <w:pPr>
        <w:jc w:val="left"/>
        <w:rPr>
          <w:rFonts w:hint="eastAsia" w:ascii="仿宋" w:hAnsi="仿宋" w:eastAsia="仿宋"/>
          <w:sz w:val="30"/>
          <w:szCs w:val="30"/>
        </w:rPr>
      </w:pPr>
      <w:r>
        <w:rPr>
          <w:rFonts w:hint="eastAsia" w:ascii="仿宋" w:hAnsi="仿宋" w:eastAsia="仿宋"/>
          <w:sz w:val="30"/>
          <w:szCs w:val="30"/>
        </w:rPr>
        <w:t>三、一般公共预算财政拨款支出决算情况说明</w:t>
      </w:r>
    </w:p>
    <w:p w14:paraId="4C414088">
      <w:pPr>
        <w:pStyle w:val="3"/>
        <w:spacing w:beforeAutospacing="0" w:afterAutospacing="0" w:line="600" w:lineRule="atLeast"/>
        <w:ind w:firstLine="600"/>
        <w:rPr>
          <w:rFonts w:hint="eastAsia" w:ascii="Calibri" w:hAnsi="Calibri"/>
        </w:rPr>
      </w:pPr>
      <w:r>
        <w:rPr>
          <w:rFonts w:hint="eastAsia" w:ascii="楷体" w:hAnsi="楷体" w:eastAsia="楷体"/>
          <w:color w:val="333333"/>
          <w:sz w:val="30"/>
          <w:szCs w:val="30"/>
          <w:shd w:val="clear" w:color="auto" w:fill="FFFFFF"/>
        </w:rPr>
        <w:t>（一）一般公共预算财政拨款支出决算总体情况</w:t>
      </w:r>
    </w:p>
    <w:p w14:paraId="647DE324">
      <w:pPr>
        <w:ind w:firstLine="600" w:firstLineChars="200"/>
        <w:jc w:val="left"/>
        <w:rPr>
          <w:rFonts w:ascii="仿宋" w:hAnsi="仿宋" w:eastAsia="仿宋"/>
          <w:color w:val="444444"/>
          <w:sz w:val="30"/>
          <w:szCs w:val="30"/>
          <w:shd w:val="clear" w:color="auto" w:fill="FFFFFF"/>
        </w:rPr>
      </w:pPr>
      <w:r>
        <w:rPr>
          <w:rFonts w:hint="eastAsia" w:ascii="仿宋" w:hAnsi="仿宋" w:eastAsia="仿宋"/>
          <w:color w:val="000000"/>
          <w:sz w:val="30"/>
          <w:szCs w:val="30"/>
          <w:shd w:val="clear" w:color="auto" w:fill="FFFFFF"/>
        </w:rPr>
        <w:t>盘龙区区级机关工委2017年度财政拨款收支决算总计128.25 万元。与2016年相比，增加18.62万元，主要原因是：</w:t>
      </w:r>
      <w:r>
        <w:rPr>
          <w:rFonts w:hint="eastAsia" w:ascii="仿宋" w:hAnsi="仿宋" w:eastAsia="仿宋"/>
          <w:color w:val="444444"/>
          <w:sz w:val="30"/>
          <w:szCs w:val="30"/>
          <w:shd w:val="clear" w:color="auto" w:fill="FFFFFF"/>
        </w:rPr>
        <w:t>2017年职工工资增长变动。包括基本工资、津贴补贴等。</w:t>
      </w:r>
    </w:p>
    <w:p w14:paraId="5C806218">
      <w:pPr>
        <w:pStyle w:val="3"/>
        <w:spacing w:beforeAutospacing="0" w:afterAutospacing="0" w:line="600" w:lineRule="atLeast"/>
        <w:ind w:firstLine="600"/>
        <w:rPr>
          <w:rFonts w:hint="eastAsia" w:ascii="Calibri" w:hAnsi="Calibri"/>
        </w:rPr>
      </w:pPr>
      <w:r>
        <w:rPr>
          <w:rFonts w:hint="eastAsia" w:ascii="楷体" w:hAnsi="楷体" w:eastAsia="楷体"/>
          <w:color w:val="333333"/>
          <w:sz w:val="30"/>
          <w:szCs w:val="30"/>
          <w:shd w:val="clear" w:color="auto" w:fill="FFFFFF"/>
        </w:rPr>
        <w:t xml:space="preserve">（二）一般公共预算财政拨款支出决算具体情况 </w:t>
      </w:r>
    </w:p>
    <w:p w14:paraId="1B0C3307">
      <w:pPr>
        <w:pStyle w:val="3"/>
        <w:spacing w:beforeAutospacing="0" w:afterAutospacing="0" w:line="600" w:lineRule="atLeast"/>
        <w:ind w:firstLine="600"/>
      </w:pPr>
      <w:r>
        <w:rPr>
          <w:rFonts w:hint="eastAsia" w:ascii="仿宋" w:hAnsi="仿宋" w:eastAsia="仿宋"/>
          <w:color w:val="333333"/>
          <w:sz w:val="30"/>
          <w:szCs w:val="30"/>
          <w:shd w:val="clear" w:color="auto" w:fill="FFFFFF"/>
        </w:rPr>
        <w:t>1.一般公共服务（类）支出105.24万元，占一般公共预算财政拨款总支出的80.06%。主要用于单位基本支出以及专项业务工作的经费支出。</w:t>
      </w:r>
    </w:p>
    <w:p w14:paraId="7935B41A">
      <w:pPr>
        <w:pStyle w:val="3"/>
        <w:spacing w:beforeAutospacing="0" w:afterAutospacing="0" w:line="600" w:lineRule="atLeast"/>
        <w:ind w:firstLine="600"/>
      </w:pPr>
      <w:r>
        <w:rPr>
          <w:rFonts w:hint="eastAsia" w:ascii="仿宋" w:hAnsi="仿宋" w:eastAsia="仿宋"/>
          <w:color w:val="333333"/>
          <w:sz w:val="30"/>
          <w:szCs w:val="30"/>
          <w:shd w:val="clear" w:color="auto" w:fill="FFFFFF"/>
        </w:rPr>
        <w:t>2.医疗卫生与计划生育支出10.35万元，占一般公共预算财政拨款总支出的8.07%。主要用于按照规定缴纳机关、单位职工的基本医疗保险及公务员医疗补助。</w:t>
      </w:r>
    </w:p>
    <w:p w14:paraId="3D2F5D70">
      <w:pPr>
        <w:pStyle w:val="3"/>
        <w:spacing w:beforeAutospacing="0" w:afterAutospacing="0" w:line="600" w:lineRule="atLeast"/>
      </w:pPr>
      <w:r>
        <w:rPr>
          <w:rFonts w:hint="eastAsia" w:ascii="仿宋" w:hAnsi="仿宋" w:eastAsia="仿宋"/>
          <w:color w:val="333333"/>
          <w:sz w:val="30"/>
          <w:szCs w:val="30"/>
          <w:shd w:val="clear" w:color="auto" w:fill="FFFFFF"/>
        </w:rPr>
        <w:t xml:space="preserve">    3.住房保障支出12.66万元，占一般公共预算财政拨款总支出的9.87%。主要用于按照规定为职工缴纳机关、事业单位的住房公积金支出。</w:t>
      </w:r>
    </w:p>
    <w:p w14:paraId="2F149641">
      <w:pPr>
        <w:widowControl/>
        <w:snapToGrid w:val="0"/>
        <w:spacing w:before="100" w:after="100" w:line="600" w:lineRule="exact"/>
        <w:jc w:val="left"/>
        <w:rPr>
          <w:rFonts w:ascii="仿宋" w:hAnsi="仿宋" w:eastAsia="仿宋"/>
          <w:color w:val="444444"/>
          <w:sz w:val="30"/>
          <w:szCs w:val="30"/>
          <w:shd w:val="clear" w:color="auto" w:fill="FFFFFF"/>
        </w:rPr>
      </w:pPr>
      <w:r>
        <w:rPr>
          <w:rFonts w:hint="eastAsia" w:ascii="仿宋" w:hAnsi="仿宋" w:eastAsia="仿宋"/>
          <w:color w:val="444444"/>
          <w:sz w:val="30"/>
          <w:szCs w:val="30"/>
          <w:shd w:val="clear" w:color="auto" w:fill="FFFFFF"/>
        </w:rPr>
        <w:t xml:space="preserve"> </w:t>
      </w:r>
    </w:p>
    <w:p w14:paraId="29C50B62">
      <w:pPr>
        <w:widowControl/>
        <w:snapToGrid w:val="0"/>
        <w:spacing w:before="100" w:after="100" w:line="600" w:lineRule="exact"/>
        <w:jc w:val="left"/>
        <w:rPr>
          <w:rFonts w:hint="eastAsia" w:ascii="仿宋" w:hAnsi="仿宋" w:eastAsia="仿宋"/>
          <w:color w:val="333333"/>
          <w:sz w:val="30"/>
          <w:szCs w:val="30"/>
        </w:rPr>
      </w:pPr>
      <w:r>
        <w:rPr>
          <w:rFonts w:hint="eastAsia" w:ascii="仿宋" w:hAnsi="仿宋" w:eastAsia="仿宋"/>
          <w:sz w:val="30"/>
          <w:szCs w:val="30"/>
        </w:rPr>
        <w:t>四、一般公共预算财政拨款“三公”经费支出决算情况说明</w:t>
      </w:r>
    </w:p>
    <w:p w14:paraId="412E495B">
      <w:pPr>
        <w:pStyle w:val="3"/>
        <w:spacing w:beforeAutospacing="0" w:afterAutospacing="0" w:line="360" w:lineRule="auto"/>
        <w:ind w:firstLine="600"/>
        <w:rPr>
          <w:rFonts w:hint="eastAsia" w:ascii="Calibri" w:hAnsi="Calibri"/>
        </w:rPr>
      </w:pPr>
      <w:r>
        <w:rPr>
          <w:rFonts w:hint="eastAsia" w:ascii="楷体" w:hAnsi="楷体" w:eastAsia="楷体"/>
          <w:color w:val="333333"/>
          <w:sz w:val="30"/>
          <w:szCs w:val="30"/>
          <w:shd w:val="clear" w:color="auto" w:fill="FFFFFF"/>
        </w:rPr>
        <w:t>(一)</w:t>
      </w:r>
      <w:r>
        <w:rPr>
          <w:rFonts w:hint="eastAsia" w:ascii="黑体" w:eastAsia="黑体"/>
          <w:color w:val="333333"/>
          <w:sz w:val="30"/>
          <w:szCs w:val="30"/>
          <w:shd w:val="clear" w:color="auto" w:fill="FFFFFF"/>
        </w:rPr>
        <w:t xml:space="preserve"> </w:t>
      </w:r>
      <w:r>
        <w:rPr>
          <w:rFonts w:hint="eastAsia" w:ascii="楷体" w:hAnsi="楷体" w:eastAsia="楷体"/>
          <w:color w:val="333333"/>
          <w:sz w:val="30"/>
          <w:szCs w:val="30"/>
          <w:shd w:val="clear" w:color="auto" w:fill="FFFFFF"/>
        </w:rPr>
        <w:t>一般公共预算财政拨款“三公”经费支出决算总体情况</w:t>
      </w:r>
    </w:p>
    <w:p w14:paraId="643F431D">
      <w:pPr>
        <w:pStyle w:val="3"/>
        <w:shd w:val="clear" w:color="auto" w:fill="FFFFFF"/>
        <w:spacing w:before="30" w:beforeAutospacing="0" w:after="0" w:afterAutospacing="0" w:line="600" w:lineRule="atLeast"/>
        <w:ind w:firstLine="600"/>
        <w:rPr>
          <w:rFonts w:ascii="仿宋" w:hAnsi="仿宋" w:eastAsia="仿宋"/>
          <w:color w:val="333333"/>
          <w:sz w:val="30"/>
          <w:szCs w:val="30"/>
          <w:shd w:val="clear" w:color="auto" w:fill="FFFFFF"/>
        </w:rPr>
      </w:pPr>
      <w:r>
        <w:rPr>
          <w:rFonts w:hint="eastAsia" w:ascii="仿宋" w:hAnsi="仿宋" w:eastAsia="仿宋"/>
          <w:color w:val="333333"/>
          <w:sz w:val="30"/>
          <w:szCs w:val="30"/>
          <w:shd w:val="clear" w:color="auto" w:fill="FFFFFF"/>
        </w:rPr>
        <w:t>云南省昆明市盘龙区区级机关工委2017年度一般公共预算财政拨款“三公”经费支出预算为0.5万元，支出决算为0万元，完成预算的0%。其中：因公出国（境）费支出决算为0万元，完成预算的0%；公务用车购置及运行费支出决算为0万元，完成预算的0%；公务接待费支出决算为0万元，完成预算的0%。2017年度一般公共预算财政拨款“三公”经费支出决算数小于预算数的主要原因认真贯彻落实省委、省政府关于厉行节约的各项要求，全年实际支出比预算有所节约。</w:t>
      </w:r>
    </w:p>
    <w:p w14:paraId="07B33786">
      <w:pPr>
        <w:pStyle w:val="3"/>
        <w:spacing w:beforeAutospacing="0" w:afterAutospacing="0" w:line="360" w:lineRule="auto"/>
        <w:ind w:firstLine="600"/>
        <w:rPr>
          <w:rFonts w:hint="eastAsia" w:ascii="Calibri" w:hAnsi="Calibri"/>
        </w:rPr>
      </w:pPr>
      <w:r>
        <w:rPr>
          <w:rFonts w:hint="eastAsia" w:ascii="楷体" w:hAnsi="楷体" w:eastAsia="楷体"/>
          <w:color w:val="333333"/>
          <w:sz w:val="30"/>
          <w:szCs w:val="30"/>
          <w:shd w:val="clear" w:color="auto" w:fill="FFFFFF"/>
        </w:rPr>
        <w:t>(二)</w:t>
      </w:r>
      <w:r>
        <w:rPr>
          <w:rFonts w:ascii="仿宋_GB2312" w:hAnsi="微软雅黑"/>
          <w:color w:val="333333"/>
          <w:sz w:val="30"/>
          <w:szCs w:val="30"/>
          <w:shd w:val="clear" w:color="auto" w:fill="FFFFFF"/>
        </w:rPr>
        <w:t xml:space="preserve"> </w:t>
      </w:r>
      <w:r>
        <w:rPr>
          <w:rFonts w:hint="eastAsia" w:ascii="楷体" w:hAnsi="楷体" w:eastAsia="楷体"/>
          <w:color w:val="333333"/>
          <w:sz w:val="30"/>
          <w:szCs w:val="30"/>
          <w:shd w:val="clear" w:color="auto" w:fill="FFFFFF"/>
        </w:rPr>
        <w:t>一般公共预算财政拨款“三公”经费支出决算具体情况</w:t>
      </w:r>
    </w:p>
    <w:p w14:paraId="65927D2A">
      <w:pPr>
        <w:pStyle w:val="3"/>
        <w:spacing w:beforeAutospacing="0" w:afterAutospacing="0" w:line="600" w:lineRule="atLeast"/>
      </w:pPr>
      <w:r>
        <w:rPr>
          <w:rFonts w:ascii="仿宋_GB2312" w:hAnsi="微软雅黑"/>
          <w:color w:val="333333"/>
          <w:sz w:val="30"/>
          <w:szCs w:val="30"/>
          <w:shd w:val="clear" w:color="auto" w:fill="FFFFFF"/>
        </w:rPr>
        <w:t xml:space="preserve">    2017年度一般公共预算财政拨款</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三公</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经费支出决算中，因公出国（境）费支出</w:t>
      </w:r>
      <w:r>
        <w:rPr>
          <w:rFonts w:ascii="仿宋_GB2312" w:hAnsi="微软雅黑"/>
          <w:color w:val="333333"/>
          <w:sz w:val="30"/>
          <w:szCs w:val="30"/>
          <w:shd w:val="clear" w:color="auto" w:fill="FFFFFF"/>
        </w:rPr>
        <w:t>0</w:t>
      </w:r>
      <w:r>
        <w:rPr>
          <w:rFonts w:ascii="仿宋_GB2312" w:hAnsi="仿宋_GB2312"/>
          <w:color w:val="333333"/>
          <w:sz w:val="30"/>
          <w:szCs w:val="30"/>
          <w:shd w:val="clear" w:color="auto" w:fill="FFFFFF"/>
        </w:rPr>
        <w:t>万元，占</w:t>
      </w:r>
      <w:r>
        <w:rPr>
          <w:rFonts w:ascii="仿宋_GB2312" w:hAnsi="微软雅黑"/>
          <w:color w:val="333333"/>
          <w:sz w:val="30"/>
          <w:szCs w:val="30"/>
          <w:shd w:val="clear" w:color="auto" w:fill="FFFFFF"/>
        </w:rPr>
        <w:t>0%；公务用车购置及运行维护费支出0</w:t>
      </w:r>
      <w:r>
        <w:rPr>
          <w:rFonts w:ascii="仿宋_GB2312" w:hAnsi="仿宋_GB2312"/>
          <w:color w:val="333333"/>
          <w:sz w:val="30"/>
          <w:szCs w:val="30"/>
          <w:shd w:val="clear" w:color="auto" w:fill="FFFFFF"/>
        </w:rPr>
        <w:t>万元，占</w:t>
      </w:r>
      <w:r>
        <w:rPr>
          <w:rFonts w:ascii="仿宋_GB2312" w:hAnsi="微软雅黑"/>
          <w:color w:val="333333"/>
          <w:sz w:val="30"/>
          <w:szCs w:val="30"/>
          <w:shd w:val="clear" w:color="auto" w:fill="FFFFFF"/>
        </w:rPr>
        <w:t>0%；公务接待费支出0</w:t>
      </w:r>
      <w:r>
        <w:rPr>
          <w:rFonts w:ascii="仿宋_GB2312" w:hAnsi="仿宋_GB2312"/>
          <w:color w:val="333333"/>
          <w:sz w:val="30"/>
          <w:szCs w:val="30"/>
          <w:shd w:val="clear" w:color="auto" w:fill="FFFFFF"/>
        </w:rPr>
        <w:t>万元，占</w:t>
      </w:r>
      <w:r>
        <w:rPr>
          <w:rFonts w:ascii="仿宋_GB2312" w:hAnsi="微软雅黑"/>
          <w:color w:val="333333"/>
          <w:sz w:val="30"/>
          <w:szCs w:val="30"/>
          <w:shd w:val="clear" w:color="auto" w:fill="FFFFFF"/>
        </w:rPr>
        <w:t>0%。具体情况如下：</w:t>
      </w:r>
    </w:p>
    <w:p w14:paraId="5118C9F7">
      <w:pPr>
        <w:pStyle w:val="3"/>
        <w:spacing w:beforeAutospacing="0" w:afterAutospacing="0" w:line="600" w:lineRule="atLeast"/>
        <w:rPr>
          <w:rFonts w:ascii="仿宋" w:hAnsi="仿宋" w:eastAsia="仿宋"/>
        </w:rPr>
      </w:pPr>
      <w:r>
        <w:rPr>
          <w:rFonts w:ascii="仿宋_GB2312" w:hAnsi="微软雅黑"/>
          <w:color w:val="333333"/>
          <w:sz w:val="30"/>
          <w:szCs w:val="30"/>
          <w:shd w:val="clear" w:color="auto" w:fill="FFFFFF"/>
        </w:rPr>
        <w:t xml:space="preserve">    </w:t>
      </w:r>
      <w:r>
        <w:rPr>
          <w:rFonts w:ascii="仿宋_GB2312" w:hAnsi="微软雅黑"/>
          <w:b/>
          <w:bCs/>
          <w:color w:val="333333"/>
          <w:sz w:val="30"/>
          <w:szCs w:val="30"/>
          <w:shd w:val="clear" w:color="auto" w:fill="FFFFFF"/>
        </w:rPr>
        <w:t>1.因公出国（境）费</w:t>
      </w:r>
      <w:r>
        <w:rPr>
          <w:rFonts w:hint="eastAsia" w:ascii="仿宋" w:hAnsi="仿宋" w:eastAsia="仿宋"/>
          <w:color w:val="333333"/>
          <w:sz w:val="30"/>
          <w:szCs w:val="30"/>
          <w:shd w:val="clear" w:color="auto" w:fill="FFFFFF"/>
        </w:rPr>
        <w:t>支出0万元，共安排因公出国（境）团组0个，累计0人次。</w:t>
      </w:r>
    </w:p>
    <w:p w14:paraId="4184D648">
      <w:pPr>
        <w:pStyle w:val="3"/>
        <w:spacing w:beforeAutospacing="0" w:afterAutospacing="0" w:line="600" w:lineRule="atLeast"/>
        <w:rPr>
          <w:rFonts w:hint="eastAsia" w:ascii="Calibri" w:hAnsi="Calibri"/>
        </w:rPr>
      </w:pPr>
      <w:r>
        <w:rPr>
          <w:rFonts w:hint="eastAsia" w:ascii="仿宋" w:hAnsi="仿宋" w:eastAsia="仿宋"/>
          <w:color w:val="333333"/>
          <w:sz w:val="30"/>
          <w:szCs w:val="30"/>
          <w:shd w:val="clear" w:color="auto" w:fill="FFFFFF"/>
        </w:rPr>
        <w:t xml:space="preserve">    </w:t>
      </w:r>
      <w:r>
        <w:rPr>
          <w:rFonts w:ascii="仿宋_GB2312" w:hAnsi="微软雅黑"/>
          <w:b/>
          <w:bCs/>
          <w:color w:val="333333"/>
          <w:sz w:val="30"/>
          <w:szCs w:val="30"/>
          <w:shd w:val="clear" w:color="auto" w:fill="FFFFFF"/>
        </w:rPr>
        <w:t>2. 公务用车购置及运行维护费</w:t>
      </w:r>
      <w:r>
        <w:rPr>
          <w:rFonts w:hint="eastAsia" w:ascii="仿宋" w:hAnsi="仿宋" w:eastAsia="仿宋"/>
          <w:color w:val="333333"/>
          <w:sz w:val="30"/>
          <w:szCs w:val="30"/>
          <w:shd w:val="clear" w:color="auto" w:fill="FFFFFF"/>
        </w:rPr>
        <w:t>支出0万元。其中：</w:t>
      </w:r>
    </w:p>
    <w:p w14:paraId="46EFC5A2">
      <w:pPr>
        <w:pStyle w:val="3"/>
        <w:spacing w:beforeAutospacing="0" w:afterAutospacing="0" w:line="360" w:lineRule="auto"/>
        <w:ind w:firstLine="600"/>
      </w:pPr>
      <w:r>
        <w:rPr>
          <w:rFonts w:ascii="仿宋_GB2312" w:hAnsi="仿宋_GB2312"/>
          <w:b/>
          <w:bCs/>
          <w:color w:val="333333"/>
          <w:sz w:val="30"/>
          <w:szCs w:val="30"/>
          <w:shd w:val="clear" w:color="auto" w:fill="FFFFFF"/>
        </w:rPr>
        <w:t>公务用车购置</w:t>
      </w:r>
      <w:r>
        <w:rPr>
          <w:rFonts w:hint="eastAsia" w:ascii="仿宋" w:hAnsi="仿宋" w:eastAsia="仿宋"/>
          <w:color w:val="333333"/>
          <w:sz w:val="30"/>
          <w:szCs w:val="30"/>
          <w:shd w:val="clear" w:color="auto" w:fill="FFFFFF"/>
        </w:rPr>
        <w:t>支出0万元，购置车辆0辆。</w:t>
      </w:r>
    </w:p>
    <w:p w14:paraId="5E9D36EC">
      <w:pPr>
        <w:pStyle w:val="3"/>
        <w:spacing w:beforeAutospacing="0" w:afterAutospacing="0" w:line="600" w:lineRule="atLeast"/>
        <w:rPr>
          <w:rFonts w:ascii="仿宋" w:hAnsi="仿宋" w:eastAsia="仿宋"/>
          <w:color w:val="333333"/>
          <w:sz w:val="30"/>
          <w:szCs w:val="30"/>
          <w:shd w:val="clear" w:color="auto" w:fill="FFFFFF"/>
        </w:rPr>
      </w:pPr>
      <w:r>
        <w:rPr>
          <w:rFonts w:ascii="仿宋_GB2312" w:hAnsi="仿宋_GB2312"/>
          <w:b/>
          <w:bCs/>
          <w:color w:val="333333"/>
          <w:sz w:val="30"/>
          <w:szCs w:val="30"/>
          <w:shd w:val="clear" w:color="auto" w:fill="FFFFFF"/>
        </w:rPr>
        <w:t>公务用车运行维护</w:t>
      </w:r>
      <w:r>
        <w:rPr>
          <w:rFonts w:hint="eastAsia" w:ascii="仿宋" w:hAnsi="仿宋" w:eastAsia="仿宋"/>
          <w:color w:val="333333"/>
          <w:sz w:val="30"/>
          <w:szCs w:val="30"/>
          <w:shd w:val="clear" w:color="auto" w:fill="FFFFFF"/>
        </w:rPr>
        <w:t>支出0万元，开支一般公共预算财政拨款的公务用车保有量为0辆。</w:t>
      </w:r>
    </w:p>
    <w:p w14:paraId="2D8EAEA4">
      <w:pPr>
        <w:pStyle w:val="3"/>
        <w:spacing w:beforeAutospacing="0" w:afterAutospacing="0" w:line="600" w:lineRule="atLeast"/>
        <w:rPr>
          <w:rFonts w:hint="eastAsia" w:ascii="Calibri" w:hAnsi="Calibri"/>
        </w:rPr>
      </w:pPr>
      <w:r>
        <w:rPr>
          <w:rFonts w:hint="eastAsia" w:ascii="仿宋" w:hAnsi="仿宋" w:eastAsia="仿宋"/>
          <w:color w:val="333333"/>
          <w:sz w:val="30"/>
          <w:szCs w:val="30"/>
          <w:shd w:val="clear" w:color="auto" w:fill="FFFFFF"/>
        </w:rPr>
        <w:t xml:space="preserve">    </w:t>
      </w:r>
      <w:r>
        <w:rPr>
          <w:rFonts w:ascii="仿宋_GB2312" w:hAnsi="微软雅黑"/>
          <w:b/>
          <w:bCs/>
          <w:color w:val="333333"/>
          <w:sz w:val="30"/>
          <w:szCs w:val="30"/>
          <w:shd w:val="clear" w:color="auto" w:fill="FFFFFF"/>
        </w:rPr>
        <w:t>3.公务接待费</w:t>
      </w:r>
      <w:r>
        <w:rPr>
          <w:rFonts w:hint="eastAsia" w:ascii="仿宋" w:hAnsi="仿宋" w:eastAsia="仿宋"/>
          <w:color w:val="333333"/>
          <w:sz w:val="30"/>
          <w:szCs w:val="30"/>
          <w:shd w:val="clear" w:color="auto" w:fill="FFFFFF"/>
        </w:rPr>
        <w:t>支出0万元。其中：</w:t>
      </w:r>
    </w:p>
    <w:p w14:paraId="4183E4D1">
      <w:pPr>
        <w:pStyle w:val="3"/>
        <w:spacing w:beforeAutospacing="0" w:afterAutospacing="0" w:line="360" w:lineRule="auto"/>
        <w:ind w:firstLine="600"/>
        <w:rPr>
          <w:rFonts w:ascii="仿宋" w:hAnsi="仿宋" w:eastAsia="仿宋"/>
          <w:color w:val="333333"/>
          <w:sz w:val="30"/>
          <w:szCs w:val="30"/>
          <w:shd w:val="clear" w:color="auto" w:fill="FFFFFF"/>
        </w:rPr>
      </w:pPr>
      <w:r>
        <w:rPr>
          <w:rFonts w:ascii="仿宋_GB2312" w:hAnsi="仿宋_GB2312"/>
          <w:b/>
          <w:bCs/>
          <w:color w:val="333333"/>
          <w:sz w:val="30"/>
          <w:szCs w:val="30"/>
          <w:shd w:val="clear" w:color="auto" w:fill="FFFFFF"/>
        </w:rPr>
        <w:t>国内接待费</w:t>
      </w:r>
      <w:r>
        <w:rPr>
          <w:rFonts w:hint="eastAsia" w:ascii="仿宋" w:hAnsi="仿宋" w:eastAsia="仿宋"/>
          <w:color w:val="333333"/>
          <w:sz w:val="30"/>
          <w:szCs w:val="30"/>
          <w:shd w:val="clear" w:color="auto" w:fill="FFFFFF"/>
        </w:rPr>
        <w:t>支出0万元（其中：外事接待费支出0万元），共安排国内公务接待00批次（其中：外事接待0批次），接待人次0人（其中：外事接待人次0人）。</w:t>
      </w:r>
    </w:p>
    <w:p w14:paraId="1A82ACC9">
      <w:pPr>
        <w:pStyle w:val="3"/>
        <w:spacing w:beforeAutospacing="0" w:afterAutospacing="0" w:line="360" w:lineRule="auto"/>
        <w:ind w:firstLine="600"/>
        <w:rPr>
          <w:rFonts w:hint="eastAsia" w:ascii="Calibri" w:hAnsi="Calibri"/>
        </w:rPr>
      </w:pPr>
      <w:r>
        <w:rPr>
          <w:rFonts w:ascii="仿宋_GB2312" w:hAnsi="仿宋_GB2312"/>
          <w:b/>
          <w:bCs/>
          <w:color w:val="333333"/>
          <w:sz w:val="30"/>
          <w:szCs w:val="30"/>
          <w:shd w:val="clear" w:color="auto" w:fill="FFFFFF"/>
        </w:rPr>
        <w:t>国（境）外接待费</w:t>
      </w:r>
      <w:r>
        <w:rPr>
          <w:rFonts w:hint="eastAsia" w:ascii="仿宋" w:hAnsi="仿宋" w:eastAsia="仿宋"/>
          <w:color w:val="333333"/>
          <w:sz w:val="30"/>
          <w:szCs w:val="30"/>
          <w:shd w:val="clear" w:color="auto" w:fill="FFFFFF"/>
        </w:rPr>
        <w:t>支出0万元。</w:t>
      </w:r>
    </w:p>
    <w:p w14:paraId="77DBCFC6">
      <w:pPr>
        <w:pStyle w:val="3"/>
        <w:shd w:val="clear" w:color="auto" w:fill="FFFFFF"/>
        <w:spacing w:before="30" w:beforeAutospacing="0" w:after="0" w:afterAutospacing="0" w:line="600" w:lineRule="atLeast"/>
        <w:ind w:firstLine="600"/>
        <w:rPr>
          <w:rFonts w:ascii="仿宋" w:hAnsi="仿宋" w:eastAsia="仿宋"/>
          <w:color w:val="333333"/>
          <w:sz w:val="30"/>
          <w:szCs w:val="30"/>
          <w:shd w:val="clear" w:color="auto" w:fill="FFFFFF"/>
        </w:rPr>
      </w:pPr>
      <w:r>
        <w:rPr>
          <w:rFonts w:hint="eastAsia" w:ascii="仿宋" w:hAnsi="仿宋" w:eastAsia="仿宋"/>
          <w:color w:val="333333"/>
          <w:sz w:val="30"/>
          <w:szCs w:val="30"/>
          <w:shd w:val="clear" w:color="auto" w:fill="FFFFFF"/>
        </w:rPr>
        <w:t xml:space="preserve"> </w:t>
      </w:r>
    </w:p>
    <w:p w14:paraId="377FA7C1">
      <w:pPr>
        <w:widowControl/>
        <w:numPr>
          <w:ilvl w:val="0"/>
          <w:numId w:val="4"/>
        </w:numPr>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其他重要事项及相关口径情况说明</w:t>
      </w:r>
    </w:p>
    <w:p w14:paraId="0B5A0EFA">
      <w:pPr>
        <w:pStyle w:val="3"/>
        <w:shd w:val="clear" w:color="auto" w:fill="FFFFFF"/>
        <w:spacing w:before="150" w:beforeAutospacing="0" w:after="0" w:afterAutospacing="0" w:line="562" w:lineRule="atLeast"/>
        <w:ind w:firstLine="634"/>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（一）机关运行经费支出情况。</w:t>
      </w:r>
    </w:p>
    <w:p w14:paraId="1F46474C">
      <w:pPr>
        <w:pStyle w:val="3"/>
        <w:shd w:val="clear" w:color="auto" w:fill="FFFFFF"/>
        <w:spacing w:before="150" w:beforeAutospacing="0" w:after="0" w:afterAutospacing="0" w:line="562" w:lineRule="atLeast"/>
        <w:ind w:firstLine="634"/>
        <w:jc w:val="both"/>
        <w:rPr>
          <w:rFonts w:hint="eastAsia" w:ascii="仿宋" w:hAnsi="仿宋" w:eastAsia="仿宋"/>
          <w:sz w:val="30"/>
          <w:szCs w:val="30"/>
        </w:rPr>
      </w:pPr>
      <w:r>
        <w:rPr>
          <w:rFonts w:hint="eastAsia" w:ascii="仿宋" w:hAnsi="仿宋" w:eastAsia="仿宋"/>
          <w:color w:val="000000"/>
          <w:sz w:val="30"/>
          <w:szCs w:val="30"/>
          <w:shd w:val="clear" w:color="auto" w:fill="FFFFFF"/>
        </w:rPr>
        <w:t>2017年盘龙区区级机关工委机关运行经费支出16.63万元。</w:t>
      </w:r>
    </w:p>
    <w:p w14:paraId="3AB216F0">
      <w:pPr>
        <w:pStyle w:val="3"/>
        <w:shd w:val="clear" w:color="auto" w:fill="FFFFFF"/>
        <w:spacing w:before="150" w:beforeAutospacing="0" w:after="0" w:afterAutospacing="0"/>
        <w:ind w:firstLine="600" w:firstLineChars="200"/>
        <w:jc w:val="both"/>
        <w:rPr>
          <w:rFonts w:hint="eastAsia" w:ascii="仿宋" w:hAnsi="仿宋" w:eastAsia="仿宋"/>
          <w:color w:val="000000"/>
          <w:sz w:val="30"/>
          <w:szCs w:val="30"/>
          <w:shd w:val="clear" w:color="auto" w:fill="FFFFFF"/>
        </w:rPr>
      </w:pPr>
      <w:r>
        <w:rPr>
          <w:rFonts w:hint="eastAsia" w:ascii="仿宋" w:hAnsi="仿宋" w:eastAsia="仿宋"/>
          <w:color w:val="333333"/>
          <w:sz w:val="30"/>
          <w:szCs w:val="30"/>
          <w:shd w:val="clear" w:color="auto" w:fill="FFFFFF"/>
        </w:rPr>
        <w:t>（二） 国有资产占用情况</w:t>
      </w:r>
      <w:r>
        <w:rPr>
          <w:rFonts w:hint="eastAsia" w:ascii="仿宋" w:hAnsi="仿宋" w:eastAsia="仿宋"/>
          <w:color w:val="000000"/>
          <w:sz w:val="30"/>
          <w:szCs w:val="30"/>
          <w:shd w:val="clear" w:color="auto" w:fill="FFFFFF"/>
        </w:rPr>
        <w:t>。</w:t>
      </w:r>
    </w:p>
    <w:p w14:paraId="590E9D54">
      <w:pPr>
        <w:ind w:firstLine="720" w:firstLineChars="225"/>
        <w:rPr>
          <w:rFonts w:hint="eastAsia" w:ascii="仿宋" w:hAnsi="仿宋" w:eastAsia="仿宋"/>
          <w:color w:val="000000"/>
          <w:sz w:val="30"/>
          <w:szCs w:val="30"/>
          <w:shd w:val="clear" w:color="auto" w:fill="FFFFFF"/>
        </w:rPr>
      </w:pPr>
      <w:r>
        <w:rPr>
          <w:rFonts w:ascii="仿宋_GB2312" w:hAnsi="仿宋_GB2312"/>
          <w:sz w:val="32"/>
          <w:szCs w:val="32"/>
        </w:rPr>
        <w:t>截止2017年12月31日，我单位资产总额为24.62万元，主要由流动资产19.28万元，占资产总额的78.31%，主要为银行存款；固定资产5.32万元，占资产总额的21.63%，主要包括通用设备4.51万元、家具用具0.81万元 ，</w:t>
      </w:r>
      <w:r>
        <w:rPr>
          <w:rFonts w:hint="eastAsia" w:ascii="仿宋" w:hAnsi="仿宋" w:eastAsia="仿宋"/>
          <w:color w:val="000000"/>
          <w:sz w:val="30"/>
          <w:szCs w:val="30"/>
          <w:shd w:val="clear" w:color="auto" w:fill="FFFFFF"/>
        </w:rPr>
        <w:t>共有车辆0辆，其中， 一般公务用车0辆、一般执法执勤用车0辆、特种专业技术用车0辆、其他用车0辆（其他用车主要是： ）；单位价值50万元以上通用设备0台（套），单位价值100万元以上专用设备0台（套）。</w:t>
      </w:r>
    </w:p>
    <w:tbl>
      <w:tblPr>
        <w:tblStyle w:val="4"/>
        <w:tblW w:w="10770" w:type="dxa"/>
        <w:tblInd w:w="135"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618"/>
      </w:tblGrid>
      <w:tr w14:paraId="0586F9AB">
        <w:tblPrEx>
          <w:tblCellMar>
            <w:top w:w="0" w:type="dxa"/>
            <w:left w:w="0" w:type="dxa"/>
            <w:bottom w:w="0" w:type="dxa"/>
            <w:right w:w="0" w:type="dxa"/>
          </w:tblCellMar>
        </w:tblPrEx>
        <w:trPr>
          <w:trHeight w:val="495" w:hRule="atLeast"/>
        </w:trPr>
        <w:tc>
          <w:tcPr>
            <w:tcW w:w="10770" w:type="dxa"/>
            <w:gridSpan w:val="19"/>
            <w:tcBorders>
              <w:top w:val="nil"/>
              <w:left w:val="nil"/>
              <w:bottom w:val="nil"/>
              <w:right w:val="nil"/>
            </w:tcBorders>
            <w:shd w:val="clear" w:color="auto" w:fill="FFFFFF"/>
            <w:tcMar>
              <w:top w:w="15" w:type="dxa"/>
              <w:left w:w="15" w:type="dxa"/>
              <w:bottom w:w="15" w:type="dxa"/>
              <w:right w:w="15" w:type="dxa"/>
            </w:tcMar>
            <w:vAlign w:val="center"/>
          </w:tcPr>
          <w:p w14:paraId="521D7F4E">
            <w:pPr>
              <w:widowControl/>
              <w:jc w:val="center"/>
              <w:textAlignment w:val="center"/>
              <w:rPr>
                <w:rFonts w:ascii="宋体" w:hAnsi="宋体"/>
                <w:color w:val="000000"/>
                <w:kern w:val="0"/>
                <w:sz w:val="24"/>
                <w:szCs w:val="24"/>
              </w:rPr>
            </w:pPr>
            <w:r>
              <w:rPr>
                <w:rFonts w:ascii="仿宋_GB2312" w:hAnsi="方正小标宋_GBK" w:cs="方正小标宋_GBK"/>
                <w:b/>
                <w:bCs/>
                <w:color w:val="000000"/>
                <w:kern w:val="0"/>
                <w:sz w:val="30"/>
                <w:szCs w:val="30"/>
              </w:rPr>
              <w:t>国有资产占有使用情况表</w:t>
            </w:r>
          </w:p>
        </w:tc>
      </w:tr>
      <w:tr w14:paraId="3958ED9C">
        <w:tblPrEx>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6DB6E7BB">
            <w:pPr>
              <w:widowControl/>
              <w:jc w:val="left"/>
              <w:textAlignment w:val="center"/>
              <w:rPr>
                <w:rFonts w:ascii="宋体" w:hAnsi="宋体"/>
                <w:color w:val="000000"/>
                <w:kern w:val="0"/>
                <w:sz w:val="24"/>
                <w:szCs w:val="24"/>
              </w:rPr>
            </w:pPr>
            <w:r>
              <w:rPr>
                <w:rFonts w:hint="eastAsia" w:ascii="宋体" w:hAnsi="宋体"/>
                <w:color w:val="000000"/>
                <w:kern w:val="0"/>
                <w:sz w:val="20"/>
                <w:szCs w:val="20"/>
              </w:rPr>
              <w:t> </w:t>
            </w:r>
          </w:p>
        </w:tc>
        <w:tc>
          <w:tcPr>
            <w:tcW w:w="865"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7EB5E6C3">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974" w:type="dxa"/>
            <w:gridSpan w:val="2"/>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4F2AAFD3">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196"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13B26B22">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978"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2554A886">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979"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340566C3">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2098" w:type="dxa"/>
            <w:gridSpan w:val="5"/>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01293C6B">
            <w:pPr>
              <w:widowControl/>
              <w:jc w:val="right"/>
              <w:textAlignment w:val="center"/>
              <w:rPr>
                <w:rFonts w:ascii="宋体" w:hAnsi="宋体"/>
                <w:color w:val="000000"/>
                <w:kern w:val="0"/>
                <w:sz w:val="24"/>
                <w:szCs w:val="24"/>
              </w:rPr>
            </w:pPr>
            <w:r>
              <w:rPr>
                <w:rFonts w:hint="eastAsia" w:ascii="宋体" w:hAnsi="宋体"/>
                <w:color w:val="000000"/>
                <w:kern w:val="0"/>
                <w:sz w:val="20"/>
                <w:szCs w:val="20"/>
              </w:rPr>
              <w:t>单位：万元</w:t>
            </w:r>
          </w:p>
        </w:tc>
      </w:tr>
      <w:tr w14:paraId="18C82C43">
        <w:tblPrEx>
          <w:tblCellMar>
            <w:top w:w="0" w:type="dxa"/>
            <w:left w:w="0" w:type="dxa"/>
            <w:bottom w:w="0" w:type="dxa"/>
            <w:right w:w="0" w:type="dxa"/>
          </w:tblCellMar>
        </w:tblPrEx>
        <w:trPr>
          <w:trHeight w:val="415" w:hRule="atLeast"/>
        </w:trPr>
        <w:tc>
          <w:tcPr>
            <w:tcW w:w="715" w:type="dxa"/>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2BE6D911">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项目</w:t>
            </w:r>
          </w:p>
        </w:tc>
        <w:tc>
          <w:tcPr>
            <w:tcW w:w="546"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631F8321">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行次</w:t>
            </w:r>
          </w:p>
        </w:tc>
        <w:tc>
          <w:tcPr>
            <w:tcW w:w="700"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5BA4B8DC">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资产总额</w:t>
            </w:r>
          </w:p>
        </w:tc>
        <w:tc>
          <w:tcPr>
            <w:tcW w:w="684"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57ECB321">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流动资产</w:t>
            </w:r>
          </w:p>
        </w:tc>
        <w:tc>
          <w:tcPr>
            <w:tcW w:w="4070" w:type="dxa"/>
            <w:gridSpan w:val="8"/>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319297F">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固定资产</w:t>
            </w:r>
          </w:p>
        </w:tc>
        <w:tc>
          <w:tcPr>
            <w:tcW w:w="978"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2FE02273">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对外投资/有价证券</w:t>
            </w:r>
          </w:p>
        </w:tc>
        <w:tc>
          <w:tcPr>
            <w:tcW w:w="979"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0996E4FE">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在建工程</w:t>
            </w:r>
          </w:p>
        </w:tc>
        <w:tc>
          <w:tcPr>
            <w:tcW w:w="978" w:type="dxa"/>
            <w:gridSpan w:val="2"/>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7C507C26">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无形资产</w:t>
            </w:r>
          </w:p>
        </w:tc>
        <w:tc>
          <w:tcPr>
            <w:tcW w:w="1120" w:type="dxa"/>
            <w:gridSpan w:val="3"/>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0D8BA3AF">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其他资产</w:t>
            </w:r>
          </w:p>
        </w:tc>
      </w:tr>
      <w:tr w14:paraId="10FCF14A">
        <w:tblPrEx>
          <w:tblCellMar>
            <w:top w:w="0" w:type="dxa"/>
            <w:left w:w="0" w:type="dxa"/>
            <w:bottom w:w="0" w:type="dxa"/>
            <w:right w:w="0" w:type="dxa"/>
          </w:tblCellMar>
        </w:tblPrEx>
        <w:trPr>
          <w:trHeight w:val="345" w:hRule="atLeast"/>
        </w:trPr>
        <w:tc>
          <w:tcPr>
            <w:tcW w:w="10770" w:type="dxa"/>
            <w:vMerge w:val="continue"/>
            <w:tcBorders>
              <w:top w:val="nil"/>
              <w:left w:val="single" w:color="000000" w:sz="4" w:space="0"/>
              <w:bottom w:val="single" w:color="000000" w:sz="4" w:space="0"/>
              <w:right w:val="single" w:color="000000" w:sz="4" w:space="0"/>
            </w:tcBorders>
            <w:vAlign w:val="center"/>
          </w:tcPr>
          <w:p w14:paraId="0A950D60">
            <w:pPr>
              <w:widowControl/>
              <w:jc w:val="left"/>
              <w:rPr>
                <w:rFonts w:ascii="宋体" w:hAnsi="宋体"/>
                <w:color w:val="000000"/>
                <w:kern w:val="0"/>
                <w:sz w:val="24"/>
                <w:szCs w:val="24"/>
              </w:rPr>
            </w:pPr>
          </w:p>
        </w:tc>
        <w:tc>
          <w:tcPr>
            <w:tcW w:w="546" w:type="dxa"/>
            <w:vMerge w:val="continue"/>
            <w:tcBorders>
              <w:top w:val="nil"/>
              <w:left w:val="nil"/>
              <w:bottom w:val="single" w:color="000000" w:sz="4" w:space="0"/>
              <w:right w:val="single" w:color="000000" w:sz="4" w:space="0"/>
            </w:tcBorders>
            <w:vAlign w:val="center"/>
          </w:tcPr>
          <w:p w14:paraId="022959BE">
            <w:pPr>
              <w:widowControl/>
              <w:jc w:val="left"/>
              <w:rPr>
                <w:rFonts w:ascii="宋体" w:hAnsi="宋体"/>
                <w:color w:val="000000"/>
                <w:kern w:val="0"/>
                <w:sz w:val="24"/>
                <w:szCs w:val="24"/>
              </w:rPr>
            </w:pPr>
          </w:p>
        </w:tc>
        <w:tc>
          <w:tcPr>
            <w:tcW w:w="700" w:type="dxa"/>
            <w:vMerge w:val="continue"/>
            <w:tcBorders>
              <w:top w:val="nil"/>
              <w:left w:val="nil"/>
              <w:bottom w:val="single" w:color="000000" w:sz="4" w:space="0"/>
              <w:right w:val="single" w:color="000000" w:sz="4" w:space="0"/>
            </w:tcBorders>
            <w:vAlign w:val="center"/>
          </w:tcPr>
          <w:p w14:paraId="6F053158">
            <w:pPr>
              <w:widowControl/>
              <w:jc w:val="left"/>
              <w:rPr>
                <w:rFonts w:ascii="宋体" w:hAnsi="宋体"/>
                <w:color w:val="000000"/>
                <w:kern w:val="0"/>
                <w:sz w:val="24"/>
                <w:szCs w:val="24"/>
              </w:rPr>
            </w:pPr>
          </w:p>
        </w:tc>
        <w:tc>
          <w:tcPr>
            <w:tcW w:w="684" w:type="dxa"/>
            <w:vMerge w:val="continue"/>
            <w:tcBorders>
              <w:top w:val="nil"/>
              <w:left w:val="nil"/>
              <w:bottom w:val="single" w:color="000000" w:sz="4" w:space="0"/>
              <w:right w:val="single" w:color="000000" w:sz="4" w:space="0"/>
            </w:tcBorders>
            <w:vAlign w:val="center"/>
          </w:tcPr>
          <w:p w14:paraId="77F4AAFA">
            <w:pPr>
              <w:widowControl/>
              <w:jc w:val="left"/>
              <w:rPr>
                <w:rFonts w:ascii="宋体" w:hAnsi="宋体"/>
                <w:color w:val="000000"/>
                <w:kern w:val="0"/>
                <w:sz w:val="24"/>
                <w:szCs w:val="24"/>
              </w:rPr>
            </w:pPr>
          </w:p>
        </w:tc>
        <w:tc>
          <w:tcPr>
            <w:tcW w:w="474"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01073717">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小计</w:t>
            </w:r>
          </w:p>
        </w:tc>
        <w:tc>
          <w:tcPr>
            <w:tcW w:w="725"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3814FEB8">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房屋构筑物</w:t>
            </w:r>
          </w:p>
        </w:tc>
        <w:tc>
          <w:tcPr>
            <w:tcW w:w="769"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4DB9222A">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车辆</w:t>
            </w:r>
          </w:p>
        </w:tc>
        <w:tc>
          <w:tcPr>
            <w:tcW w:w="1263" w:type="dxa"/>
            <w:gridSpan w:val="3"/>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1E2CE59E">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单价200万以上大型设备</w:t>
            </w:r>
          </w:p>
        </w:tc>
        <w:tc>
          <w:tcPr>
            <w:tcW w:w="839" w:type="dxa"/>
            <w:gridSpan w:val="2"/>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66A086D2">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其他固定资产</w:t>
            </w:r>
          </w:p>
        </w:tc>
        <w:tc>
          <w:tcPr>
            <w:tcW w:w="978" w:type="dxa"/>
            <w:vMerge w:val="continue"/>
            <w:tcBorders>
              <w:top w:val="nil"/>
              <w:left w:val="nil"/>
              <w:bottom w:val="single" w:color="000000" w:sz="4" w:space="0"/>
              <w:right w:val="single" w:color="000000" w:sz="4" w:space="0"/>
            </w:tcBorders>
            <w:vAlign w:val="center"/>
          </w:tcPr>
          <w:p w14:paraId="38538619">
            <w:pPr>
              <w:widowControl/>
              <w:jc w:val="left"/>
              <w:rPr>
                <w:rFonts w:ascii="宋体" w:hAnsi="宋体"/>
                <w:color w:val="000000"/>
                <w:kern w:val="0"/>
                <w:sz w:val="24"/>
                <w:szCs w:val="24"/>
              </w:rPr>
            </w:pPr>
          </w:p>
        </w:tc>
        <w:tc>
          <w:tcPr>
            <w:tcW w:w="979" w:type="dxa"/>
            <w:vMerge w:val="continue"/>
            <w:tcBorders>
              <w:top w:val="nil"/>
              <w:left w:val="nil"/>
              <w:bottom w:val="single" w:color="000000" w:sz="4" w:space="0"/>
              <w:right w:val="single" w:color="000000" w:sz="4" w:space="0"/>
            </w:tcBorders>
            <w:vAlign w:val="center"/>
          </w:tcPr>
          <w:p w14:paraId="26DAA9BE">
            <w:pPr>
              <w:widowControl/>
              <w:jc w:val="left"/>
              <w:rPr>
                <w:rFonts w:ascii="宋体" w:hAnsi="宋体"/>
                <w:color w:val="000000"/>
                <w:kern w:val="0"/>
                <w:sz w:val="24"/>
                <w:szCs w:val="24"/>
              </w:rPr>
            </w:pPr>
          </w:p>
        </w:tc>
        <w:tc>
          <w:tcPr>
            <w:tcW w:w="3076" w:type="dxa"/>
            <w:gridSpan w:val="2"/>
            <w:vMerge w:val="continue"/>
            <w:tcBorders>
              <w:top w:val="nil"/>
              <w:left w:val="nil"/>
              <w:bottom w:val="single" w:color="000000" w:sz="4" w:space="0"/>
              <w:right w:val="single" w:color="000000" w:sz="4" w:space="0"/>
            </w:tcBorders>
            <w:vAlign w:val="center"/>
          </w:tcPr>
          <w:p w14:paraId="14EE3AB9">
            <w:pPr>
              <w:widowControl/>
              <w:jc w:val="left"/>
              <w:rPr>
                <w:rFonts w:ascii="宋体" w:hAnsi="宋体"/>
                <w:color w:val="000000"/>
                <w:kern w:val="0"/>
                <w:sz w:val="24"/>
                <w:szCs w:val="24"/>
              </w:rPr>
            </w:pPr>
          </w:p>
        </w:tc>
        <w:tc>
          <w:tcPr>
            <w:tcW w:w="1879" w:type="dxa"/>
            <w:gridSpan w:val="3"/>
            <w:vMerge w:val="continue"/>
            <w:tcBorders>
              <w:top w:val="nil"/>
              <w:left w:val="nil"/>
              <w:bottom w:val="single" w:color="000000" w:sz="4" w:space="0"/>
              <w:right w:val="single" w:color="000000" w:sz="4" w:space="0"/>
            </w:tcBorders>
            <w:vAlign w:val="center"/>
          </w:tcPr>
          <w:p w14:paraId="6501A005">
            <w:pPr>
              <w:widowControl/>
              <w:jc w:val="left"/>
              <w:rPr>
                <w:rFonts w:ascii="宋体" w:hAnsi="宋体"/>
                <w:color w:val="000000"/>
                <w:kern w:val="0"/>
                <w:sz w:val="24"/>
                <w:szCs w:val="24"/>
              </w:rPr>
            </w:pPr>
          </w:p>
        </w:tc>
      </w:tr>
      <w:tr w14:paraId="5278893F">
        <w:tblPrEx>
          <w:tblCellMar>
            <w:top w:w="0" w:type="dxa"/>
            <w:left w:w="0" w:type="dxa"/>
            <w:bottom w:w="0" w:type="dxa"/>
            <w:right w:w="0" w:type="dxa"/>
          </w:tblCellMar>
        </w:tblPrEx>
        <w:trPr>
          <w:trHeight w:val="395" w:hRule="atLeast"/>
        </w:trPr>
        <w:tc>
          <w:tcPr>
            <w:tcW w:w="10770" w:type="dxa"/>
            <w:vMerge w:val="continue"/>
            <w:tcBorders>
              <w:top w:val="nil"/>
              <w:left w:val="single" w:color="000000" w:sz="4" w:space="0"/>
              <w:bottom w:val="single" w:color="000000" w:sz="4" w:space="0"/>
              <w:right w:val="single" w:color="000000" w:sz="4" w:space="0"/>
            </w:tcBorders>
            <w:vAlign w:val="center"/>
          </w:tcPr>
          <w:p w14:paraId="2B922D1F">
            <w:pPr>
              <w:widowControl/>
              <w:jc w:val="left"/>
              <w:rPr>
                <w:rFonts w:ascii="宋体" w:hAnsi="宋体"/>
                <w:color w:val="000000"/>
                <w:kern w:val="0"/>
                <w:sz w:val="24"/>
                <w:szCs w:val="24"/>
              </w:rPr>
            </w:pPr>
          </w:p>
        </w:tc>
        <w:tc>
          <w:tcPr>
            <w:tcW w:w="546" w:type="dxa"/>
            <w:vMerge w:val="continue"/>
            <w:tcBorders>
              <w:top w:val="nil"/>
              <w:left w:val="nil"/>
              <w:bottom w:val="single" w:color="000000" w:sz="4" w:space="0"/>
              <w:right w:val="single" w:color="000000" w:sz="4" w:space="0"/>
            </w:tcBorders>
            <w:vAlign w:val="center"/>
          </w:tcPr>
          <w:p w14:paraId="0C3A41CE">
            <w:pPr>
              <w:widowControl/>
              <w:jc w:val="left"/>
              <w:rPr>
                <w:rFonts w:ascii="宋体" w:hAnsi="宋体"/>
                <w:color w:val="000000"/>
                <w:kern w:val="0"/>
                <w:sz w:val="24"/>
                <w:szCs w:val="24"/>
              </w:rPr>
            </w:pPr>
          </w:p>
        </w:tc>
        <w:tc>
          <w:tcPr>
            <w:tcW w:w="700" w:type="dxa"/>
            <w:vMerge w:val="continue"/>
            <w:tcBorders>
              <w:top w:val="nil"/>
              <w:left w:val="nil"/>
              <w:bottom w:val="single" w:color="000000" w:sz="4" w:space="0"/>
              <w:right w:val="single" w:color="000000" w:sz="4" w:space="0"/>
            </w:tcBorders>
            <w:vAlign w:val="center"/>
          </w:tcPr>
          <w:p w14:paraId="3726DDE7">
            <w:pPr>
              <w:widowControl/>
              <w:jc w:val="left"/>
              <w:rPr>
                <w:rFonts w:ascii="宋体" w:hAnsi="宋体"/>
                <w:color w:val="000000"/>
                <w:kern w:val="0"/>
                <w:sz w:val="24"/>
                <w:szCs w:val="24"/>
              </w:rPr>
            </w:pPr>
          </w:p>
        </w:tc>
        <w:tc>
          <w:tcPr>
            <w:tcW w:w="684" w:type="dxa"/>
            <w:vMerge w:val="continue"/>
            <w:tcBorders>
              <w:top w:val="nil"/>
              <w:left w:val="nil"/>
              <w:bottom w:val="single" w:color="000000" w:sz="4" w:space="0"/>
              <w:right w:val="single" w:color="000000" w:sz="4" w:space="0"/>
            </w:tcBorders>
            <w:vAlign w:val="center"/>
          </w:tcPr>
          <w:p w14:paraId="5BF8493C">
            <w:pPr>
              <w:widowControl/>
              <w:jc w:val="left"/>
              <w:rPr>
                <w:rFonts w:ascii="宋体" w:hAnsi="宋体"/>
                <w:color w:val="000000"/>
                <w:kern w:val="0"/>
                <w:sz w:val="24"/>
                <w:szCs w:val="24"/>
              </w:rPr>
            </w:pPr>
          </w:p>
        </w:tc>
        <w:tc>
          <w:tcPr>
            <w:tcW w:w="4070" w:type="dxa"/>
            <w:vMerge w:val="continue"/>
            <w:tcBorders>
              <w:top w:val="nil"/>
              <w:left w:val="nil"/>
              <w:bottom w:val="single" w:color="000000" w:sz="4" w:space="0"/>
              <w:right w:val="single" w:color="000000" w:sz="4" w:space="0"/>
            </w:tcBorders>
            <w:vAlign w:val="center"/>
          </w:tcPr>
          <w:p w14:paraId="50C0A471">
            <w:pPr>
              <w:widowControl/>
              <w:jc w:val="left"/>
              <w:rPr>
                <w:rFonts w:ascii="宋体" w:hAnsi="宋体"/>
                <w:color w:val="000000"/>
                <w:kern w:val="0"/>
                <w:sz w:val="24"/>
                <w:szCs w:val="24"/>
              </w:rPr>
            </w:pPr>
          </w:p>
        </w:tc>
        <w:tc>
          <w:tcPr>
            <w:tcW w:w="725" w:type="dxa"/>
            <w:vMerge w:val="continue"/>
            <w:tcBorders>
              <w:top w:val="nil"/>
              <w:left w:val="nil"/>
              <w:bottom w:val="single" w:color="000000" w:sz="4" w:space="0"/>
              <w:right w:val="single" w:color="000000" w:sz="4" w:space="0"/>
            </w:tcBorders>
            <w:vAlign w:val="center"/>
          </w:tcPr>
          <w:p w14:paraId="6E1806C3">
            <w:pPr>
              <w:widowControl/>
              <w:jc w:val="left"/>
              <w:rPr>
                <w:rFonts w:ascii="宋体" w:hAnsi="宋体"/>
                <w:color w:val="000000"/>
                <w:kern w:val="0"/>
                <w:sz w:val="24"/>
                <w:szCs w:val="24"/>
              </w:rPr>
            </w:pPr>
          </w:p>
        </w:tc>
        <w:tc>
          <w:tcPr>
            <w:tcW w:w="769" w:type="dxa"/>
            <w:vMerge w:val="continue"/>
            <w:tcBorders>
              <w:top w:val="nil"/>
              <w:left w:val="nil"/>
              <w:bottom w:val="single" w:color="000000" w:sz="4" w:space="0"/>
              <w:right w:val="single" w:color="000000" w:sz="4" w:space="0"/>
            </w:tcBorders>
            <w:vAlign w:val="center"/>
          </w:tcPr>
          <w:p w14:paraId="1193D1D6">
            <w:pPr>
              <w:widowControl/>
              <w:jc w:val="left"/>
              <w:rPr>
                <w:rFonts w:ascii="宋体" w:hAnsi="宋体"/>
                <w:color w:val="000000"/>
                <w:kern w:val="0"/>
                <w:sz w:val="24"/>
                <w:szCs w:val="24"/>
              </w:rPr>
            </w:pPr>
          </w:p>
        </w:tc>
        <w:tc>
          <w:tcPr>
            <w:tcW w:w="3102" w:type="dxa"/>
            <w:gridSpan w:val="3"/>
            <w:vMerge w:val="continue"/>
            <w:tcBorders>
              <w:top w:val="nil"/>
              <w:left w:val="nil"/>
              <w:bottom w:val="single" w:color="000000" w:sz="4" w:space="0"/>
              <w:right w:val="single" w:color="000000" w:sz="4" w:space="0"/>
            </w:tcBorders>
            <w:vAlign w:val="center"/>
          </w:tcPr>
          <w:p w14:paraId="6534D9AF">
            <w:pPr>
              <w:widowControl/>
              <w:jc w:val="left"/>
              <w:rPr>
                <w:rFonts w:ascii="宋体" w:hAnsi="宋体"/>
                <w:color w:val="000000"/>
                <w:kern w:val="0"/>
                <w:sz w:val="24"/>
                <w:szCs w:val="24"/>
              </w:rPr>
            </w:pPr>
          </w:p>
        </w:tc>
        <w:tc>
          <w:tcPr>
            <w:tcW w:w="1035" w:type="dxa"/>
            <w:gridSpan w:val="2"/>
            <w:vMerge w:val="continue"/>
            <w:tcBorders>
              <w:top w:val="nil"/>
              <w:left w:val="nil"/>
              <w:bottom w:val="single" w:color="000000" w:sz="4" w:space="0"/>
              <w:right w:val="single" w:color="000000" w:sz="4" w:space="0"/>
            </w:tcBorders>
            <w:vAlign w:val="center"/>
          </w:tcPr>
          <w:p w14:paraId="304B1EE6">
            <w:pPr>
              <w:widowControl/>
              <w:jc w:val="left"/>
              <w:rPr>
                <w:rFonts w:ascii="宋体" w:hAnsi="宋体"/>
                <w:color w:val="000000"/>
                <w:kern w:val="0"/>
                <w:sz w:val="24"/>
                <w:szCs w:val="24"/>
              </w:rPr>
            </w:pPr>
          </w:p>
        </w:tc>
        <w:tc>
          <w:tcPr>
            <w:tcW w:w="978" w:type="dxa"/>
            <w:vMerge w:val="continue"/>
            <w:tcBorders>
              <w:top w:val="nil"/>
              <w:left w:val="nil"/>
              <w:bottom w:val="single" w:color="000000" w:sz="4" w:space="0"/>
              <w:right w:val="single" w:color="000000" w:sz="4" w:space="0"/>
            </w:tcBorders>
            <w:vAlign w:val="center"/>
          </w:tcPr>
          <w:p w14:paraId="0713550F">
            <w:pPr>
              <w:widowControl/>
              <w:jc w:val="left"/>
              <w:rPr>
                <w:rFonts w:ascii="宋体" w:hAnsi="宋体"/>
                <w:color w:val="000000"/>
                <w:kern w:val="0"/>
                <w:sz w:val="24"/>
                <w:szCs w:val="24"/>
              </w:rPr>
            </w:pPr>
          </w:p>
        </w:tc>
        <w:tc>
          <w:tcPr>
            <w:tcW w:w="979" w:type="dxa"/>
            <w:vMerge w:val="continue"/>
            <w:tcBorders>
              <w:top w:val="nil"/>
              <w:left w:val="nil"/>
              <w:bottom w:val="single" w:color="000000" w:sz="4" w:space="0"/>
              <w:right w:val="single" w:color="000000" w:sz="4" w:space="0"/>
            </w:tcBorders>
            <w:vAlign w:val="center"/>
          </w:tcPr>
          <w:p w14:paraId="59668F20">
            <w:pPr>
              <w:widowControl/>
              <w:jc w:val="left"/>
              <w:rPr>
                <w:rFonts w:ascii="宋体" w:hAnsi="宋体"/>
                <w:color w:val="000000"/>
                <w:kern w:val="0"/>
                <w:sz w:val="24"/>
                <w:szCs w:val="24"/>
              </w:rPr>
            </w:pPr>
          </w:p>
        </w:tc>
        <w:tc>
          <w:tcPr>
            <w:tcW w:w="3076" w:type="dxa"/>
            <w:gridSpan w:val="2"/>
            <w:vMerge w:val="continue"/>
            <w:tcBorders>
              <w:top w:val="nil"/>
              <w:left w:val="nil"/>
              <w:bottom w:val="single" w:color="000000" w:sz="4" w:space="0"/>
              <w:right w:val="single" w:color="000000" w:sz="4" w:space="0"/>
            </w:tcBorders>
            <w:vAlign w:val="center"/>
          </w:tcPr>
          <w:p w14:paraId="419E296E">
            <w:pPr>
              <w:widowControl/>
              <w:jc w:val="left"/>
              <w:rPr>
                <w:rFonts w:ascii="宋体" w:hAnsi="宋体"/>
                <w:color w:val="000000"/>
                <w:kern w:val="0"/>
                <w:sz w:val="24"/>
                <w:szCs w:val="24"/>
              </w:rPr>
            </w:pPr>
          </w:p>
        </w:tc>
        <w:tc>
          <w:tcPr>
            <w:tcW w:w="1879" w:type="dxa"/>
            <w:gridSpan w:val="3"/>
            <w:vMerge w:val="continue"/>
            <w:tcBorders>
              <w:top w:val="nil"/>
              <w:left w:val="nil"/>
              <w:bottom w:val="single" w:color="000000" w:sz="4" w:space="0"/>
              <w:right w:val="single" w:color="000000" w:sz="4" w:space="0"/>
            </w:tcBorders>
            <w:vAlign w:val="center"/>
          </w:tcPr>
          <w:p w14:paraId="6D187B88">
            <w:pPr>
              <w:widowControl/>
              <w:jc w:val="left"/>
              <w:rPr>
                <w:rFonts w:ascii="宋体" w:hAnsi="宋体"/>
                <w:color w:val="000000"/>
                <w:kern w:val="0"/>
                <w:sz w:val="24"/>
                <w:szCs w:val="24"/>
              </w:rPr>
            </w:pPr>
          </w:p>
        </w:tc>
      </w:tr>
      <w:tr w14:paraId="0CF9FF98">
        <w:tblPrEx>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5FDD785">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栏次</w:t>
            </w:r>
          </w:p>
        </w:tc>
        <w:tc>
          <w:tcPr>
            <w:tcW w:w="546"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1FCAA74">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700"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1AA6B322">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w:t>
            </w:r>
          </w:p>
        </w:tc>
        <w:tc>
          <w:tcPr>
            <w:tcW w:w="68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4D46315B">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2</w:t>
            </w:r>
          </w:p>
        </w:tc>
        <w:tc>
          <w:tcPr>
            <w:tcW w:w="47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7F69C367">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3</w:t>
            </w:r>
          </w:p>
        </w:tc>
        <w:tc>
          <w:tcPr>
            <w:tcW w:w="725"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7516FDEE">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4</w:t>
            </w:r>
          </w:p>
        </w:tc>
        <w:tc>
          <w:tcPr>
            <w:tcW w:w="76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5BA82CEB">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5</w:t>
            </w:r>
          </w:p>
        </w:tc>
        <w:tc>
          <w:tcPr>
            <w:tcW w:w="1263"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1D6898E">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6</w:t>
            </w:r>
          </w:p>
        </w:tc>
        <w:tc>
          <w:tcPr>
            <w:tcW w:w="839"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465BDC4">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7</w:t>
            </w:r>
          </w:p>
        </w:tc>
        <w:tc>
          <w:tcPr>
            <w:tcW w:w="978"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7E37F50">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8</w:t>
            </w:r>
          </w:p>
        </w:tc>
        <w:tc>
          <w:tcPr>
            <w:tcW w:w="97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4D436769">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9</w:t>
            </w:r>
          </w:p>
        </w:tc>
        <w:tc>
          <w:tcPr>
            <w:tcW w:w="978"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69D05F25">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10</w:t>
            </w:r>
          </w:p>
        </w:tc>
        <w:tc>
          <w:tcPr>
            <w:tcW w:w="1120"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F1D31DE">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11</w:t>
            </w:r>
          </w:p>
        </w:tc>
      </w:tr>
      <w:tr w14:paraId="3169FC38">
        <w:tblPrEx>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2D89A68">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合计</w:t>
            </w:r>
          </w:p>
        </w:tc>
        <w:tc>
          <w:tcPr>
            <w:tcW w:w="546"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B1FF87A">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w:t>
            </w:r>
          </w:p>
        </w:tc>
        <w:tc>
          <w:tcPr>
            <w:tcW w:w="700"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1421D24D">
            <w:pPr>
              <w:widowControl/>
              <w:jc w:val="center"/>
              <w:rPr>
                <w:rFonts w:ascii="宋体" w:hAnsi="宋体"/>
                <w:color w:val="000000"/>
                <w:kern w:val="0"/>
                <w:sz w:val="24"/>
                <w:szCs w:val="24"/>
              </w:rPr>
            </w:pPr>
            <w:r>
              <w:rPr>
                <w:rFonts w:hint="eastAsia" w:ascii="宋体" w:hAnsi="宋体"/>
                <w:color w:val="000000"/>
                <w:kern w:val="0"/>
                <w:sz w:val="20"/>
                <w:szCs w:val="20"/>
              </w:rPr>
              <w:t>24.62</w:t>
            </w:r>
          </w:p>
        </w:tc>
        <w:tc>
          <w:tcPr>
            <w:tcW w:w="68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154D9F9">
            <w:pPr>
              <w:widowControl/>
              <w:jc w:val="center"/>
              <w:rPr>
                <w:rFonts w:ascii="宋体" w:hAnsi="宋体"/>
                <w:color w:val="000000"/>
                <w:kern w:val="0"/>
                <w:sz w:val="24"/>
                <w:szCs w:val="24"/>
              </w:rPr>
            </w:pPr>
            <w:r>
              <w:rPr>
                <w:rFonts w:hint="eastAsia" w:ascii="宋体" w:hAnsi="宋体"/>
                <w:color w:val="000000"/>
                <w:kern w:val="0"/>
                <w:sz w:val="18"/>
                <w:szCs w:val="18"/>
              </w:rPr>
              <w:t>19.28</w:t>
            </w:r>
          </w:p>
        </w:tc>
        <w:tc>
          <w:tcPr>
            <w:tcW w:w="47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1B61FC6">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725"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4BD45A0B">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76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E87C2DA">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1263"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1FEA723">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839"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5640AB63">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978"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5436B7E9">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97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3019C49">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978"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455D1C9">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1120"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A2DFBD2">
            <w:pPr>
              <w:widowControl/>
              <w:jc w:val="center"/>
              <w:rPr>
                <w:rFonts w:ascii="宋体" w:hAnsi="宋体"/>
                <w:color w:val="000000"/>
                <w:kern w:val="0"/>
                <w:sz w:val="24"/>
                <w:szCs w:val="24"/>
              </w:rPr>
            </w:pPr>
            <w:r>
              <w:rPr>
                <w:rFonts w:hint="eastAsia" w:ascii="宋体" w:hAnsi="宋体"/>
                <w:color w:val="000000"/>
                <w:kern w:val="0"/>
                <w:sz w:val="20"/>
                <w:szCs w:val="20"/>
              </w:rPr>
              <w:t>5.32</w:t>
            </w:r>
          </w:p>
        </w:tc>
      </w:tr>
      <w:tr w14:paraId="31E6A98B">
        <w:tblPrEx>
          <w:tblCellMar>
            <w:top w:w="0" w:type="dxa"/>
            <w:left w:w="0" w:type="dxa"/>
            <w:bottom w:w="0" w:type="dxa"/>
            <w:right w:w="0" w:type="dxa"/>
          </w:tblCellMar>
        </w:tblPrEx>
        <w:trPr>
          <w:gridAfter w:val="1"/>
          <w:wAfter w:w="618" w:type="dxa"/>
          <w:trHeight w:val="259" w:hRule="atLeast"/>
        </w:trPr>
        <w:tc>
          <w:tcPr>
            <w:tcW w:w="8672" w:type="dxa"/>
            <w:gridSpan w:val="14"/>
            <w:tcBorders>
              <w:top w:val="nil"/>
              <w:left w:val="nil"/>
              <w:bottom w:val="nil"/>
              <w:right w:val="nil"/>
            </w:tcBorders>
            <w:tcMar>
              <w:top w:w="15" w:type="dxa"/>
              <w:left w:w="15" w:type="dxa"/>
              <w:bottom w:w="15" w:type="dxa"/>
              <w:right w:w="15" w:type="dxa"/>
            </w:tcMar>
            <w:vAlign w:val="bottom"/>
          </w:tcPr>
          <w:p w14:paraId="3028BBB1">
            <w:pPr>
              <w:widowControl/>
              <w:rPr>
                <w:rFonts w:ascii="宋体" w:hAnsi="宋体"/>
                <w:color w:val="000000"/>
                <w:kern w:val="0"/>
                <w:sz w:val="24"/>
                <w:szCs w:val="24"/>
              </w:rPr>
            </w:pPr>
          </w:p>
        </w:tc>
        <w:tc>
          <w:tcPr>
            <w:tcW w:w="360" w:type="dxa"/>
            <w:tcBorders>
              <w:top w:val="nil"/>
              <w:left w:val="nil"/>
              <w:bottom w:val="nil"/>
              <w:right w:val="nil"/>
            </w:tcBorders>
            <w:tcMar>
              <w:top w:w="15" w:type="dxa"/>
              <w:left w:w="15" w:type="dxa"/>
              <w:bottom w:w="15" w:type="dxa"/>
              <w:right w:w="15" w:type="dxa"/>
            </w:tcMar>
            <w:vAlign w:val="bottom"/>
          </w:tcPr>
          <w:p w14:paraId="3A22F3A4">
            <w:pPr>
              <w:widowControl/>
              <w:rPr>
                <w:rFonts w:ascii="宋体" w:hAnsi="宋体"/>
                <w:color w:val="000000"/>
                <w:kern w:val="0"/>
                <w:sz w:val="20"/>
                <w:szCs w:val="20"/>
              </w:rPr>
            </w:pPr>
          </w:p>
        </w:tc>
        <w:tc>
          <w:tcPr>
            <w:tcW w:w="978" w:type="dxa"/>
            <w:gridSpan w:val="2"/>
            <w:tcBorders>
              <w:top w:val="nil"/>
              <w:left w:val="nil"/>
              <w:bottom w:val="nil"/>
              <w:right w:val="nil"/>
            </w:tcBorders>
            <w:tcMar>
              <w:top w:w="15" w:type="dxa"/>
              <w:left w:w="15" w:type="dxa"/>
              <w:bottom w:w="15" w:type="dxa"/>
              <w:right w:w="15" w:type="dxa"/>
            </w:tcMar>
            <w:vAlign w:val="bottom"/>
          </w:tcPr>
          <w:p w14:paraId="305D5854">
            <w:pPr>
              <w:widowControl/>
              <w:jc w:val="left"/>
              <w:rPr>
                <w:rFonts w:ascii="宋体" w:hAnsi="宋体"/>
                <w:color w:val="000000"/>
                <w:kern w:val="0"/>
                <w:sz w:val="24"/>
                <w:szCs w:val="24"/>
              </w:rPr>
            </w:pPr>
          </w:p>
        </w:tc>
        <w:tc>
          <w:tcPr>
            <w:tcW w:w="142" w:type="dxa"/>
            <w:tcBorders>
              <w:top w:val="nil"/>
              <w:left w:val="nil"/>
              <w:bottom w:val="nil"/>
              <w:right w:val="nil"/>
            </w:tcBorders>
            <w:vAlign w:val="center"/>
          </w:tcPr>
          <w:p w14:paraId="165589C3">
            <w:pPr>
              <w:widowControl/>
              <w:jc w:val="left"/>
              <w:rPr>
                <w:rFonts w:ascii="宋体" w:hAnsi="宋体"/>
                <w:color w:val="000000"/>
                <w:kern w:val="0"/>
                <w:sz w:val="17"/>
                <w:szCs w:val="17"/>
              </w:rPr>
            </w:pPr>
          </w:p>
        </w:tc>
      </w:tr>
      <w:tr w14:paraId="65C7B033">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tcMar>
              <w:top w:w="15" w:type="dxa"/>
              <w:left w:w="15" w:type="dxa"/>
              <w:bottom w:w="15" w:type="dxa"/>
              <w:right w:w="15" w:type="dxa"/>
            </w:tcMar>
            <w:vAlign w:val="bottom"/>
          </w:tcPr>
          <w:p w14:paraId="5522998E">
            <w:pPr>
              <w:widowControl/>
              <w:rPr>
                <w:rFonts w:ascii="宋体" w:hAnsi="宋体"/>
                <w:color w:val="000000"/>
                <w:kern w:val="0"/>
                <w:sz w:val="20"/>
                <w:szCs w:val="20"/>
              </w:rPr>
            </w:pPr>
            <w:r>
              <w:rPr>
                <w:rFonts w:hint="eastAsia" w:ascii="宋体" w:hAnsi="宋体"/>
                <w:color w:val="000000"/>
                <w:kern w:val="0"/>
                <w:sz w:val="20"/>
                <w:szCs w:val="20"/>
              </w:rPr>
              <w:t>填报说明：1.资产总额＝流动资产＋固定资产＋对外投资／有价证券＋在建工程＋无形资产＋其他资产</w:t>
            </w:r>
          </w:p>
          <w:p w14:paraId="46475B9C">
            <w:pPr>
              <w:widowControl/>
              <w:ind w:firstLine="1030" w:firstLineChars="515"/>
              <w:jc w:val="left"/>
              <w:rPr>
                <w:rFonts w:ascii="宋体" w:hAnsi="宋体"/>
                <w:color w:val="000000"/>
                <w:kern w:val="0"/>
                <w:sz w:val="24"/>
                <w:szCs w:val="24"/>
              </w:rPr>
            </w:pPr>
            <w:r>
              <w:rPr>
                <w:rFonts w:hint="eastAsia" w:ascii="宋体" w:hAnsi="宋体"/>
                <w:color w:val="000000"/>
                <w:kern w:val="0"/>
                <w:sz w:val="20"/>
                <w:szCs w:val="20"/>
              </w:rPr>
              <w:t>2.固定资产＝房屋构筑物＋车辆＋单价200万元以上大型设备＋其他固定资产</w:t>
            </w:r>
          </w:p>
        </w:tc>
        <w:tc>
          <w:tcPr>
            <w:tcW w:w="1120" w:type="dxa"/>
            <w:gridSpan w:val="3"/>
            <w:tcBorders>
              <w:top w:val="nil"/>
              <w:left w:val="nil"/>
              <w:bottom w:val="nil"/>
              <w:right w:val="nil"/>
            </w:tcBorders>
            <w:tcMar>
              <w:top w:w="15" w:type="dxa"/>
              <w:left w:w="15" w:type="dxa"/>
              <w:bottom w:w="15" w:type="dxa"/>
              <w:right w:w="15" w:type="dxa"/>
            </w:tcMar>
            <w:vAlign w:val="bottom"/>
          </w:tcPr>
          <w:p w14:paraId="5A1AE6D1">
            <w:pPr>
              <w:widowControl/>
              <w:jc w:val="left"/>
              <w:rPr>
                <w:rFonts w:ascii="宋体" w:hAnsi="宋体"/>
                <w:color w:val="000000"/>
                <w:kern w:val="0"/>
                <w:sz w:val="24"/>
                <w:szCs w:val="24"/>
              </w:rPr>
            </w:pPr>
            <w:r>
              <w:rPr>
                <w:rFonts w:ascii="Arial" w:hAnsi="Arial" w:cs="Arial"/>
                <w:color w:val="000000"/>
                <w:kern w:val="0"/>
                <w:sz w:val="20"/>
                <w:szCs w:val="20"/>
              </w:rPr>
              <w:t> </w:t>
            </w:r>
          </w:p>
        </w:tc>
      </w:tr>
    </w:tbl>
    <w:p w14:paraId="3CA87B79">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 xml:space="preserve"> </w:t>
      </w:r>
    </w:p>
    <w:p w14:paraId="632D56F6">
      <w:pPr>
        <w:pStyle w:val="3"/>
        <w:shd w:val="clear" w:color="auto" w:fill="FFFFFF"/>
        <w:spacing w:before="150" w:beforeAutospacing="0" w:after="0" w:afterAutospacing="0" w:line="562" w:lineRule="atLeast"/>
        <w:ind w:firstLine="634"/>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（三）政府采购支出情况。</w:t>
      </w:r>
    </w:p>
    <w:p w14:paraId="5A60D108">
      <w:pPr>
        <w:pStyle w:val="3"/>
        <w:shd w:val="clear" w:color="auto" w:fill="FFFFFF"/>
        <w:spacing w:before="150" w:beforeAutospacing="0" w:after="0" w:afterAutospacing="0" w:line="562" w:lineRule="atLeast"/>
        <w:ind w:firstLine="634"/>
        <w:jc w:val="both"/>
        <w:rPr>
          <w:rFonts w:hint="eastAsia"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 xml:space="preserve"> 2017年盘龙区区级机关工委政府采购支出总额0万元，其中：政府采购货物支出0万元、政府采购工程支出0万元、政府采购服务支出0万元，授予中小企业合同金额0万元，占政府采购支出总额的0 %，其中：授予小微企业合同金额0万元，占政府采购支出总额的0 %。</w:t>
      </w:r>
    </w:p>
    <w:p w14:paraId="157CC2C1">
      <w:pPr>
        <w:pStyle w:val="3"/>
        <w:shd w:val="clear" w:color="auto" w:fill="FFFFFF"/>
        <w:spacing w:before="150" w:beforeAutospacing="0" w:after="0" w:afterAutospacing="0" w:line="562" w:lineRule="atLeast"/>
        <w:ind w:firstLine="634"/>
        <w:jc w:val="both"/>
        <w:rPr>
          <w:rFonts w:hint="eastAsia"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 xml:space="preserve"> </w:t>
      </w:r>
    </w:p>
    <w:p w14:paraId="78B8CB0D">
      <w:pPr>
        <w:widowControl/>
        <w:numPr>
          <w:ilvl w:val="0"/>
          <w:numId w:val="5"/>
        </w:numPr>
        <w:snapToGrid w:val="0"/>
        <w:spacing w:before="100" w:after="100" w:line="360" w:lineRule="auto"/>
        <w:ind w:firstLine="600" w:firstLineChars="200"/>
        <w:jc w:val="left"/>
        <w:rPr>
          <w:rFonts w:hint="eastAsia" w:ascii="仿宋" w:hAnsi="仿宋" w:eastAsia="仿宋"/>
          <w:sz w:val="30"/>
          <w:szCs w:val="30"/>
        </w:rPr>
      </w:pPr>
      <w:r>
        <w:rPr>
          <w:rFonts w:hint="eastAsia" w:ascii="仿宋" w:hAnsi="仿宋" w:eastAsia="仿宋"/>
          <w:sz w:val="30"/>
          <w:szCs w:val="30"/>
        </w:rPr>
        <w:t>其他重要事项情况说明：</w:t>
      </w:r>
    </w:p>
    <w:p w14:paraId="474E4256">
      <w:pPr>
        <w:widowControl/>
        <w:snapToGrid w:val="0"/>
        <w:spacing w:before="100" w:after="100" w:line="360" w:lineRule="auto"/>
        <w:ind w:firstLine="1500" w:firstLineChars="500"/>
        <w:jc w:val="left"/>
        <w:rPr>
          <w:rFonts w:hint="eastAsia" w:ascii="仿宋" w:hAnsi="仿宋" w:eastAsia="仿宋"/>
          <w:sz w:val="30"/>
          <w:szCs w:val="30"/>
        </w:rPr>
      </w:pPr>
      <w:r>
        <w:rPr>
          <w:rFonts w:hint="eastAsia" w:ascii="仿宋" w:hAnsi="仿宋" w:eastAsia="仿宋"/>
          <w:sz w:val="30"/>
          <w:szCs w:val="30"/>
        </w:rPr>
        <w:t>无</w:t>
      </w:r>
    </w:p>
    <w:p w14:paraId="2A4410E0">
      <w:pPr>
        <w:pStyle w:val="3"/>
        <w:shd w:val="clear" w:color="auto" w:fill="FFFFFF"/>
        <w:spacing w:before="0" w:beforeAutospacing="0" w:after="0" w:afterAutospacing="0"/>
        <w:ind w:firstLine="600" w:firstLineChars="200"/>
        <w:jc w:val="both"/>
        <w:rPr>
          <w:rFonts w:hint="eastAsia" w:ascii="仿宋" w:hAnsi="仿宋" w:eastAsia="仿宋"/>
          <w:sz w:val="30"/>
          <w:szCs w:val="30"/>
        </w:rPr>
      </w:pPr>
      <w:r>
        <w:rPr>
          <w:rFonts w:hint="eastAsia" w:ascii="仿宋" w:hAnsi="仿宋" w:eastAsia="仿宋"/>
          <w:sz w:val="30"/>
          <w:szCs w:val="30"/>
        </w:rPr>
        <w:t>（五）相关口径说明：</w:t>
      </w:r>
    </w:p>
    <w:p w14:paraId="5BB63B12">
      <w:pPr>
        <w:pStyle w:val="3"/>
        <w:spacing w:before="0" w:beforeAutospacing="0" w:after="0" w:afterAutospacing="0" w:line="240" w:lineRule="atLeast"/>
        <w:ind w:firstLine="600"/>
        <w:rPr>
          <w:rFonts w:hint="eastAsia" w:ascii="Calibri" w:hAnsi="Calibri"/>
        </w:rPr>
      </w:pPr>
      <w:r>
        <w:rPr>
          <w:rFonts w:ascii="仿宋_GB2312" w:hAnsi="微软雅黑"/>
          <w:color w:val="333333"/>
          <w:sz w:val="30"/>
          <w:szCs w:val="30"/>
          <w:shd w:val="clear" w:color="auto" w:fill="FFFFFF"/>
        </w:rPr>
        <w:t>1．基本支出中人员经费包括工资福利支出和对个人和家庭的补助，日常公用支出包括商品和服务支出、其他资本性支出等人员经费以外的支出。</w:t>
      </w:r>
    </w:p>
    <w:p w14:paraId="3BCDF9AF">
      <w:pPr>
        <w:pStyle w:val="3"/>
        <w:spacing w:before="0" w:beforeAutospacing="0" w:after="0" w:afterAutospacing="0" w:line="240" w:lineRule="atLeast"/>
        <w:ind w:firstLine="600"/>
        <w:rPr>
          <w:rFonts w:ascii="Calibri" w:hAnsi="Calibri"/>
        </w:rPr>
      </w:pPr>
      <w:r>
        <w:rPr>
          <w:rFonts w:ascii="仿宋_GB2312" w:hAnsi="微软雅黑"/>
          <w:color w:val="333333"/>
          <w:sz w:val="30"/>
          <w:szCs w:val="30"/>
          <w:shd w:val="clear" w:color="auto" w:fill="FFFFFF"/>
        </w:rPr>
        <w:t>2．机关运行经费指行政单位和参照公务员法管理的事业单位使用一般公共预算财政拨款安排的除人员经费以外的基本支出。</w:t>
      </w:r>
    </w:p>
    <w:p w14:paraId="50FF7619">
      <w:pPr>
        <w:pStyle w:val="3"/>
        <w:spacing w:before="0" w:beforeAutospacing="0" w:after="0" w:afterAutospacing="0" w:line="240" w:lineRule="atLeast"/>
        <w:ind w:firstLine="600"/>
        <w:rPr>
          <w:rFonts w:ascii="Calibri" w:hAnsi="Calibri"/>
        </w:rPr>
      </w:pPr>
      <w:r>
        <w:rPr>
          <w:rFonts w:ascii="仿宋_GB2312" w:hAnsi="微软雅黑"/>
          <w:color w:val="333333"/>
          <w:sz w:val="30"/>
          <w:szCs w:val="30"/>
          <w:shd w:val="clear" w:color="auto" w:fill="FFFFFF"/>
        </w:rPr>
        <w:t>3．按照党中央、国务院有关文件及部门预算管理有关规定，</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三公</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经费包括因公出国（境）费、公务用车购置及运行维护费、公务接待费。其中：因公出国（境）费，指单位工作人员公务出国（境）的国际旅费、国外城市间交通费、住宿费、伙食费、培训费、公杂费等支出；公务用车购置费，指单位公务用车车辆购置支出（含车辆购置税）；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14:paraId="23421195">
      <w:pPr>
        <w:pStyle w:val="3"/>
        <w:shd w:val="clear" w:color="auto" w:fill="FFFFFF"/>
        <w:spacing w:before="150" w:beforeAutospacing="0" w:after="0" w:afterAutospacing="0" w:line="562" w:lineRule="atLeast"/>
        <w:jc w:val="both"/>
        <w:rPr>
          <w:rFonts w:ascii="仿宋_GB2312" w:hAnsi="微软雅黑"/>
          <w:color w:val="333333"/>
          <w:sz w:val="30"/>
          <w:szCs w:val="30"/>
          <w:shd w:val="clear" w:color="auto" w:fill="FFFFFF"/>
        </w:rPr>
      </w:pPr>
      <w:r>
        <w:rPr>
          <w:rFonts w:ascii="仿宋_GB2312" w:hAnsi="微软雅黑"/>
          <w:color w:val="333333"/>
          <w:sz w:val="30"/>
          <w:szCs w:val="30"/>
          <w:shd w:val="clear" w:color="auto" w:fill="FFFFFF"/>
        </w:rPr>
        <w:t>4.</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三公</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14:paraId="404CE385">
      <w:pPr>
        <w:pStyle w:val="3"/>
        <w:shd w:val="clear" w:color="auto" w:fill="FFFFFF"/>
        <w:spacing w:before="150" w:beforeAutospacing="0" w:after="0" w:afterAutospacing="0" w:line="562" w:lineRule="atLeast"/>
        <w:jc w:val="both"/>
        <w:rPr>
          <w:rFonts w:ascii="仿宋_GB2312" w:hAnsi="微软雅黑"/>
          <w:color w:val="333333"/>
          <w:sz w:val="30"/>
          <w:szCs w:val="30"/>
          <w:shd w:val="clear" w:color="auto" w:fill="FFFFFF"/>
        </w:rPr>
      </w:pPr>
      <w:r>
        <w:rPr>
          <w:rFonts w:ascii="仿宋_GB2312" w:hAnsi="微软雅黑"/>
          <w:color w:val="333333"/>
          <w:sz w:val="30"/>
          <w:szCs w:val="30"/>
          <w:shd w:val="clear" w:color="auto" w:fill="FFFFFF"/>
        </w:rPr>
        <w:t xml:space="preserve"> </w:t>
      </w:r>
    </w:p>
    <w:p w14:paraId="27697318">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第四部分  名词解释</w:t>
      </w:r>
    </w:p>
    <w:p w14:paraId="68D732D9">
      <w:pPr>
        <w:widowControl/>
        <w:snapToGrid w:val="0"/>
        <w:spacing w:before="100" w:after="100" w:line="360" w:lineRule="auto"/>
        <w:ind w:firstLine="600" w:firstLineChars="200"/>
        <w:jc w:val="left"/>
        <w:rPr>
          <w:rFonts w:hint="eastAsia"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(一)财政拨款收入：指同级财政当年拨付的资金。</w:t>
      </w:r>
    </w:p>
    <w:p w14:paraId="1E731FC2">
      <w:pPr>
        <w:widowControl/>
        <w:snapToGrid w:val="0"/>
        <w:spacing w:before="100" w:after="100" w:line="600" w:lineRule="exact"/>
        <w:ind w:firstLine="300" w:firstLineChars="100"/>
        <w:jc w:val="left"/>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（二）基本支出：指为保障机构正常运转、完成日常工作任务而发生的人员支出和公用支出。</w:t>
      </w:r>
    </w:p>
    <w:p w14:paraId="269A806F">
      <w:pPr>
        <w:pStyle w:val="3"/>
        <w:shd w:val="clear" w:color="auto" w:fill="FFFFFF"/>
        <w:spacing w:before="150" w:beforeAutospacing="0" w:after="0" w:afterAutospacing="0" w:line="562" w:lineRule="atLeast"/>
        <w:ind w:firstLine="300" w:firstLineChars="100"/>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（三）项目支出：指在基本支出之外为完成特定行政任务和事业发展目标所发生的支出。</w:t>
      </w:r>
    </w:p>
    <w:p w14:paraId="0D34983C">
      <w:pPr>
        <w:pStyle w:val="3"/>
        <w:shd w:val="clear" w:color="auto" w:fill="FFFFFF"/>
        <w:spacing w:before="150" w:beforeAutospacing="0" w:after="0" w:afterAutospacing="0" w:line="562" w:lineRule="atLeast"/>
        <w:ind w:firstLine="300" w:firstLineChars="100"/>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（四）</w:t>
      </w:r>
      <w:r>
        <w:rPr>
          <w:rFonts w:hint="eastAsia" w:ascii="仿宋" w:hAnsi="仿宋" w:eastAsia="仿宋"/>
          <w:color w:val="333333"/>
          <w:sz w:val="30"/>
          <w:szCs w:val="30"/>
          <w:shd w:val="clear" w:color="auto" w:fill="FFFFFF"/>
        </w:rPr>
        <w:t>“三公”经费:“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14:paraId="37D38EB6">
      <w:pPr>
        <w:pStyle w:val="3"/>
        <w:shd w:val="clear" w:color="auto" w:fill="FFFFFF"/>
        <w:spacing w:before="150" w:beforeAutospacing="0" w:after="0" w:afterAutospacing="0" w:line="562" w:lineRule="atLeast"/>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五）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6F375D2">
      <w:pPr>
        <w:widowControl/>
        <w:snapToGrid w:val="0"/>
        <w:spacing w:before="100" w:after="100" w:line="600" w:lineRule="exact"/>
        <w:jc w:val="left"/>
        <w:rPr>
          <w:rFonts w:hint="eastAsia" w:ascii="仿宋" w:hAnsi="宋体" w:eastAsia="仿宋"/>
          <w:color w:val="000000"/>
          <w:sz w:val="27"/>
          <w:szCs w:val="27"/>
          <w:shd w:val="clear" w:color="auto" w:fill="FFFFFF"/>
        </w:rPr>
      </w:pPr>
      <w:r>
        <w:rPr>
          <w:rFonts w:hint="eastAsia" w:ascii="仿宋" w:hAnsi="宋体" w:eastAsia="仿宋"/>
          <w:color w:val="000000"/>
          <w:sz w:val="27"/>
          <w:szCs w:val="27"/>
          <w:shd w:val="clear" w:color="auto" w:fill="FFFFFF"/>
        </w:rPr>
        <w:t xml:space="preserve"> </w:t>
      </w:r>
    </w:p>
    <w:p w14:paraId="36E9CB00">
      <w:pPr>
        <w:ind w:firstLine="600" w:firstLineChars="200"/>
        <w:jc w:val="left"/>
        <w:rPr>
          <w:rFonts w:hint="eastAsia" w:ascii="仿宋_GB2312" w:hAnsi="黑体" w:cs="方正小标宋简体"/>
          <w:sz w:val="30"/>
          <w:szCs w:val="30"/>
        </w:rPr>
      </w:pPr>
      <w:r>
        <w:rPr>
          <w:rFonts w:ascii="仿宋_GB2312" w:hAnsi="黑体" w:cs="方正小标宋简体"/>
          <w:sz w:val="30"/>
          <w:szCs w:val="30"/>
        </w:rPr>
        <w:t xml:space="preserve"> </w:t>
      </w:r>
    </w:p>
    <w:p w14:paraId="25D3ED1B">
      <w:pPr>
        <w:ind w:firstLine="600" w:firstLineChars="200"/>
        <w:jc w:val="left"/>
        <w:rPr>
          <w:rFonts w:ascii="仿宋_GB2312" w:hAnsi="黑体" w:cs="方正小标宋简体"/>
          <w:sz w:val="30"/>
          <w:szCs w:val="30"/>
        </w:rPr>
      </w:pPr>
      <w:r>
        <w:rPr>
          <w:rFonts w:ascii="仿宋_GB2312" w:hAnsi="黑体" w:cs="方正小标宋简体"/>
          <w:sz w:val="30"/>
          <w:szCs w:val="30"/>
        </w:rPr>
        <w:t xml:space="preserve"> </w:t>
      </w:r>
    </w:p>
    <w:p w14:paraId="421B2191">
      <w:pPr>
        <w:ind w:firstLine="600" w:firstLineChars="200"/>
        <w:jc w:val="left"/>
        <w:rPr>
          <w:rFonts w:ascii="仿宋_GB2312" w:hAnsi="黑体" w:cs="方正小标宋简体"/>
          <w:sz w:val="30"/>
          <w:szCs w:val="30"/>
        </w:rPr>
      </w:pPr>
      <w:r>
        <w:rPr>
          <w:rFonts w:ascii="仿宋_GB2312" w:hAnsi="黑体" w:cs="方正小标宋简体"/>
          <w:sz w:val="30"/>
          <w:szCs w:val="30"/>
        </w:rPr>
        <w:t xml:space="preserve"> </w:t>
      </w:r>
    </w:p>
    <w:p w14:paraId="0502CE5B">
      <w:pPr>
        <w:ind w:firstLine="600" w:firstLineChars="200"/>
        <w:rPr>
          <w:rFonts w:ascii="仿宋_GB2312" w:hAnsi="仿宋_GB2312"/>
          <w:sz w:val="30"/>
          <w:szCs w:val="30"/>
        </w:rPr>
      </w:pPr>
      <w:r>
        <w:rPr>
          <w:rFonts w:ascii="仿宋_GB2312" w:hAnsi="仿宋_GB2312"/>
          <w:sz w:val="30"/>
          <w:szCs w:val="30"/>
        </w:rPr>
        <w:t xml:space="preserve"> </w:t>
      </w:r>
    </w:p>
    <w:p w14:paraId="57D8D56A">
      <w:pPr>
        <w:ind w:firstLine="600" w:firstLineChars="200"/>
        <w:rPr>
          <w:rFonts w:ascii="仿宋_GB2312" w:hAnsi="仿宋_GB2312"/>
          <w:sz w:val="30"/>
          <w:szCs w:val="30"/>
        </w:rPr>
      </w:pPr>
      <w:r>
        <w:rPr>
          <w:rFonts w:ascii="仿宋_GB2312" w:hAnsi="仿宋_GB2312"/>
          <w:sz w:val="30"/>
          <w:szCs w:val="30"/>
        </w:rPr>
        <w:t xml:space="preserve"> </w:t>
      </w:r>
    </w:p>
    <w:p w14:paraId="1CECB693">
      <w:pPr>
        <w:rPr>
          <w:rFonts w:ascii="Arial" w:hAnsi="Arial" w:cs="Arial"/>
          <w:b/>
          <w:bCs/>
          <w:sz w:val="36"/>
          <w:szCs w:val="36"/>
        </w:rPr>
      </w:pPr>
      <w:r>
        <w:rPr>
          <w:rFonts w:ascii="Arial" w:hAnsi="Arial" w:cs="Arial"/>
          <w:b/>
          <w:bCs/>
          <w:sz w:val="36"/>
          <w:szCs w:val="36"/>
        </w:rPr>
        <w:t>监督索引号53010300128601111</w:t>
      </w:r>
    </w:p>
    <w:p w14:paraId="5729F3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5AC7840-04F8-470E-8BDC-24CF58424A3A}"/>
  </w:font>
  <w:font w:name="黑体">
    <w:panose1 w:val="02010609060101010101"/>
    <w:charset w:val="86"/>
    <w:family w:val="auto"/>
    <w:pitch w:val="default"/>
    <w:sig w:usb0="800002BF" w:usb1="38CF7CFA" w:usb2="00000016" w:usb3="00000000" w:csb0="00040001" w:csb1="00000000"/>
    <w:embedRegular r:id="rId2" w:fontKey="{BD742C20-3BD8-4784-AE87-677B5A6047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6E68400-5B2D-40CF-8BDA-C14BAE0BE45E}"/>
  </w:font>
  <w:font w:name="仿宋_GB2312">
    <w:altName w:val="仿宋"/>
    <w:panose1 w:val="00000000000000000000"/>
    <w:charset w:val="00"/>
    <w:family w:val="auto"/>
    <w:pitch w:val="default"/>
    <w:sig w:usb0="00000000" w:usb1="00000000" w:usb2="00000000" w:usb3="00000000" w:csb0="00000000" w:csb1="00000000"/>
    <w:embedRegular r:id="rId4" w:fontKey="{1BA20EC5-3C05-455F-A19F-60EE2FB86DA0}"/>
  </w:font>
  <w:font w:name="仿宋">
    <w:panose1 w:val="02010609060101010101"/>
    <w:charset w:val="86"/>
    <w:family w:val="modern"/>
    <w:pitch w:val="default"/>
    <w:sig w:usb0="800002BF" w:usb1="38CF7CFA" w:usb2="00000016" w:usb3="00000000" w:csb0="00040001" w:csb1="00000000"/>
    <w:embedRegular r:id="rId5" w:fontKey="{AD8D1160-CC5B-446E-8557-E40869C88523}"/>
  </w:font>
  <w:font w:name="楷体">
    <w:panose1 w:val="02010609060101010101"/>
    <w:charset w:val="86"/>
    <w:family w:val="modern"/>
    <w:pitch w:val="default"/>
    <w:sig w:usb0="800002BF" w:usb1="38CF7CFA" w:usb2="00000016" w:usb3="00000000" w:csb0="00040001" w:csb1="00000000"/>
    <w:embedRegular r:id="rId6" w:fontKey="{B0856C9E-88AF-4C04-B8EB-904D9EB6D811}"/>
  </w:font>
  <w:font w:name="微软雅黑">
    <w:panose1 w:val="020B0503020204020204"/>
    <w:charset w:val="86"/>
    <w:family w:val="swiss"/>
    <w:pitch w:val="default"/>
    <w:sig w:usb0="80000287" w:usb1="2ACF3C50" w:usb2="00000016" w:usb3="00000000" w:csb0="0004001F" w:csb1="00000000"/>
    <w:embedRegular r:id="rId7" w:fontKey="{71F54F28-04FF-45F2-9F98-D61FBA4306F8}"/>
  </w:font>
  <w:font w:name="方正小标宋_GBK">
    <w:altName w:val="微软雅黑"/>
    <w:panose1 w:val="00000000000000000000"/>
    <w:charset w:val="00"/>
    <w:family w:val="auto"/>
    <w:pitch w:val="default"/>
    <w:sig w:usb0="00000000" w:usb1="00000000" w:usb2="00000000" w:usb3="00000000" w:csb0="00000000" w:csb1="00000000"/>
    <w:embedRegular r:id="rId8" w:fontKey="{E4991B57-3DB2-412F-A54D-852525099F9C}"/>
  </w:font>
  <w:font w:name="方正小标宋简体">
    <w:panose1 w:val="02000000000000000000"/>
    <w:charset w:val="86"/>
    <w:family w:val="auto"/>
    <w:pitch w:val="default"/>
    <w:sig w:usb0="00000001" w:usb1="08000000" w:usb2="00000000" w:usb3="00000000" w:csb0="00040000" w:csb1="00000000"/>
    <w:embedRegular r:id="rId9" w:fontKey="{95CF117F-6D39-45A1-AEDE-868416A30654}"/>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F30811"/>
    <w:multiLevelType w:val="multilevel"/>
    <w:tmpl w:val="01F30811"/>
    <w:lvl w:ilvl="0" w:tentative="0">
      <w:start w:val="2"/>
      <w:numFmt w:val="chineseCounting"/>
      <w:suff w:val="space"/>
      <w:lvlText w:val="第%1部分"/>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AF60BF1"/>
    <w:multiLevelType w:val="multilevel"/>
    <w:tmpl w:val="1AF60BF1"/>
    <w:lvl w:ilvl="0" w:tentative="0">
      <w:start w:val="2"/>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46B335A"/>
    <w:multiLevelType w:val="multilevel"/>
    <w:tmpl w:val="346B335A"/>
    <w:lvl w:ilvl="0" w:tentative="0">
      <w:start w:val="4"/>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B721E40"/>
    <w:multiLevelType w:val="multilevel"/>
    <w:tmpl w:val="4B721E40"/>
    <w:lvl w:ilvl="0" w:tentative="0">
      <w:start w:val="5"/>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19E519C"/>
    <w:multiLevelType w:val="multilevel"/>
    <w:tmpl w:val="519E519C"/>
    <w:lvl w:ilvl="0" w:tentative="0">
      <w:start w:val="2"/>
      <w:numFmt w:val="chineseCounting"/>
      <w:suff w:val="space"/>
      <w:lvlText w:val="第%1部分"/>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763B57"/>
    <w:rsid w:val="00763B57"/>
    <w:rsid w:val="00936370"/>
    <w:rsid w:val="07632691"/>
    <w:rsid w:val="1D3956C4"/>
    <w:rsid w:val="302A2E15"/>
    <w:rsid w:val="324E00CB"/>
    <w:rsid w:val="726A4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
    <w:unhideWhenUsed/>
    <w:uiPriority w:val="99"/>
    <w:pPr>
      <w:spacing w:beforeLines="30" w:after="100" w:afterAutospacing="1"/>
    </w:pPr>
    <w:rPr>
      <w:rFonts w:ascii="仿宋_GB2312" w:hAnsi="仿宋_GB2312"/>
      <w:sz w:val="30"/>
      <w:szCs w:val="30"/>
    </w:rPr>
  </w:style>
  <w:style w:type="paragraph" w:styleId="3">
    <w:name w:val="Normal (Web)"/>
    <w:basedOn w:val="1"/>
    <w:unhideWhenUsed/>
    <w:uiPriority w:val="99"/>
    <w:pPr>
      <w:widowControl/>
      <w:spacing w:before="100" w:beforeAutospacing="1" w:after="100" w:afterAutospacing="1"/>
      <w:jc w:val="left"/>
    </w:pPr>
    <w:rPr>
      <w:rFonts w:ascii="宋体" w:hAnsi="宋体"/>
      <w:kern w:val="0"/>
      <w:sz w:val="24"/>
      <w:szCs w:val="24"/>
    </w:rPr>
  </w:style>
  <w:style w:type="character" w:customStyle="1" w:styleId="6">
    <w:name w:val="正文文本 Char"/>
    <w:basedOn w:val="5"/>
    <w:link w:val="2"/>
    <w:uiPriority w:val="99"/>
    <w:rPr>
      <w:rFonts w:ascii="仿宋_GB2312" w:hAnsi="仿宋_GB2312" w:eastAsia="宋体" w:cs="宋体"/>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4179</Words>
  <Characters>4481</Characters>
  <Lines>33</Lines>
  <Paragraphs>9</Paragraphs>
  <TotalTime>1</TotalTime>
  <ScaleCrop>false</ScaleCrop>
  <LinksUpToDate>false</LinksUpToDate>
  <CharactersWithSpaces>4559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2018-10-17T02:05:00Z</dcterms:created>
  <dc:creator>Administrator</dc:creator>
  <cp:lastModifiedBy>学而知之</cp:lastModifiedBy>
  <dcterms:modified xsi:type="dcterms:W3CDTF">2026-01-19T04:48:28Z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387D018F302E4944BEDB93493932CBAB_13</vt:lpwstr>
  </property>
  <property fmtid="{D5CDD505-2E9C-101B-9397-08002B2CF9AE}" pid="4" name="KSOTemplateDocerSaveRecord">
    <vt:lpwstr>eyJoZGlkIjoiNDlhYTc5NDc4NDUxMTc0YzljM2FkNzNkNjQyOGQ0Y2EiLCJ1c2VySWQiOiIxOTk2MjU0OTkifQ==</vt:lpwstr>
  </property>
</Properties>
</file>