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7D7C">
      <w:pPr>
        <w:spacing w:line="600" w:lineRule="exact"/>
        <w:ind w:firstLine="0" w:firstLineChars="0"/>
        <w:jc w:val="center"/>
        <w:rPr>
          <w:rFonts w:ascii="方正小标宋简体" w:hAnsi="方正小标宋简体" w:eastAsia="方正小标宋简体" w:cs="方正小标宋简体"/>
          <w:bCs/>
          <w:sz w:val="44"/>
          <w:szCs w:val="44"/>
        </w:rPr>
      </w:pPr>
    </w:p>
    <w:p w14:paraId="54E4D0D9">
      <w:pPr>
        <w:spacing w:line="600" w:lineRule="exact"/>
        <w:ind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昆明市盘龙区残疾人综合服务中心</w:t>
      </w:r>
    </w:p>
    <w:p w14:paraId="032B4608">
      <w:pPr>
        <w:spacing w:line="600" w:lineRule="exact"/>
        <w:ind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ascii="方正小标宋简体" w:hAnsi="方正小标宋简体" w:eastAsia="方正小标宋简体" w:cs="方正小标宋简体"/>
          <w:b/>
          <w:bCs/>
          <w:sz w:val="44"/>
          <w:szCs w:val="44"/>
        </w:rPr>
        <w:t>3</w:t>
      </w:r>
      <w:r>
        <w:rPr>
          <w:rFonts w:hint="eastAsia" w:ascii="方正小标宋简体" w:hAnsi="方正小标宋简体" w:eastAsia="方正小标宋简体" w:cs="方正小标宋简体"/>
          <w:b/>
          <w:bCs/>
          <w:sz w:val="44"/>
          <w:szCs w:val="44"/>
        </w:rPr>
        <w:t>年部门整体支出绩效自评报告</w:t>
      </w:r>
    </w:p>
    <w:p w14:paraId="111D111D">
      <w:pPr>
        <w:spacing w:before="120" w:after="120" w:line="480" w:lineRule="auto"/>
        <w:jc w:val="center"/>
        <w:rPr>
          <w:rFonts w:ascii="Times New Roman" w:hAnsi="Times New Roman" w:eastAsia="黑体"/>
          <w:b/>
          <w:bCs/>
          <w:sz w:val="52"/>
          <w:szCs w:val="52"/>
        </w:rPr>
      </w:pPr>
    </w:p>
    <w:p w14:paraId="7B2A3F1F">
      <w:pPr>
        <w:spacing w:before="120" w:after="120" w:line="480" w:lineRule="auto"/>
        <w:ind w:firstLine="883"/>
        <w:jc w:val="center"/>
        <w:rPr>
          <w:rFonts w:ascii="Times New Roman" w:hAnsi="Times New Roman"/>
          <w:b/>
          <w:bCs/>
          <w:sz w:val="44"/>
          <w:szCs w:val="44"/>
        </w:rPr>
      </w:pPr>
    </w:p>
    <w:p w14:paraId="3619E017">
      <w:pPr>
        <w:spacing w:before="120" w:after="120" w:line="480" w:lineRule="auto"/>
        <w:ind w:firstLine="883"/>
        <w:jc w:val="center"/>
        <w:rPr>
          <w:rFonts w:ascii="Times New Roman" w:hAnsi="Times New Roman"/>
          <w:b/>
          <w:bCs/>
          <w:sz w:val="44"/>
          <w:szCs w:val="44"/>
        </w:rPr>
      </w:pPr>
    </w:p>
    <w:p w14:paraId="72E2F721">
      <w:pPr>
        <w:spacing w:before="120" w:after="120" w:line="480" w:lineRule="auto"/>
        <w:ind w:firstLine="883"/>
        <w:jc w:val="center"/>
        <w:rPr>
          <w:rFonts w:ascii="Times New Roman" w:hAnsi="Times New Roman" w:eastAsia="黑体"/>
          <w:b/>
          <w:bCs/>
          <w:sz w:val="44"/>
          <w:szCs w:val="44"/>
        </w:rPr>
      </w:pPr>
    </w:p>
    <w:p w14:paraId="46AAF284">
      <w:pPr>
        <w:adjustRightInd w:val="0"/>
        <w:snapToGrid w:val="0"/>
        <w:ind w:firstLine="643"/>
        <w:rPr>
          <w:rFonts w:ascii="Times New Roman" w:hAnsi="Times New Roman" w:eastAsia="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0288" behindDoc="0" locked="0" layoutInCell="1" allowOverlap="1">
                <wp:simplePos x="0" y="0"/>
                <wp:positionH relativeFrom="column">
                  <wp:posOffset>1423035</wp:posOffset>
                </wp:positionH>
                <wp:positionV relativeFrom="paragraph">
                  <wp:posOffset>262255</wp:posOffset>
                </wp:positionV>
                <wp:extent cx="37211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37211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2.05pt;margin-top:20.65pt;height:0pt;width:293pt;z-index:251660288;mso-width-relative:page;mso-height-relative:page;" filled="f" stroked="t" coordsize="21600,21600" o:gfxdata="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Ov2ZvWAAAACQEAAA8AAAAAAAAAAQAgAAAAIgAAAGRycy9kb3du&#10;cmV2LnhtbFBLAQIUABQAAAAIAIdO4kByOZvTAQIAAPoDAAAOAAAAAAAAAAEAIAAAACUBAABkcnMv&#10;ZTJvRG9jLnhtbFBLBQYAAAAABgAGAFkBAACY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项目名称：</w:t>
      </w:r>
      <w:r>
        <w:rPr>
          <w:rFonts w:hint="eastAsia" w:ascii="Times New Roman" w:hAnsi="Times New Roman" w:eastAsia="黑体" w:cs="黑体"/>
          <w:b/>
          <w:bCs/>
          <w:sz w:val="28"/>
          <w:szCs w:val="28"/>
        </w:rPr>
        <w:t>昆明市盘龙区残疾人综合服务中心部门整体支</w:t>
      </w:r>
      <w:r>
        <w:rPr>
          <w:rFonts w:hint="eastAsia" w:ascii="Times New Roman" w:hAnsi="Times New Roman" w:eastAsia="黑体" w:cs="黑体"/>
          <w:b/>
          <w:bCs/>
          <w:sz w:val="32"/>
          <w:szCs w:val="32"/>
        </w:rPr>
        <w:t>出</w:t>
      </w:r>
    </w:p>
    <w:p w14:paraId="3E4B695C">
      <w:pPr>
        <w:adjustRightInd w:val="0"/>
        <w:snapToGrid w:val="0"/>
        <w:ind w:firstLine="643"/>
        <w:rPr>
          <w:rFonts w:ascii="Times New Roman" w:hAnsi="Times New Roman" w:eastAsia="黑体" w:cs="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1312" behindDoc="0" locked="0" layoutInCell="1" allowOverlap="1">
                <wp:simplePos x="0" y="0"/>
                <wp:positionH relativeFrom="column">
                  <wp:posOffset>1422400</wp:posOffset>
                </wp:positionH>
                <wp:positionV relativeFrom="paragraph">
                  <wp:posOffset>294005</wp:posOffset>
                </wp:positionV>
                <wp:extent cx="37153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71538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2pt;margin-top:23.15pt;height:0pt;width:292.55pt;z-index:251661312;mso-width-relative:page;mso-height-relative:page;" filled="f" stroked="t" coordsize="21600,21600" o:gfxdata="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UmgvYAAAACQEAAA8AAAAAAAAAAQAgAAAAIgAAAGRycy9k&#10;b3ducmV2LnhtbFBLAQIUABQAAAAIAIdO4kDU4V4qAgIAAPoDAAAOAAAAAAAAAAEAIAAAACcBAABk&#10;cnMvZTJvRG9jLnhtbFBLBQYAAAAABgAGAFkBAACb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部门名称：昆明市盘龙区残疾人综合服务中心</w:t>
      </w:r>
    </w:p>
    <w:p w14:paraId="62337245">
      <w:pPr>
        <w:adjustRightInd w:val="0"/>
        <w:snapToGrid w:val="0"/>
        <w:ind w:firstLine="643"/>
        <w:rPr>
          <w:rFonts w:ascii="Times New Roman" w:hAnsi="Times New Roman" w:eastAsia="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2336" behindDoc="0" locked="0" layoutInCell="1" allowOverlap="1">
                <wp:simplePos x="0" y="0"/>
                <wp:positionH relativeFrom="column">
                  <wp:posOffset>1441450</wp:posOffset>
                </wp:positionH>
                <wp:positionV relativeFrom="paragraph">
                  <wp:posOffset>304165</wp:posOffset>
                </wp:positionV>
                <wp:extent cx="367093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6709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3.5pt;margin-top:23.95pt;height:0pt;width:289.05pt;z-index:251662336;mso-width-relative:page;mso-height-relative:page;" filled="f" stroked="t" coordsize="21600,21600" o:gfxdata="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3fmybYAAAACQEAAA8AAAAAAAAAAQAgAAAAIgAAAGRycy9k&#10;b3ducmV2LnhtbFBLAQIUABQAAAAIAIdO4kB7BCaHAgIAAPoDAAAOAAAAAAAAAAEAIAAAACcBAABk&#10;cnMvZTJvRG9jLnhtbFBLBQYAAAAABgAGAFkBAACb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评价机构：昆明市盘龙区残疾人联合会</w:t>
      </w:r>
    </w:p>
    <w:p w14:paraId="7CFC21B2">
      <w:pPr>
        <w:ind w:left="1740" w:leftChars="580" w:firstLine="643"/>
        <w:rPr>
          <w:rFonts w:ascii="Times New Roman" w:hAnsi="Times New Roman" w:eastAsia="黑体"/>
          <w:b/>
          <w:bCs/>
          <w:sz w:val="32"/>
          <w:szCs w:val="32"/>
        </w:rPr>
      </w:pPr>
    </w:p>
    <w:p w14:paraId="135C09B2">
      <w:pPr>
        <w:ind w:firstLine="643"/>
        <w:jc w:val="center"/>
        <w:rPr>
          <w:rFonts w:ascii="Times New Roman" w:hAnsi="Times New Roman" w:eastAsia="黑体" w:cs="黑体"/>
          <w:b/>
          <w:bCs/>
          <w:sz w:val="32"/>
          <w:szCs w:val="32"/>
        </w:rPr>
      </w:pPr>
      <w:r>
        <w:rPr>
          <w:rFonts w:ascii="Times New Roman" w:hAnsi="Times New Roman" w:eastAsia="黑体"/>
          <w:b/>
          <w:bCs/>
          <w:sz w:val="32"/>
          <w:szCs w:val="32"/>
        </w:rPr>
        <w:t>20</w:t>
      </w:r>
      <w:r>
        <w:rPr>
          <w:rFonts w:hint="eastAsia" w:ascii="Times New Roman" w:hAnsi="Times New Roman" w:eastAsia="黑体"/>
          <w:b/>
          <w:bCs/>
          <w:sz w:val="32"/>
          <w:szCs w:val="32"/>
        </w:rPr>
        <w:t>2</w:t>
      </w:r>
      <w:r>
        <w:rPr>
          <w:rFonts w:ascii="Times New Roman" w:hAnsi="Times New Roman" w:eastAsia="黑体"/>
          <w:b/>
          <w:bCs/>
          <w:sz w:val="32"/>
          <w:szCs w:val="32"/>
        </w:rPr>
        <w:t>4</w:t>
      </w:r>
      <w:r>
        <w:rPr>
          <w:rFonts w:hint="eastAsia" w:ascii="Times New Roman" w:hAnsi="Times New Roman" w:eastAsia="黑体" w:cs="黑体"/>
          <w:b/>
          <w:bCs/>
          <w:sz w:val="32"/>
          <w:szCs w:val="32"/>
        </w:rPr>
        <w:t>年</w:t>
      </w:r>
      <w:r>
        <w:rPr>
          <w:rFonts w:hint="eastAsia" w:ascii="Times New Roman" w:hAnsi="Times New Roman" w:eastAsia="黑体"/>
          <w:b/>
          <w:bCs/>
          <w:sz w:val="32"/>
          <w:szCs w:val="32"/>
        </w:rPr>
        <w:t>0</w:t>
      </w:r>
      <w:r>
        <w:rPr>
          <w:rFonts w:ascii="Times New Roman" w:hAnsi="Times New Roman" w:eastAsia="黑体"/>
          <w:b/>
          <w:bCs/>
          <w:sz w:val="32"/>
          <w:szCs w:val="32"/>
        </w:rPr>
        <w:t>5</w:t>
      </w:r>
      <w:r>
        <w:rPr>
          <w:rFonts w:hint="eastAsia" w:ascii="Times New Roman" w:hAnsi="Times New Roman" w:eastAsia="黑体" w:cs="黑体"/>
          <w:b/>
          <w:bCs/>
          <w:sz w:val="32"/>
          <w:szCs w:val="32"/>
        </w:rPr>
        <w:t>月</w:t>
      </w:r>
    </w:p>
    <w:p w14:paraId="54CBF907">
      <w:pPr>
        <w:ind w:firstLine="562"/>
        <w:jc w:val="center"/>
        <w:rPr>
          <w:rFonts w:ascii="Times New Roman" w:hAnsi="Times New Roman" w:eastAsia="黑体" w:cs="黑体"/>
          <w:b/>
          <w:bCs/>
          <w:sz w:val="28"/>
          <w:szCs w:val="28"/>
        </w:rPr>
      </w:pPr>
    </w:p>
    <w:p w14:paraId="180EBCE1">
      <w:pPr>
        <w:ind w:firstLine="562"/>
        <w:jc w:val="center"/>
        <w:rPr>
          <w:rFonts w:ascii="Times New Roman" w:hAnsi="Times New Roman" w:eastAsia="黑体" w:cs="黑体"/>
          <w:b/>
          <w:bCs/>
          <w:sz w:val="28"/>
          <w:szCs w:val="28"/>
        </w:rPr>
      </w:pPr>
    </w:p>
    <w:p w14:paraId="39EDABFC">
      <w:pPr>
        <w:ind w:firstLine="562"/>
        <w:jc w:val="center"/>
        <w:rPr>
          <w:rFonts w:ascii="Times New Roman" w:hAnsi="Times New Roman" w:eastAsia="黑体" w:cs="黑体"/>
          <w:b/>
          <w:bCs/>
          <w:sz w:val="28"/>
          <w:szCs w:val="28"/>
        </w:rPr>
      </w:pPr>
    </w:p>
    <w:p w14:paraId="3884B5B3">
      <w:pPr>
        <w:ind w:firstLine="562"/>
        <w:jc w:val="center"/>
        <w:rPr>
          <w:rFonts w:ascii="Times New Roman" w:hAnsi="Times New Roman" w:eastAsia="黑体" w:cs="黑体"/>
          <w:b/>
          <w:bCs/>
          <w:sz w:val="28"/>
          <w:szCs w:val="28"/>
        </w:rPr>
      </w:pPr>
    </w:p>
    <w:p w14:paraId="05C88777">
      <w:pPr>
        <w:ind w:firstLine="562"/>
        <w:jc w:val="center"/>
        <w:rPr>
          <w:rFonts w:ascii="Times New Roman" w:hAnsi="Times New Roman"/>
          <w:b/>
          <w:bCs/>
          <w:sz w:val="28"/>
          <w:szCs w:val="28"/>
        </w:rPr>
      </w:pPr>
    </w:p>
    <w:p w14:paraId="783AC33E">
      <w:pPr>
        <w:widowControl/>
        <w:ind w:firstLine="562"/>
        <w:jc w:val="left"/>
        <w:rPr>
          <w:rFonts w:ascii="Times New Roman" w:hAnsi="Times New Roman"/>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701" w:right="1587" w:bottom="1587" w:left="1587" w:header="851" w:footer="992" w:gutter="0"/>
          <w:cols w:space="425" w:num="1"/>
          <w:docGrid w:type="lines" w:linePitch="408" w:charSpace="0"/>
        </w:sectPr>
      </w:pPr>
    </w:p>
    <w:p w14:paraId="3CAF6106">
      <w:pPr>
        <w:pStyle w:val="10"/>
        <w:widowControl w:val="0"/>
        <w:spacing w:after="0" w:line="360" w:lineRule="auto"/>
        <w:ind w:left="600" w:leftChars="200"/>
        <w:jc w:val="both"/>
        <w:rPr>
          <w:rFonts w:ascii="Times New Roman" w:hAnsi="Times New Roman" w:eastAsia="黑体" w:cs="Times New Roman"/>
          <w:kern w:val="2"/>
          <w:sz w:val="24"/>
          <w:szCs w:val="24"/>
          <w:lang w:val="zh-TW" w:eastAsia="zh-TW"/>
        </w:rPr>
      </w:pPr>
      <w:r>
        <w:rPr>
          <w:rFonts w:hint="eastAsia" w:ascii="Times New Roman" w:hAnsi="Times New Roman" w:eastAsia="黑体" w:cs="黑体"/>
          <w:kern w:val="2"/>
          <w:sz w:val="24"/>
          <w:szCs w:val="24"/>
          <w:lang w:val="zh-TW" w:eastAsia="zh-TW"/>
        </w:rPr>
        <w:t>评价小组成员：</w:t>
      </w:r>
    </w:p>
    <w:tbl>
      <w:tblPr>
        <w:tblStyle w:val="8"/>
        <w:tblpPr w:leftFromText="180" w:rightFromText="180" w:vertAnchor="text" w:horzAnchor="margin" w:tblpXSpec="center" w:tblpY="72"/>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2AE7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72CDACCD">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评价小组</w:t>
            </w:r>
          </w:p>
          <w:p w14:paraId="53C4B111">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机构职位</w:t>
            </w:r>
          </w:p>
        </w:tc>
        <w:tc>
          <w:tcPr>
            <w:tcW w:w="1620" w:type="dxa"/>
            <w:vAlign w:val="center"/>
          </w:tcPr>
          <w:p w14:paraId="5C913B52">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姓名</w:t>
            </w:r>
          </w:p>
        </w:tc>
        <w:tc>
          <w:tcPr>
            <w:tcW w:w="1620" w:type="dxa"/>
            <w:vAlign w:val="center"/>
          </w:tcPr>
          <w:p w14:paraId="6C4B31A4">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职务/职称</w:t>
            </w:r>
          </w:p>
        </w:tc>
        <w:tc>
          <w:tcPr>
            <w:tcW w:w="1621" w:type="dxa"/>
            <w:vAlign w:val="center"/>
          </w:tcPr>
          <w:p w14:paraId="6CAE2C7E">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所属</w:t>
            </w:r>
          </w:p>
          <w:p w14:paraId="164C3567">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单位/处室</w:t>
            </w:r>
          </w:p>
        </w:tc>
        <w:tc>
          <w:tcPr>
            <w:tcW w:w="1621" w:type="dxa"/>
            <w:vAlign w:val="center"/>
          </w:tcPr>
          <w:p w14:paraId="6D4C600C">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签字</w:t>
            </w:r>
          </w:p>
        </w:tc>
      </w:tr>
      <w:tr w14:paraId="069B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620" w:type="dxa"/>
            <w:vAlign w:val="center"/>
          </w:tcPr>
          <w:p w14:paraId="197E8E51">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组长</w:t>
            </w:r>
          </w:p>
        </w:tc>
        <w:tc>
          <w:tcPr>
            <w:tcW w:w="1620" w:type="dxa"/>
            <w:vAlign w:val="center"/>
          </w:tcPr>
          <w:p w14:paraId="23BA4256">
            <w:pPr>
              <w:pStyle w:val="10"/>
              <w:widowControl w:val="0"/>
              <w:spacing w:after="0" w:line="240" w:lineRule="auto"/>
              <w:jc w:val="center"/>
              <w:rPr>
                <w:rFonts w:hint="eastAsia" w:asciiTheme="majorEastAsia" w:hAnsiTheme="majorEastAsia" w:eastAsiaTheme="majorEastAsia" w:cstheme="majorEastAsia"/>
                <w:kern w:val="2"/>
                <w:sz w:val="28"/>
                <w:szCs w:val="28"/>
                <w:lang w:val="zh-TW" w:eastAsia="zh-CN"/>
              </w:rPr>
            </w:pPr>
            <w:r>
              <w:rPr>
                <w:rFonts w:hint="eastAsia" w:asciiTheme="majorEastAsia" w:hAnsiTheme="majorEastAsia" w:eastAsiaTheme="majorEastAsia" w:cstheme="majorEastAsia"/>
                <w:kern w:val="2"/>
                <w:sz w:val="28"/>
                <w:szCs w:val="28"/>
                <w:lang w:eastAsia="zh-CN"/>
              </w:rPr>
              <w:t>朱竹清</w:t>
            </w:r>
          </w:p>
        </w:tc>
        <w:tc>
          <w:tcPr>
            <w:tcW w:w="1620" w:type="dxa"/>
            <w:vAlign w:val="center"/>
          </w:tcPr>
          <w:p w14:paraId="66271323">
            <w:pPr>
              <w:pStyle w:val="10"/>
              <w:widowControl w:val="0"/>
              <w:spacing w:after="0" w:line="24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w:t>
            </w:r>
            <w:r>
              <w:rPr>
                <w:rFonts w:asciiTheme="majorEastAsia" w:hAnsiTheme="majorEastAsia" w:eastAsiaTheme="majorEastAsia" w:cstheme="majorEastAsia"/>
                <w:kern w:val="2"/>
                <w:sz w:val="24"/>
                <w:szCs w:val="24"/>
                <w:lang w:val="zh-TW"/>
              </w:rPr>
              <w:t>残联</w:t>
            </w:r>
            <w:r>
              <w:rPr>
                <w:rFonts w:hint="eastAsia" w:asciiTheme="majorEastAsia" w:hAnsiTheme="majorEastAsia" w:eastAsiaTheme="majorEastAsia" w:cstheme="majorEastAsia"/>
                <w:kern w:val="2"/>
                <w:sz w:val="24"/>
                <w:szCs w:val="24"/>
                <w:lang w:val="zh-TW"/>
              </w:rPr>
              <w:t>理事长</w:t>
            </w:r>
          </w:p>
        </w:tc>
        <w:tc>
          <w:tcPr>
            <w:tcW w:w="1621" w:type="dxa"/>
            <w:vAlign w:val="center"/>
          </w:tcPr>
          <w:p w14:paraId="326EF67B">
            <w:pPr>
              <w:pStyle w:val="10"/>
              <w:widowControl w:val="0"/>
              <w:spacing w:after="0" w:line="24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区残联办公室</w:t>
            </w:r>
          </w:p>
        </w:tc>
        <w:tc>
          <w:tcPr>
            <w:tcW w:w="1621" w:type="dxa"/>
            <w:vAlign w:val="center"/>
          </w:tcPr>
          <w:p w14:paraId="4092BC52">
            <w:pPr>
              <w:pStyle w:val="10"/>
              <w:widowControl w:val="0"/>
              <w:spacing w:after="0" w:line="240" w:lineRule="auto"/>
              <w:jc w:val="center"/>
              <w:rPr>
                <w:rFonts w:asciiTheme="majorEastAsia" w:hAnsiTheme="majorEastAsia" w:eastAsiaTheme="majorEastAsia" w:cstheme="majorEastAsia"/>
                <w:kern w:val="2"/>
                <w:sz w:val="28"/>
                <w:szCs w:val="28"/>
                <w:lang w:val="zh-TW" w:eastAsia="zh-TW"/>
              </w:rPr>
            </w:pPr>
          </w:p>
        </w:tc>
      </w:tr>
      <w:tr w14:paraId="5AD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20" w:type="dxa"/>
            <w:vAlign w:val="center"/>
          </w:tcPr>
          <w:p w14:paraId="716BA02E">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副组长</w:t>
            </w:r>
          </w:p>
        </w:tc>
        <w:tc>
          <w:tcPr>
            <w:tcW w:w="1620" w:type="dxa"/>
            <w:vAlign w:val="center"/>
          </w:tcPr>
          <w:p w14:paraId="06EE6297">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杨超</w:t>
            </w:r>
          </w:p>
        </w:tc>
        <w:tc>
          <w:tcPr>
            <w:tcW w:w="1620" w:type="dxa"/>
            <w:vAlign w:val="center"/>
          </w:tcPr>
          <w:p w14:paraId="13D525AE">
            <w:pPr>
              <w:pStyle w:val="10"/>
              <w:widowControl w:val="0"/>
              <w:spacing w:after="0" w:line="36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区残联副理事长</w:t>
            </w:r>
          </w:p>
        </w:tc>
        <w:tc>
          <w:tcPr>
            <w:tcW w:w="1621" w:type="dxa"/>
            <w:vAlign w:val="center"/>
          </w:tcPr>
          <w:p w14:paraId="0A017CEC">
            <w:pPr>
              <w:ind w:firstLine="0" w:firstLineChars="0"/>
              <w:jc w:val="center"/>
              <w:rPr>
                <w:rFonts w:asciiTheme="majorEastAsia" w:hAnsiTheme="majorEastAsia" w:eastAsiaTheme="majorEastAsia" w:cstheme="majorEastAsia"/>
                <w:sz w:val="24"/>
                <w:szCs w:val="24"/>
                <w:lang w:val="zh-TW" w:eastAsia="zh-TW"/>
              </w:rPr>
            </w:pPr>
            <w:r>
              <w:rPr>
                <w:rFonts w:hint="eastAsia" w:asciiTheme="majorEastAsia" w:hAnsiTheme="majorEastAsia" w:eastAsiaTheme="majorEastAsia" w:cstheme="majorEastAsia"/>
                <w:sz w:val="24"/>
                <w:szCs w:val="24"/>
                <w:lang w:val="zh-TW"/>
              </w:rPr>
              <w:t>区残联办公室</w:t>
            </w:r>
          </w:p>
        </w:tc>
        <w:tc>
          <w:tcPr>
            <w:tcW w:w="1621" w:type="dxa"/>
            <w:vAlign w:val="center"/>
          </w:tcPr>
          <w:p w14:paraId="4D50A964">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066D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20" w:type="dxa"/>
            <w:vAlign w:val="center"/>
          </w:tcPr>
          <w:p w14:paraId="0BCFB3C3">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成员</w:t>
            </w:r>
          </w:p>
        </w:tc>
        <w:tc>
          <w:tcPr>
            <w:tcW w:w="1620" w:type="dxa"/>
            <w:vAlign w:val="center"/>
          </w:tcPr>
          <w:p w14:paraId="05233654">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袁军</w:t>
            </w:r>
          </w:p>
        </w:tc>
        <w:tc>
          <w:tcPr>
            <w:tcW w:w="1620" w:type="dxa"/>
            <w:vAlign w:val="center"/>
          </w:tcPr>
          <w:p w14:paraId="750A8605">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区残联办公室主任</w:t>
            </w:r>
          </w:p>
        </w:tc>
        <w:tc>
          <w:tcPr>
            <w:tcW w:w="1621" w:type="dxa"/>
            <w:vAlign w:val="center"/>
          </w:tcPr>
          <w:p w14:paraId="1E03567D">
            <w:pPr>
              <w:ind w:firstLine="0" w:firstLineChars="0"/>
              <w:jc w:val="center"/>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区残联办公室</w:t>
            </w:r>
          </w:p>
        </w:tc>
        <w:tc>
          <w:tcPr>
            <w:tcW w:w="1621" w:type="dxa"/>
            <w:vAlign w:val="center"/>
          </w:tcPr>
          <w:p w14:paraId="04B130F2">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6B62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620" w:type="dxa"/>
            <w:vAlign w:val="center"/>
          </w:tcPr>
          <w:p w14:paraId="7244E67C">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成员</w:t>
            </w:r>
          </w:p>
        </w:tc>
        <w:tc>
          <w:tcPr>
            <w:tcW w:w="1620" w:type="dxa"/>
            <w:vAlign w:val="center"/>
          </w:tcPr>
          <w:p w14:paraId="4CE3D50D">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r>
              <w:rPr>
                <w:rFonts w:hint="eastAsia" w:asciiTheme="majorEastAsia" w:hAnsiTheme="majorEastAsia" w:eastAsiaTheme="majorEastAsia" w:cstheme="majorEastAsia"/>
                <w:kern w:val="2"/>
                <w:sz w:val="28"/>
                <w:szCs w:val="28"/>
              </w:rPr>
              <w:t>王海燕</w:t>
            </w:r>
          </w:p>
        </w:tc>
        <w:tc>
          <w:tcPr>
            <w:tcW w:w="1620" w:type="dxa"/>
            <w:vAlign w:val="center"/>
          </w:tcPr>
          <w:p w14:paraId="6E673093">
            <w:pPr>
              <w:pStyle w:val="10"/>
              <w:widowControl w:val="0"/>
              <w:spacing w:after="0" w:line="36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区残联综合业务科科科长</w:t>
            </w:r>
          </w:p>
        </w:tc>
        <w:tc>
          <w:tcPr>
            <w:tcW w:w="1621" w:type="dxa"/>
            <w:vAlign w:val="center"/>
          </w:tcPr>
          <w:p w14:paraId="3749F10D">
            <w:pPr>
              <w:ind w:firstLine="0" w:firstLineChars="0"/>
              <w:jc w:val="center"/>
              <w:rPr>
                <w:rFonts w:asciiTheme="majorEastAsia" w:hAnsiTheme="majorEastAsia" w:eastAsiaTheme="majorEastAsia" w:cstheme="majorEastAsia"/>
                <w:sz w:val="24"/>
                <w:szCs w:val="24"/>
                <w:lang w:val="zh-TW" w:eastAsia="zh-TW"/>
              </w:rPr>
            </w:pPr>
            <w:r>
              <w:rPr>
                <w:rFonts w:hint="eastAsia" w:asciiTheme="majorEastAsia" w:hAnsiTheme="majorEastAsia" w:eastAsiaTheme="majorEastAsia" w:cstheme="majorEastAsia"/>
                <w:sz w:val="24"/>
                <w:szCs w:val="24"/>
                <w:lang w:val="zh-TW"/>
              </w:rPr>
              <w:t>区残联综合业务科</w:t>
            </w:r>
          </w:p>
        </w:tc>
        <w:tc>
          <w:tcPr>
            <w:tcW w:w="1621" w:type="dxa"/>
            <w:vAlign w:val="center"/>
          </w:tcPr>
          <w:p w14:paraId="4F2B4F3B">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4E6A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620" w:type="dxa"/>
            <w:vAlign w:val="center"/>
          </w:tcPr>
          <w:p w14:paraId="5AF331EB">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成员</w:t>
            </w:r>
          </w:p>
        </w:tc>
        <w:tc>
          <w:tcPr>
            <w:tcW w:w="1620" w:type="dxa"/>
            <w:vAlign w:val="center"/>
          </w:tcPr>
          <w:p w14:paraId="56F22129">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赵荣玲</w:t>
            </w:r>
          </w:p>
        </w:tc>
        <w:tc>
          <w:tcPr>
            <w:tcW w:w="1620" w:type="dxa"/>
            <w:vAlign w:val="center"/>
          </w:tcPr>
          <w:p w14:paraId="7CD3B4C0">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区残联财务人员</w:t>
            </w:r>
          </w:p>
        </w:tc>
        <w:tc>
          <w:tcPr>
            <w:tcW w:w="1621" w:type="dxa"/>
            <w:vAlign w:val="center"/>
          </w:tcPr>
          <w:p w14:paraId="1900415B">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区残联办公室</w:t>
            </w:r>
          </w:p>
        </w:tc>
        <w:tc>
          <w:tcPr>
            <w:tcW w:w="1621" w:type="dxa"/>
            <w:vAlign w:val="center"/>
          </w:tcPr>
          <w:p w14:paraId="1441DF9B">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2D9C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102" w:type="dxa"/>
            <w:gridSpan w:val="5"/>
          </w:tcPr>
          <w:p w14:paraId="43670501">
            <w:pPr>
              <w:pStyle w:val="10"/>
              <w:widowControl w:val="0"/>
              <w:spacing w:after="0" w:line="360" w:lineRule="auto"/>
              <w:jc w:val="both"/>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报告撰写人（签字）：</w:t>
            </w:r>
          </w:p>
          <w:p w14:paraId="32E5CE15">
            <w:pPr>
              <w:pStyle w:val="10"/>
              <w:widowControl w:val="0"/>
              <w:spacing w:after="0" w:line="360" w:lineRule="auto"/>
              <w:jc w:val="both"/>
              <w:rPr>
                <w:rFonts w:asciiTheme="majorEastAsia" w:hAnsiTheme="majorEastAsia" w:eastAsiaTheme="majorEastAsia" w:cstheme="majorEastAsia"/>
                <w:kern w:val="2"/>
                <w:sz w:val="28"/>
                <w:szCs w:val="28"/>
                <w:lang w:val="zh-TW" w:eastAsia="zh-TW"/>
              </w:rPr>
            </w:pPr>
          </w:p>
          <w:p w14:paraId="1EEEC52E">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6AA4FE3E">
            <w:pPr>
              <w:pStyle w:val="10"/>
              <w:widowControl w:val="0"/>
              <w:wordWrap w:val="0"/>
              <w:spacing w:after="0" w:line="360" w:lineRule="auto"/>
              <w:jc w:val="right"/>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年  月  日</w:t>
            </w:r>
          </w:p>
        </w:tc>
      </w:tr>
      <w:tr w14:paraId="27DC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102" w:type="dxa"/>
            <w:gridSpan w:val="5"/>
          </w:tcPr>
          <w:p w14:paraId="02800F1B">
            <w:pPr>
              <w:pStyle w:val="10"/>
              <w:widowControl w:val="0"/>
              <w:spacing w:after="0" w:line="360" w:lineRule="auto"/>
              <w:jc w:val="both"/>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评价工作负责人（签字）：</w:t>
            </w:r>
          </w:p>
          <w:p w14:paraId="407602F7">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61929FBE">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0A5C492C">
            <w:pPr>
              <w:pStyle w:val="10"/>
              <w:widowControl w:val="0"/>
              <w:wordWrap w:val="0"/>
              <w:spacing w:after="0" w:line="360" w:lineRule="auto"/>
              <w:jc w:val="right"/>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年  月  日</w:t>
            </w:r>
          </w:p>
        </w:tc>
      </w:tr>
    </w:tbl>
    <w:p w14:paraId="678520C1">
      <w:pPr>
        <w:pStyle w:val="10"/>
        <w:widowControl w:val="0"/>
        <w:spacing w:after="0" w:line="360" w:lineRule="auto"/>
        <w:ind w:firstLine="566" w:firstLineChars="236"/>
        <w:jc w:val="both"/>
        <w:rPr>
          <w:rFonts w:ascii="Times New Roman" w:hAnsi="Times New Roman" w:eastAsia="PMingLiU" w:cs="Times New Roman"/>
          <w:kern w:val="2"/>
          <w:sz w:val="24"/>
          <w:szCs w:val="24"/>
          <w:lang w:val="zh-TW" w:eastAsia="zh-TW"/>
        </w:rPr>
      </w:pPr>
    </w:p>
    <w:p w14:paraId="2762FC9E">
      <w:pPr>
        <w:pStyle w:val="10"/>
        <w:widowControl w:val="0"/>
        <w:spacing w:after="0" w:line="360" w:lineRule="auto"/>
        <w:jc w:val="both"/>
        <w:rPr>
          <w:rFonts w:ascii="Times New Roman" w:hAnsi="Times New Roman" w:cs="Times New Roman"/>
          <w:kern w:val="2"/>
          <w:sz w:val="24"/>
          <w:szCs w:val="24"/>
          <w:lang w:val="zh-TW"/>
        </w:rPr>
        <w:sectPr>
          <w:pgSz w:w="11906" w:h="16838"/>
          <w:pgMar w:top="1440" w:right="1800" w:bottom="1587" w:left="1800" w:header="851" w:footer="992" w:gutter="0"/>
          <w:cols w:space="425" w:num="1"/>
          <w:docGrid w:type="lines" w:linePitch="312" w:charSpace="0"/>
        </w:sectPr>
      </w:pPr>
    </w:p>
    <w:p w14:paraId="025EC330">
      <w:pPr>
        <w:spacing w:line="440" w:lineRule="exact"/>
        <w:ind w:firstLine="560"/>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val="zh-CN"/>
        </w:rPr>
        <w:t>目录</w:t>
      </w:r>
    </w:p>
    <w:p w14:paraId="44A7D77C">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摘要</w:t>
      </w:r>
    </w:p>
    <w:p w14:paraId="10AD067C">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一、部门概况</w:t>
      </w:r>
    </w:p>
    <w:p w14:paraId="2D78DCCC">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（一）部门机构设置、编制</w:t>
      </w:r>
      <w:r>
        <w:rPr>
          <w:rFonts w:hint="eastAsia" w:ascii="仿宋_GB2312" w:hAnsi="仿宋_GB2312" w:cs="仿宋_GB2312"/>
          <w:sz w:val="28"/>
          <w:szCs w:val="28"/>
        </w:rPr>
        <w:tab/>
      </w:r>
    </w:p>
    <w:p w14:paraId="59CB29EF">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（二）部门职能</w:t>
      </w:r>
    </w:p>
    <w:p w14:paraId="71373BC4">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（三）部门工作完成情况</w:t>
      </w:r>
      <w:r>
        <w:rPr>
          <w:rFonts w:hint="eastAsia" w:ascii="仿宋_GB2312" w:hAnsi="仿宋_GB2312" w:cs="仿宋_GB2312"/>
          <w:sz w:val="28"/>
          <w:szCs w:val="28"/>
        </w:rPr>
        <w:tab/>
      </w:r>
    </w:p>
    <w:p w14:paraId="28DCA37B">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 xml:space="preserve">（四）部门管理制度 </w:t>
      </w:r>
    </w:p>
    <w:p w14:paraId="33A97E18">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（五）部门资金来源及使用情况</w:t>
      </w:r>
      <w:r>
        <w:rPr>
          <w:rFonts w:hint="eastAsia" w:ascii="仿宋_GB2312" w:hAnsi="仿宋_GB2312" w:cs="仿宋_GB2312"/>
          <w:sz w:val="28"/>
          <w:szCs w:val="28"/>
        </w:rPr>
        <w:tab/>
      </w:r>
    </w:p>
    <w:p w14:paraId="76C9C580">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 xml:space="preserve">（六）政府采购情况 </w:t>
      </w:r>
    </w:p>
    <w:p w14:paraId="7614E6B9">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（七）固定资产情况</w:t>
      </w:r>
      <w:r>
        <w:rPr>
          <w:rFonts w:hint="eastAsia" w:ascii="仿宋_GB2312" w:hAnsi="仿宋_GB2312" w:cs="仿宋_GB2312"/>
          <w:sz w:val="28"/>
          <w:szCs w:val="28"/>
        </w:rPr>
        <w:tab/>
      </w:r>
    </w:p>
    <w:p w14:paraId="44487A51">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二、绩效目标</w:t>
      </w:r>
    </w:p>
    <w:p w14:paraId="1C6DFCD8">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三、评价思路和过程</w:t>
      </w:r>
    </w:p>
    <w:p w14:paraId="530DF042">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（一）评价思路</w:t>
      </w:r>
      <w:r>
        <w:rPr>
          <w:rFonts w:hint="eastAsia" w:ascii="仿宋_GB2312" w:hAnsi="仿宋_GB2312" w:cs="仿宋_GB2312"/>
          <w:sz w:val="28"/>
          <w:szCs w:val="28"/>
        </w:rPr>
        <w:tab/>
      </w:r>
    </w:p>
    <w:p w14:paraId="405E70D5">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（二）评价目的</w:t>
      </w:r>
      <w:r>
        <w:rPr>
          <w:rFonts w:hint="eastAsia" w:ascii="仿宋_GB2312" w:hAnsi="仿宋_GB2312" w:cs="仿宋_GB2312"/>
          <w:sz w:val="28"/>
          <w:szCs w:val="28"/>
        </w:rPr>
        <w:tab/>
      </w:r>
    </w:p>
    <w:p w14:paraId="203501AD">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（三）评价依据</w:t>
      </w:r>
      <w:r>
        <w:rPr>
          <w:rFonts w:hint="eastAsia" w:ascii="仿宋_GB2312" w:hAnsi="仿宋_GB2312" w:cs="仿宋_GB2312"/>
          <w:sz w:val="28"/>
          <w:szCs w:val="28"/>
        </w:rPr>
        <w:tab/>
      </w:r>
    </w:p>
    <w:p w14:paraId="10609613">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（四）评价对象及评价时段</w:t>
      </w:r>
      <w:r>
        <w:rPr>
          <w:rFonts w:hint="eastAsia" w:ascii="仿宋_GB2312" w:hAnsi="仿宋_GB2312" w:cs="仿宋_GB2312"/>
          <w:sz w:val="28"/>
          <w:szCs w:val="28"/>
        </w:rPr>
        <w:tab/>
      </w:r>
    </w:p>
    <w:p w14:paraId="4FBBBB7D">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四、评价结论和绩效分析</w:t>
      </w:r>
      <w:r>
        <w:rPr>
          <w:rFonts w:hint="eastAsia" w:ascii="黑体" w:hAnsi="黑体" w:eastAsia="黑体" w:cs="黑体"/>
          <w:sz w:val="28"/>
          <w:szCs w:val="28"/>
        </w:rPr>
        <w:tab/>
      </w:r>
    </w:p>
    <w:p w14:paraId="46824A5D">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（一）评价结论</w:t>
      </w:r>
      <w:r>
        <w:rPr>
          <w:rFonts w:hint="eastAsia" w:ascii="仿宋_GB2312" w:hAnsi="仿宋_GB2312" w:cs="仿宋_GB2312"/>
          <w:sz w:val="28"/>
          <w:szCs w:val="28"/>
        </w:rPr>
        <w:tab/>
      </w:r>
    </w:p>
    <w:p w14:paraId="50B27888">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（二）具体绩效分析</w:t>
      </w:r>
      <w:r>
        <w:rPr>
          <w:rFonts w:hint="eastAsia" w:ascii="仿宋_GB2312" w:hAnsi="仿宋_GB2312" w:cs="仿宋_GB2312"/>
          <w:sz w:val="28"/>
          <w:szCs w:val="28"/>
        </w:rPr>
        <w:tab/>
      </w:r>
    </w:p>
    <w:p w14:paraId="2DB8ADBF">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五、主要经验做法</w:t>
      </w:r>
    </w:p>
    <w:p w14:paraId="102E07B7">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六、存在的问题</w:t>
      </w:r>
      <w:r>
        <w:rPr>
          <w:rFonts w:hint="eastAsia" w:ascii="黑体" w:hAnsi="黑体" w:eastAsia="黑体" w:cs="黑体"/>
          <w:sz w:val="28"/>
          <w:szCs w:val="28"/>
        </w:rPr>
        <w:tab/>
      </w:r>
    </w:p>
    <w:p w14:paraId="60A6F747">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七、改进措施及建议</w:t>
      </w:r>
    </w:p>
    <w:p w14:paraId="0149C37B">
      <w:pPr>
        <w:spacing w:line="440" w:lineRule="exact"/>
        <w:ind w:firstLine="560"/>
        <w:jc w:val="left"/>
        <w:rPr>
          <w:rFonts w:ascii="仿宋_GB2312" w:hAnsi="仿宋_GB2312" w:cs="仿宋_GB2312"/>
          <w:sz w:val="28"/>
          <w:szCs w:val="28"/>
        </w:rPr>
      </w:pPr>
    </w:p>
    <w:p w14:paraId="48D10255">
      <w:pPr>
        <w:spacing w:line="440" w:lineRule="exact"/>
        <w:ind w:firstLine="1400" w:firstLineChars="500"/>
        <w:jc w:val="left"/>
        <w:rPr>
          <w:rFonts w:ascii="仿宋_GB2312" w:hAnsi="仿宋_GB2312" w:cs="仿宋_GB2312"/>
          <w:sz w:val="28"/>
          <w:szCs w:val="28"/>
        </w:rPr>
      </w:pPr>
      <w:r>
        <w:rPr>
          <w:rFonts w:hint="eastAsia" w:ascii="仿宋_GB2312" w:hAnsi="仿宋_GB2312" w:cs="仿宋_GB2312"/>
          <w:sz w:val="28"/>
          <w:szCs w:val="28"/>
        </w:rPr>
        <w:t>附件</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1.</w:t>
      </w:r>
      <w:r>
        <w:rPr>
          <w:rFonts w:hint="eastAsia" w:ascii="仿宋_GB2312" w:hAnsi="仿宋_GB2312" w:cs="仿宋_GB2312"/>
          <w:sz w:val="28"/>
          <w:szCs w:val="28"/>
        </w:rPr>
        <w:t>盘龙区残疾人综合服务中心202</w:t>
      </w:r>
      <w:r>
        <w:rPr>
          <w:rFonts w:ascii="仿宋_GB2312" w:hAnsi="仿宋_GB2312" w:cs="仿宋_GB2312"/>
          <w:sz w:val="28"/>
          <w:szCs w:val="28"/>
        </w:rPr>
        <w:t>3</w:t>
      </w:r>
      <w:r>
        <w:rPr>
          <w:rFonts w:hint="eastAsia" w:ascii="仿宋_GB2312" w:hAnsi="仿宋_GB2312" w:cs="仿宋_GB2312"/>
          <w:sz w:val="28"/>
          <w:szCs w:val="28"/>
        </w:rPr>
        <w:t>年部门预算、决算明细表（单位：元）</w:t>
      </w:r>
    </w:p>
    <w:p w14:paraId="5F6EDE3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97DD8C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昆明市盘龙区残疾人综合服务中心</w:t>
      </w:r>
    </w:p>
    <w:p w14:paraId="115DA47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年度部门整体支出绩效评价报告</w:t>
      </w:r>
    </w:p>
    <w:p w14:paraId="70FCE1E2">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hAnsi="仿宋_GB2312" w:cs="仿宋_GB2312"/>
          <w:sz w:val="32"/>
          <w:szCs w:val="32"/>
        </w:rPr>
      </w:pPr>
    </w:p>
    <w:p w14:paraId="5F8F63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一、部门概况</w:t>
      </w:r>
    </w:p>
    <w:p w14:paraId="72CF34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（一）部门机构设置、编制</w:t>
      </w:r>
    </w:p>
    <w:p w14:paraId="0228D8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昆明市盘龙区残疾人综合服务中心为区残疾人联合会下属事业单位，是一个集多种功能为一体的，为辖区残疾人提供职业技能培训、职业介绍、康复治疗及训练、用品用具供应、法律援助、政策咨询、文化交流、文体娱乐等多方面服务的残疾人综合服务机构。</w:t>
      </w:r>
    </w:p>
    <w:p w14:paraId="45DC70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经区人民政府批准于2000年10月成立（盘机编复〔2000〕12号文），为盘龙区残疾人联合会下属事业单位，机构规格：股级；内设机构：一室二部（办公室、就业服务部、康复服务部）；经费形式：差额拨款(财政差额拨款80%)；2017年8月经区事业单位登记管理局批准，取得事业单位法人证书，从2018年4月起机构单列，实行独立核算。</w:t>
      </w:r>
    </w:p>
    <w:p w14:paraId="263A52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（二）部门职能</w:t>
      </w:r>
    </w:p>
    <w:p w14:paraId="4D0D17A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w:t>
      </w:r>
      <w:r>
        <w:rPr>
          <w:rFonts w:ascii="仿宋_GB2312" w:hAnsi="仿宋_GB2312" w:cs="仿宋_GB2312"/>
          <w:sz w:val="32"/>
          <w:szCs w:val="32"/>
        </w:rPr>
        <w:t>.</w:t>
      </w:r>
      <w:r>
        <w:rPr>
          <w:rFonts w:hint="eastAsia" w:ascii="仿宋_GB2312" w:hAnsi="仿宋_GB2312" w:cs="仿宋_GB2312"/>
          <w:sz w:val="32"/>
          <w:szCs w:val="32"/>
        </w:rPr>
        <w:t>管理好残疾人综合服务中心大楼设施，完善中心的服务功能，为残疾人提供学文化、求知识、感情交流、增进友谊的活动场所。</w:t>
      </w:r>
    </w:p>
    <w:p w14:paraId="540AF70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w:t>
      </w:r>
      <w:r>
        <w:rPr>
          <w:rFonts w:hint="eastAsia" w:ascii="仿宋_GB2312" w:hAnsi="仿宋_GB2312" w:cs="仿宋_GB2312"/>
          <w:sz w:val="32"/>
          <w:szCs w:val="32"/>
        </w:rPr>
        <w:t>为各类残疾人提供有针对性的康复技术指导、康复治疗及训练、康复评估、转介等服务；残疾人聋儿语言康复训练服务。</w:t>
      </w:r>
    </w:p>
    <w:p w14:paraId="5A21CB2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w:t>
      </w:r>
      <w:r>
        <w:rPr>
          <w:rFonts w:ascii="仿宋_GB2312" w:hAnsi="仿宋_GB2312" w:cs="仿宋_GB2312"/>
          <w:sz w:val="32"/>
          <w:szCs w:val="32"/>
        </w:rPr>
        <w:t>.</w:t>
      </w:r>
      <w:r>
        <w:rPr>
          <w:rFonts w:hint="eastAsia" w:ascii="仿宋_GB2312" w:hAnsi="仿宋_GB2312" w:cs="仿宋_GB2312"/>
          <w:sz w:val="32"/>
          <w:szCs w:val="32"/>
        </w:rPr>
        <w:t>为辖区各类残疾人提供康复、生活辅助用具供应。</w:t>
      </w:r>
    </w:p>
    <w:p w14:paraId="1235A95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w:t>
      </w:r>
      <w:r>
        <w:rPr>
          <w:rFonts w:ascii="仿宋_GB2312" w:hAnsi="仿宋_GB2312" w:cs="仿宋_GB2312"/>
          <w:sz w:val="32"/>
          <w:szCs w:val="32"/>
        </w:rPr>
        <w:t>.</w:t>
      </w:r>
      <w:r>
        <w:rPr>
          <w:rFonts w:hint="eastAsia" w:ascii="仿宋_GB2312" w:hAnsi="仿宋_GB2312" w:cs="仿宋_GB2312"/>
          <w:sz w:val="32"/>
          <w:szCs w:val="32"/>
        </w:rPr>
        <w:t>做好全区残疾人职业技能培训项目和职业技术、生产技能培训，为残疾人就业、创业提供平台。</w:t>
      </w:r>
    </w:p>
    <w:p w14:paraId="5A949C9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5</w:t>
      </w:r>
      <w:r>
        <w:rPr>
          <w:rFonts w:ascii="仿宋_GB2312" w:hAnsi="仿宋_GB2312" w:cs="仿宋_GB2312"/>
          <w:sz w:val="32"/>
          <w:szCs w:val="32"/>
        </w:rPr>
        <w:t>.</w:t>
      </w:r>
      <w:r>
        <w:rPr>
          <w:rFonts w:hint="eastAsia" w:ascii="仿宋_GB2312" w:hAnsi="仿宋_GB2312" w:cs="仿宋_GB2312"/>
          <w:sz w:val="32"/>
          <w:szCs w:val="32"/>
        </w:rPr>
        <w:t>做好区“五类”残疾人协会管理工作，定期组织残疾人协会开展各种形式多样的文化体育、社会公益、信息交流、政策法规宣传等活动，充分发挥残疾人与残疾人之间、残联与协会之间桥梁和纽带作用。</w:t>
      </w:r>
    </w:p>
    <w:p w14:paraId="500E5E2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6</w:t>
      </w:r>
      <w:r>
        <w:rPr>
          <w:rFonts w:ascii="仿宋_GB2312" w:hAnsi="仿宋_GB2312" w:cs="仿宋_GB2312"/>
          <w:sz w:val="32"/>
          <w:szCs w:val="32"/>
        </w:rPr>
        <w:t>.</w:t>
      </w:r>
      <w:r>
        <w:rPr>
          <w:rFonts w:hint="eastAsia" w:ascii="仿宋_GB2312" w:hAnsi="仿宋_GB2312" w:cs="仿宋_GB2312"/>
          <w:sz w:val="32"/>
          <w:szCs w:val="32"/>
        </w:rPr>
        <w:t>宣传、贯彻残疾人保障法，为残疾人提供法律咨询、法律援助、法律服务，维护残疾人合法权益。</w:t>
      </w:r>
    </w:p>
    <w:p w14:paraId="0B89C71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（三）部门工作完成情况</w:t>
      </w:r>
    </w:p>
    <w:p w14:paraId="6A899459">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1</w:t>
      </w:r>
      <w:r>
        <w:t>.</w:t>
      </w:r>
      <w:r>
        <w:rPr>
          <w:rFonts w:hint="eastAsia"/>
        </w:rPr>
        <w:t>管好残疾人综合服务设施，服务</w:t>
      </w:r>
      <w:r>
        <w:t>来访</w:t>
      </w:r>
      <w:r>
        <w:rPr>
          <w:rFonts w:hint="eastAsia"/>
        </w:rPr>
        <w:t>群众</w:t>
      </w:r>
      <w:r>
        <w:t>和</w:t>
      </w:r>
      <w:r>
        <w:rPr>
          <w:rFonts w:hint="eastAsia"/>
        </w:rPr>
        <w:t>残疾人</w:t>
      </w:r>
      <w:r>
        <w:t>。</w:t>
      </w:r>
    </w:p>
    <w:p w14:paraId="297AAF0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我中心实行</w:t>
      </w:r>
      <w:r>
        <w:t>工作日</w:t>
      </w:r>
      <w:r>
        <w:rPr>
          <w:rFonts w:hint="eastAsia"/>
        </w:rPr>
        <w:t>8小时对象</w:t>
      </w:r>
      <w:r>
        <w:t>开放，</w:t>
      </w:r>
      <w:r>
        <w:rPr>
          <w:rFonts w:hint="eastAsia"/>
        </w:rPr>
        <w:t>为来访群众和残疾人提供服务，大楼保安人员</w:t>
      </w:r>
      <w:r>
        <w:t>24小时巡逻值班</w:t>
      </w:r>
      <w:r>
        <w:rPr>
          <w:rFonts w:hint="eastAsia"/>
        </w:rPr>
        <w:t>，进出入大楼的来访人员需进行登记；</w:t>
      </w:r>
      <w:r>
        <w:t>工作人员定期对大楼设施进行安全隐患排查，落实消防器材配备，每天人走灯熄、关好门窗</w:t>
      </w:r>
      <w:r>
        <w:rPr>
          <w:rFonts w:hint="eastAsia"/>
        </w:rPr>
        <w:t>，</w:t>
      </w:r>
      <w:r>
        <w:t>发现设施设备损坏及时维护、修理或更换，保证大楼供水、供电、供气正常，保障大楼健康运行；</w:t>
      </w:r>
      <w:r>
        <w:rPr>
          <w:rFonts w:hint="eastAsia"/>
        </w:rPr>
        <w:t>大楼保洁人员严格实行工作日</w:t>
      </w:r>
      <w:r>
        <w:t>1天2次全区域清扫、消毒，办公区域集中设置分类垃圾收集箱（桶），垃圾统一收集处理，卫生间门口设洗手台摆放专用消毒洗手液，方便来访群众及单位工作人员随时清洗双手，楼道、过道保持室内外空气流通，降低病</w:t>
      </w:r>
      <w:r>
        <w:rPr>
          <w:rFonts w:hint="eastAsia"/>
        </w:rPr>
        <w:t>病菌</w:t>
      </w:r>
      <w:r>
        <w:t>传播风险</w:t>
      </w:r>
      <w:r>
        <w:rPr>
          <w:rFonts w:hint="eastAsia"/>
        </w:rPr>
        <w:t>；</w:t>
      </w:r>
      <w:r>
        <w:t>年内组织两期职工消防安全知识培训，开展应急疏散演练，提升广大职工的安全意识。</w:t>
      </w:r>
      <w:r>
        <w:rPr>
          <w:rFonts w:hint="eastAsia"/>
        </w:rPr>
        <w:t>202</w:t>
      </w:r>
      <w:r>
        <w:t>3</w:t>
      </w:r>
      <w:r>
        <w:rPr>
          <w:rFonts w:hint="eastAsia"/>
        </w:rPr>
        <w:t>年接待来访群众和残疾人服务对象3800余</w:t>
      </w:r>
      <w:r>
        <w:t>人次</w:t>
      </w:r>
      <w:r>
        <w:rPr>
          <w:rFonts w:hint="eastAsia"/>
        </w:rPr>
        <w:t>，</w:t>
      </w:r>
      <w:r>
        <w:t>无重大安全责任</w:t>
      </w:r>
      <w:r>
        <w:rPr>
          <w:rFonts w:hint="eastAsia"/>
        </w:rPr>
        <w:t>事故</w:t>
      </w:r>
      <w:r>
        <w:t>发生。</w:t>
      </w:r>
    </w:p>
    <w:p w14:paraId="476DF10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w:t>
      </w:r>
      <w:r>
        <w:t>.</w:t>
      </w:r>
      <w:r>
        <w:rPr>
          <w:rFonts w:hint="eastAsia"/>
        </w:rPr>
        <w:t>继续合作开展昆明市聋儿听力语言训练康复项目</w:t>
      </w:r>
    </w:p>
    <w:p w14:paraId="19B63E46">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2023年我</w:t>
      </w:r>
      <w:r>
        <w:rPr>
          <w:rFonts w:hint="eastAsia"/>
        </w:rPr>
        <w:t>中心</w:t>
      </w:r>
      <w:r>
        <w:t>继续同昆明博爱聋儿康复中心合作利用我中心场地共同开展昆明市聋儿听力语言训练康复项目，全年为我市85名（盘龙区6名）0-14岁残障聋儿提供了优质的听力、语言康复训练服务，我中心负责提供项目实施所需的场地，对项目的实施进行业务指导，对服务行为、服务质量等进行监督和评估。</w:t>
      </w:r>
    </w:p>
    <w:p w14:paraId="60DF1012">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3</w:t>
      </w:r>
      <w:r>
        <w:t>.</w:t>
      </w:r>
      <w:r>
        <w:rPr>
          <w:rFonts w:hint="eastAsia"/>
        </w:rPr>
        <w:t>组织开展“五类”</w:t>
      </w:r>
      <w:r>
        <w:t>残疾人协会</w:t>
      </w:r>
      <w:r>
        <w:rPr>
          <w:rFonts w:hint="eastAsia"/>
        </w:rPr>
        <w:t>活动</w:t>
      </w:r>
    </w:p>
    <w:p w14:paraId="6F7AF96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2023年组织区“五类”残疾人协会开展了 “阳光助残</w:t>
      </w:r>
      <w:r>
        <w:t xml:space="preserve"> 携手筑梦”志愿服务活动</w:t>
      </w:r>
      <w:r>
        <w:rPr>
          <w:rFonts w:hint="eastAsia"/>
        </w:rPr>
        <w:t>、残疾人文化“五个一”活动；结合我们的节日组织残疾人开展元宵、端午、中秋等主题文化</w:t>
      </w:r>
      <w:r>
        <w:t>交流</w:t>
      </w:r>
      <w:r>
        <w:rPr>
          <w:rFonts w:hint="eastAsia"/>
        </w:rPr>
        <w:t>活动；组织残疾人观看电影《无名》《满江红》、到席子小游园开展义务劳动</w:t>
      </w:r>
      <w:r>
        <w:t>社会</w:t>
      </w:r>
      <w:r>
        <w:rPr>
          <w:rFonts w:hint="eastAsia"/>
        </w:rPr>
        <w:t>融合活动等，累计参加活动人次达</w:t>
      </w:r>
      <w:r>
        <w:t>587人</w:t>
      </w:r>
      <w:r>
        <w:rPr>
          <w:rFonts w:hint="eastAsia"/>
        </w:rPr>
        <w:t>次</w:t>
      </w:r>
      <w:r>
        <w:t>，</w:t>
      </w:r>
      <w:r>
        <w:rPr>
          <w:rFonts w:hint="eastAsia"/>
        </w:rPr>
        <w:t>丰富了我区残疾人的精神文化生活。</w:t>
      </w:r>
    </w:p>
    <w:p w14:paraId="5C5E8086">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4</w:t>
      </w:r>
      <w:r>
        <w:t>.</w:t>
      </w:r>
      <w:r>
        <w:rPr>
          <w:rFonts w:hint="eastAsia"/>
        </w:rPr>
        <w:t>配合区残疾人就业服务站开展残疾人职业技能和生产实用技术培训工作</w:t>
      </w:r>
    </w:p>
    <w:p w14:paraId="3A8796B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2023年我</w:t>
      </w:r>
      <w:r>
        <w:t>中心</w:t>
      </w:r>
      <w:r>
        <w:rPr>
          <w:rFonts w:hint="eastAsia"/>
        </w:rPr>
        <w:t>积极配合区残疾人就业服务站组织辖区</w:t>
      </w:r>
      <w:r>
        <w:t>159人名残疾人开展</w:t>
      </w:r>
      <w:r>
        <w:rPr>
          <w:rFonts w:hint="eastAsia"/>
        </w:rPr>
        <w:t>了</w:t>
      </w:r>
      <w:r>
        <w:t>中式烹调师、食品腌制、家居清洁</w:t>
      </w:r>
      <w:r>
        <w:rPr>
          <w:rFonts w:hint="eastAsia"/>
        </w:rPr>
        <w:t>、机动车驾驶</w:t>
      </w:r>
      <w:r>
        <w:t>为主要内容的农村实用</w:t>
      </w:r>
      <w:r>
        <w:rPr>
          <w:rFonts w:hint="eastAsia"/>
        </w:rPr>
        <w:t>生产</w:t>
      </w:r>
      <w:r>
        <w:t>技术和城镇职业技能培训</w:t>
      </w:r>
      <w:r>
        <w:rPr>
          <w:rFonts w:hint="eastAsia"/>
        </w:rPr>
        <w:t>，积极协调安排培训教室，提供完善的培训设施、设备（无线话筒、音响、投影、电视、</w:t>
      </w:r>
      <w:r>
        <w:t>Wifi等）</w:t>
      </w:r>
      <w:r>
        <w:rPr>
          <w:rFonts w:hint="eastAsia"/>
        </w:rPr>
        <w:t>，安排</w:t>
      </w:r>
      <w:r>
        <w:t>专人负责现场服务，供应饮用水、茶歇，每天两次清扫教室卫生，保持教室内清洁、空气清新，为残疾人提供优良的培训环境。</w:t>
      </w:r>
    </w:p>
    <w:p w14:paraId="12ED06E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5</w:t>
      </w:r>
      <w:r>
        <w:t>.</w:t>
      </w:r>
      <w:r>
        <w:rPr>
          <w:rFonts w:hint="eastAsia"/>
        </w:rPr>
        <w:t>残疾人辅具需求筛查和辅助器具适配服务工作</w:t>
      </w:r>
    </w:p>
    <w:p w14:paraId="556CE280">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w:t>
      </w:r>
      <w:r>
        <w:rPr>
          <w:rFonts w:hint="eastAsia"/>
        </w:rPr>
        <w:t>年</w:t>
      </w:r>
      <w:r>
        <w:t>为</w:t>
      </w:r>
      <w:r>
        <w:rPr>
          <w:rFonts w:hint="eastAsia"/>
        </w:rPr>
        <w:t>提升辅助器具服务精准度，有效提高辅助器具适配率，组织开展了辖区残疾人辅具需求筛查工作，全年为辖区</w:t>
      </w:r>
      <w:r>
        <w:t>135名有辅具需求的残疾人提供辅具需求评估服务，为98人名残疾人提供辅助器具适配服务，其中10名听障残疾人适配助听器，5名肢体残疾人适配假肢，83名盲人适配盲杖，有效帮助残疾人改善及补偿残障功能。</w:t>
      </w:r>
    </w:p>
    <w:p w14:paraId="4B78531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6</w:t>
      </w:r>
      <w:r>
        <w:t>.</w:t>
      </w:r>
      <w:r>
        <w:rPr>
          <w:rFonts w:hint="eastAsia"/>
        </w:rPr>
        <w:t>健全服务形式</w:t>
      </w:r>
      <w:r>
        <w:t>，</w:t>
      </w:r>
      <w:r>
        <w:rPr>
          <w:rFonts w:hint="eastAsia"/>
        </w:rPr>
        <w:t>规范残疾人法律救助站建设</w:t>
      </w:r>
    </w:p>
    <w:p w14:paraId="6ACA3B5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w:t>
      </w:r>
      <w:r>
        <w:rPr>
          <w:rFonts w:hint="eastAsia"/>
        </w:rPr>
        <w:t>我</w:t>
      </w:r>
      <w:r>
        <w:t>中心</w:t>
      </w:r>
      <w:r>
        <w:rPr>
          <w:rFonts w:hint="eastAsia"/>
        </w:rPr>
        <w:t>积极</w:t>
      </w:r>
      <w:r>
        <w:t>配合区残联</w:t>
      </w:r>
      <w:r>
        <w:rPr>
          <w:rFonts w:hint="eastAsia"/>
        </w:rPr>
        <w:t>综合业务科开展残疾人法律救助站工作</w:t>
      </w:r>
      <w:r>
        <w:t>，</w:t>
      </w:r>
      <w:r>
        <w:rPr>
          <w:rFonts w:hint="eastAsia"/>
        </w:rPr>
        <w:t>以现场法律服务、转介法律援助、转介国家司法救助、直接提供法律救助等四种形式为残疾人提供一站式、综合性法律救助服务，积极整合资源优势，做好有效衔接，使残疾人在需要时能获得精准、及时、优质高效的帮助，进一步保障残疾人合法权益；</w:t>
      </w:r>
      <w:r>
        <w:t>全年</w:t>
      </w:r>
      <w:r>
        <w:rPr>
          <w:rFonts w:hint="eastAsia"/>
        </w:rPr>
        <w:t>处理来信、</w:t>
      </w:r>
      <w:r>
        <w:t>来访55件，办结率达100%。</w:t>
      </w:r>
    </w:p>
    <w:p w14:paraId="07502297">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7</w:t>
      </w:r>
      <w:r>
        <w:t>.</w:t>
      </w:r>
      <w:r>
        <w:rPr>
          <w:rFonts w:hint="eastAsia"/>
        </w:rPr>
        <w:t>积极开展节约型机关和公共机构节水单位两项创建工作</w:t>
      </w:r>
    </w:p>
    <w:p w14:paraId="1304F07A">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2023年，在区残联的领导下，我</w:t>
      </w:r>
      <w:r>
        <w:rPr>
          <w:rFonts w:hint="eastAsia"/>
        </w:rPr>
        <w:t>中心继续组织</w:t>
      </w:r>
      <w:r>
        <w:t>开展节约型机关和公共机构节水单位两项创建活动</w:t>
      </w:r>
      <w:r>
        <w:rPr>
          <w:rFonts w:hint="eastAsia"/>
        </w:rPr>
        <w:t>，</w:t>
      </w:r>
      <w:r>
        <w:t>制定工作方案，细化工作措施，开展节能宣传，动员</w:t>
      </w:r>
      <w:r>
        <w:rPr>
          <w:rFonts w:hint="eastAsia"/>
        </w:rPr>
        <w:t>残联系统</w:t>
      </w:r>
      <w:r>
        <w:t>干部职工切实增强资源忧患意识、节约意识和责任意识，从节约一度电、一滴水、一升油、一张纸等点滴小事做起，勤俭办事。首先，在能源节约方面，我们采取了一系列措施。我们进行了能源的监测和测算，及时发现和解决了能源浪费的问题。通过推广使用节能设备和绿色建筑材料，有效降低了办公楼的能耗。每个办公室也组织员工节能意识培训，提醒大家关掉电源、灯光等，从个人行为入手，</w:t>
      </w:r>
      <w:r>
        <w:rPr>
          <w:rFonts w:hint="eastAsia"/>
        </w:rPr>
        <w:t>实现了节约用电的目标。其次，在资源利用方面，我们注重了办公用品的节约使用。通过智能化管理，我们及时了解到办公用品的存量和使用情况，避免了资源浪费。我们还鼓励残联</w:t>
      </w:r>
      <w:r>
        <w:t>系统</w:t>
      </w:r>
      <w:r>
        <w:rPr>
          <w:rFonts w:hint="eastAsia"/>
        </w:rPr>
        <w:t>员工减少打印，尽量使用电子文档，并提供了便利的电子文档管理系统，使文档的利用率大大提高。通过</w:t>
      </w:r>
      <w:r>
        <w:t>2022、2023两年的不懈努力，区残联机关及下属单位（含区残疾人综合服务中心）于2023年6月通过市、区两级</w:t>
      </w:r>
      <w:r>
        <w:rPr>
          <w:rFonts w:hint="eastAsia"/>
        </w:rPr>
        <w:t>水</w:t>
      </w:r>
      <w:r>
        <w:t>务局和节水办检查验收，被评为“2022年度节水型单位”；于2023年9月被国家机关事务管理局、中央直属机关事务管理局、国家发改委和</w:t>
      </w:r>
      <w:r>
        <w:rPr>
          <w:rFonts w:hint="eastAsia"/>
          <w:lang w:eastAsia="zh-CN"/>
        </w:rPr>
        <w:t>财政部</w:t>
      </w:r>
      <w:r>
        <w:t>联合授予全国</w:t>
      </w:r>
      <w:r>
        <w:rPr>
          <w:rFonts w:hint="eastAsia"/>
        </w:rPr>
        <w:t>“节约型机关”称号，颁发“节约型机关”证书；节约型机关和公共机构节水单位两项创建活动取得良好成果。</w:t>
      </w:r>
    </w:p>
    <w:p w14:paraId="6DF1935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（四）部门管理制度</w:t>
      </w:r>
    </w:p>
    <w:p w14:paraId="7707AFA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内部管理制度》、《盘龙区残疾人综合服务中心“三重一大”集体决策制度》、《盘龙区残疾人综合服务中心办公会议事规则》、《盘龙区残疾人综合服务中心财务管理制度（试行）》等。</w:t>
      </w:r>
    </w:p>
    <w:p w14:paraId="6C97694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（五）部门资金来源及使用情况</w:t>
      </w:r>
    </w:p>
    <w:p w14:paraId="50E56B7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1.部门资金来源。</w:t>
      </w:r>
    </w:p>
    <w:p w14:paraId="574B5F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年盘龙区残疾人综合服务中心资金收入共计</w:t>
      </w:r>
      <w:r>
        <w:rPr>
          <w:rFonts w:ascii="仿宋_GB2312" w:hAnsi="仿宋_GB2312" w:cs="仿宋_GB2312"/>
          <w:sz w:val="32"/>
          <w:szCs w:val="32"/>
        </w:rPr>
        <w:t>60.57</w:t>
      </w:r>
      <w:r>
        <w:rPr>
          <w:rFonts w:hint="eastAsia" w:ascii="仿宋_GB2312" w:hAnsi="仿宋_GB2312" w:cs="仿宋_GB2312"/>
          <w:sz w:val="32"/>
          <w:szCs w:val="32"/>
        </w:rPr>
        <w:t>万元，来源主要有区级预算收入、纳入预算管理的非税收入和上级转移支付资金。</w:t>
      </w:r>
    </w:p>
    <w:p w14:paraId="4500A91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年初下达预算收入</w:t>
      </w:r>
      <w:r>
        <w:rPr>
          <w:rFonts w:ascii="仿宋_GB2312" w:hAnsi="仿宋_GB2312" w:cs="仿宋_GB2312"/>
          <w:sz w:val="32"/>
          <w:szCs w:val="32"/>
        </w:rPr>
        <w:t>106.54</w:t>
      </w:r>
      <w:r>
        <w:rPr>
          <w:rFonts w:hint="eastAsia" w:ascii="仿宋_GB2312" w:hAnsi="仿宋_GB2312" w:cs="仿宋_GB2312"/>
          <w:sz w:val="32"/>
          <w:szCs w:val="32"/>
        </w:rPr>
        <w:t>万元，年中调整追减预算收入</w:t>
      </w:r>
      <w:r>
        <w:rPr>
          <w:rFonts w:ascii="仿宋_GB2312" w:hAnsi="仿宋_GB2312" w:cs="仿宋_GB2312"/>
          <w:sz w:val="32"/>
          <w:szCs w:val="32"/>
        </w:rPr>
        <w:t>45.97</w:t>
      </w:r>
      <w:r>
        <w:rPr>
          <w:rFonts w:hint="eastAsia" w:ascii="仿宋_GB2312" w:hAnsi="仿宋_GB2312" w:cs="仿宋_GB2312"/>
          <w:sz w:val="32"/>
          <w:szCs w:val="32"/>
        </w:rPr>
        <w:t>万元，年末执行预算收入合计</w:t>
      </w:r>
      <w:r>
        <w:rPr>
          <w:rFonts w:ascii="仿宋_GB2312" w:hAnsi="仿宋_GB2312" w:cs="仿宋_GB2312"/>
          <w:sz w:val="32"/>
          <w:szCs w:val="32"/>
        </w:rPr>
        <w:t>60.57</w:t>
      </w:r>
      <w:r>
        <w:rPr>
          <w:rFonts w:hint="eastAsia" w:ascii="仿宋_GB2312" w:hAnsi="仿宋_GB2312" w:cs="仿宋_GB2312"/>
          <w:sz w:val="32"/>
          <w:szCs w:val="32"/>
        </w:rPr>
        <w:t>万元，其中：一般公共预算财政拨款收入</w:t>
      </w:r>
      <w:r>
        <w:rPr>
          <w:rFonts w:ascii="仿宋_GB2312" w:hAnsi="仿宋_GB2312" w:cs="仿宋_GB2312"/>
          <w:sz w:val="32"/>
          <w:szCs w:val="32"/>
        </w:rPr>
        <w:t>56.73</w:t>
      </w:r>
      <w:r>
        <w:rPr>
          <w:rFonts w:hint="eastAsia" w:ascii="仿宋_GB2312" w:hAnsi="仿宋_GB2312" w:cs="仿宋_GB2312"/>
          <w:sz w:val="32"/>
          <w:szCs w:val="32"/>
        </w:rPr>
        <w:t>万元、其他收入：</w:t>
      </w:r>
      <w:r>
        <w:rPr>
          <w:rFonts w:ascii="仿宋_GB2312" w:hAnsi="仿宋_GB2312" w:cs="仿宋_GB2312"/>
          <w:sz w:val="32"/>
          <w:szCs w:val="32"/>
        </w:rPr>
        <w:t>3.84</w:t>
      </w:r>
      <w:r>
        <w:rPr>
          <w:rFonts w:hint="eastAsia" w:ascii="仿宋_GB2312" w:hAnsi="仿宋_GB2312" w:cs="仿宋_GB2312"/>
          <w:sz w:val="32"/>
          <w:szCs w:val="32"/>
        </w:rPr>
        <w:t>万元。</w:t>
      </w:r>
    </w:p>
    <w:p w14:paraId="3D5700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2.部门资金使用情况。</w:t>
      </w:r>
    </w:p>
    <w:p w14:paraId="53386F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年经费共计支出</w:t>
      </w:r>
      <w:r>
        <w:rPr>
          <w:rFonts w:ascii="仿宋_GB2312" w:hAnsi="仿宋_GB2312" w:cs="仿宋_GB2312"/>
          <w:sz w:val="32"/>
          <w:szCs w:val="32"/>
        </w:rPr>
        <w:t>62.75</w:t>
      </w:r>
      <w:r>
        <w:rPr>
          <w:rFonts w:hint="eastAsia" w:ascii="仿宋_GB2312" w:hAnsi="仿宋_GB2312" w:cs="仿宋_GB2312"/>
          <w:sz w:val="32"/>
          <w:szCs w:val="32"/>
        </w:rPr>
        <w:t>万元，其中：基本支出</w:t>
      </w:r>
      <w:r>
        <w:rPr>
          <w:rFonts w:ascii="仿宋_GB2312" w:hAnsi="仿宋_GB2312" w:cs="仿宋_GB2312"/>
          <w:sz w:val="32"/>
          <w:szCs w:val="32"/>
        </w:rPr>
        <w:t>52.89</w:t>
      </w:r>
      <w:r>
        <w:rPr>
          <w:rFonts w:hint="eastAsia" w:ascii="仿宋_GB2312" w:hAnsi="仿宋_GB2312" w:cs="仿宋_GB2312"/>
          <w:sz w:val="32"/>
          <w:szCs w:val="32"/>
        </w:rPr>
        <w:t>万元、项目支出</w:t>
      </w:r>
      <w:r>
        <w:rPr>
          <w:rFonts w:ascii="仿宋_GB2312" w:hAnsi="仿宋_GB2312" w:cs="仿宋_GB2312"/>
          <w:sz w:val="32"/>
          <w:szCs w:val="32"/>
        </w:rPr>
        <w:t>9.86</w:t>
      </w:r>
      <w:r>
        <w:rPr>
          <w:rFonts w:hint="eastAsia" w:ascii="仿宋_GB2312" w:hAnsi="仿宋_GB2312" w:cs="仿宋_GB2312"/>
          <w:sz w:val="32"/>
          <w:szCs w:val="32"/>
        </w:rPr>
        <w:t>万元（全部</w:t>
      </w:r>
      <w:r>
        <w:rPr>
          <w:rFonts w:ascii="仿宋_GB2312" w:hAnsi="仿宋_GB2312" w:cs="仿宋_GB2312"/>
          <w:sz w:val="32"/>
          <w:szCs w:val="32"/>
        </w:rPr>
        <w:t>为</w:t>
      </w:r>
      <w:r>
        <w:rPr>
          <w:rFonts w:hint="eastAsia" w:ascii="仿宋_GB2312" w:hAnsi="仿宋_GB2312" w:cs="仿宋_GB2312"/>
          <w:sz w:val="32"/>
          <w:szCs w:val="32"/>
        </w:rPr>
        <w:t>其他残疾人事业支出项目）。</w:t>
      </w:r>
    </w:p>
    <w:p w14:paraId="54FF41A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（六）政府采购情况</w:t>
      </w:r>
    </w:p>
    <w:p w14:paraId="2C1EBC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盘龙区残疾人综合服务中心2022年无政府采购。</w:t>
      </w:r>
    </w:p>
    <w:p w14:paraId="6C13C09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（七）固定资产情况</w:t>
      </w:r>
    </w:p>
    <w:p w14:paraId="3C3B98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截至202</w:t>
      </w:r>
      <w:r>
        <w:rPr>
          <w:rFonts w:ascii="仿宋_GB2312" w:hAnsi="仿宋_GB2312" w:cs="仿宋_GB2312"/>
          <w:sz w:val="32"/>
          <w:szCs w:val="32"/>
        </w:rPr>
        <w:t>3</w:t>
      </w:r>
      <w:r>
        <w:rPr>
          <w:rFonts w:hint="eastAsia" w:ascii="仿宋_GB2312" w:hAnsi="仿宋_GB2312" w:cs="仿宋_GB2312"/>
          <w:sz w:val="32"/>
          <w:szCs w:val="32"/>
        </w:rPr>
        <w:t>年12月31日，昆明市盘龙区残疾人综合服务中心固定资产原值</w:t>
      </w:r>
      <w:r>
        <w:rPr>
          <w:rFonts w:ascii="仿宋_GB2312" w:hAnsi="仿宋_GB2312" w:cs="仿宋_GB2312"/>
          <w:sz w:val="32"/>
          <w:szCs w:val="32"/>
        </w:rPr>
        <w:t>3.24</w:t>
      </w:r>
      <w:r>
        <w:rPr>
          <w:rFonts w:hint="eastAsia" w:ascii="仿宋_GB2312" w:hAnsi="仿宋_GB2312" w:cs="仿宋_GB2312"/>
          <w:sz w:val="32"/>
          <w:szCs w:val="32"/>
        </w:rPr>
        <w:t>万元，固定资产累计折旧</w:t>
      </w:r>
      <w:r>
        <w:rPr>
          <w:rFonts w:ascii="仿宋_GB2312" w:hAnsi="仿宋_GB2312" w:cs="仿宋_GB2312"/>
          <w:sz w:val="32"/>
          <w:szCs w:val="32"/>
        </w:rPr>
        <w:t>0.72</w:t>
      </w:r>
      <w:r>
        <w:rPr>
          <w:rFonts w:hint="eastAsia" w:ascii="仿宋_GB2312" w:hAnsi="仿宋_GB2312" w:cs="仿宋_GB2312"/>
          <w:sz w:val="32"/>
          <w:szCs w:val="32"/>
        </w:rPr>
        <w:t>万元，固定资产净值为</w:t>
      </w:r>
      <w:r>
        <w:rPr>
          <w:rFonts w:ascii="仿宋_GB2312" w:hAnsi="仿宋_GB2312" w:cs="仿宋_GB2312"/>
          <w:sz w:val="32"/>
          <w:szCs w:val="32"/>
        </w:rPr>
        <w:t>2.52</w:t>
      </w:r>
      <w:r>
        <w:rPr>
          <w:rFonts w:hint="eastAsia" w:ascii="仿宋_GB2312" w:hAnsi="仿宋_GB2312" w:cs="仿宋_GB2312"/>
          <w:sz w:val="32"/>
          <w:szCs w:val="32"/>
        </w:rPr>
        <w:t>万元；无形资产</w:t>
      </w:r>
      <w:r>
        <w:rPr>
          <w:rFonts w:ascii="仿宋_GB2312" w:hAnsi="仿宋_GB2312" w:cs="仿宋_GB2312"/>
          <w:sz w:val="32"/>
          <w:szCs w:val="32"/>
        </w:rPr>
        <w:t>0.68</w:t>
      </w:r>
      <w:r>
        <w:rPr>
          <w:rFonts w:hint="eastAsia" w:ascii="仿宋_GB2312" w:hAnsi="仿宋_GB2312" w:cs="仿宋_GB2312"/>
          <w:sz w:val="32"/>
          <w:szCs w:val="32"/>
        </w:rPr>
        <w:t>万元，无形资产累计摊销</w:t>
      </w:r>
      <w:r>
        <w:rPr>
          <w:rFonts w:ascii="仿宋_GB2312" w:hAnsi="仿宋_GB2312" w:cs="仿宋_GB2312"/>
          <w:sz w:val="32"/>
          <w:szCs w:val="32"/>
        </w:rPr>
        <w:t>0.64</w:t>
      </w:r>
      <w:r>
        <w:rPr>
          <w:rFonts w:hint="eastAsia" w:ascii="仿宋_GB2312" w:hAnsi="仿宋_GB2312" w:cs="仿宋_GB2312"/>
          <w:sz w:val="32"/>
          <w:szCs w:val="32"/>
        </w:rPr>
        <w:t>万元，无形资产净值为</w:t>
      </w:r>
      <w:r>
        <w:rPr>
          <w:rFonts w:ascii="仿宋_GB2312" w:hAnsi="仿宋_GB2312" w:cs="仿宋_GB2312"/>
          <w:sz w:val="32"/>
          <w:szCs w:val="32"/>
        </w:rPr>
        <w:t>0.38</w:t>
      </w:r>
      <w:r>
        <w:rPr>
          <w:rFonts w:hint="eastAsia" w:ascii="仿宋_GB2312" w:hAnsi="仿宋_GB2312" w:cs="仿宋_GB2312"/>
          <w:sz w:val="32"/>
          <w:szCs w:val="32"/>
        </w:rPr>
        <w:t>万元。202</w:t>
      </w:r>
      <w:r>
        <w:rPr>
          <w:rFonts w:ascii="仿宋_GB2312" w:hAnsi="仿宋_GB2312" w:cs="仿宋_GB2312"/>
          <w:sz w:val="32"/>
          <w:szCs w:val="32"/>
        </w:rPr>
        <w:t>3</w:t>
      </w:r>
      <w:r>
        <w:rPr>
          <w:rFonts w:hint="eastAsia" w:ascii="仿宋_GB2312" w:hAnsi="仿宋_GB2312" w:cs="仿宋_GB2312"/>
          <w:sz w:val="32"/>
          <w:szCs w:val="32"/>
        </w:rPr>
        <w:t>年无新增固定资产和无形资产。</w:t>
      </w:r>
    </w:p>
    <w:p w14:paraId="422E12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二、绩效目标</w:t>
      </w:r>
    </w:p>
    <w:p w14:paraId="133109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（一）部门总目标</w:t>
      </w:r>
    </w:p>
    <w:p w14:paraId="538788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为辖区残疾人提供职业技能培训、职业介绍、康复治疗及训练、用品用具供应、法律援助、政策咨询、文化交流、文体娱乐等多方面服务的残疾人综合服务。</w:t>
      </w:r>
    </w:p>
    <w:p w14:paraId="5DF0595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（二）部门项目具体计划目标</w:t>
      </w:r>
    </w:p>
    <w:p w14:paraId="7DE7F1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1.维护管理残疾人综合服务设施和做好安全保卫工作。</w:t>
      </w:r>
    </w:p>
    <w:p w14:paraId="28BD2FE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2.组织开展“五类”残疾人协会活动。</w:t>
      </w:r>
    </w:p>
    <w:p w14:paraId="565FD01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3.继续合作开展昆明市聋儿听力语言训练康复项目。</w:t>
      </w:r>
    </w:p>
    <w:p w14:paraId="15528A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4.健全服务形式，规范残疾人法律救助站建设。</w:t>
      </w:r>
    </w:p>
    <w:p w14:paraId="0113DA8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rPr>
      </w:pPr>
      <w:r>
        <w:rPr>
          <w:rFonts w:ascii="仿宋_GB2312" w:hAnsi="仿宋_GB2312" w:cs="仿宋_GB2312"/>
          <w:sz w:val="32"/>
          <w:szCs w:val="32"/>
        </w:rPr>
        <w:t>5</w:t>
      </w:r>
      <w:r>
        <w:rPr>
          <w:rFonts w:hint="eastAsia" w:ascii="仿宋_GB2312" w:hAnsi="仿宋_GB2312" w:cs="仿宋_GB2312"/>
          <w:sz w:val="32"/>
          <w:szCs w:val="32"/>
        </w:rPr>
        <w:t>.残疾人辅具需求筛查和辅助器具适配服务工作。</w:t>
      </w:r>
    </w:p>
    <w:p w14:paraId="5497ED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ascii="仿宋_GB2312" w:hAnsi="仿宋_GB2312" w:cs="仿宋_GB2312"/>
          <w:sz w:val="32"/>
          <w:szCs w:val="32"/>
        </w:rPr>
        <w:t>6</w:t>
      </w:r>
      <w:r>
        <w:rPr>
          <w:rFonts w:hint="eastAsia" w:ascii="仿宋_GB2312" w:hAnsi="仿宋_GB2312" w:cs="仿宋_GB2312"/>
          <w:sz w:val="32"/>
          <w:szCs w:val="32"/>
        </w:rPr>
        <w:t>.配合区残疾人就业服务站开展残疾人职业技能和生产实用技术培训工作。</w:t>
      </w:r>
    </w:p>
    <w:p w14:paraId="437197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ascii="仿宋_GB2312" w:hAnsi="仿宋_GB2312" w:cs="仿宋_GB2312"/>
          <w:sz w:val="32"/>
          <w:szCs w:val="32"/>
        </w:rPr>
        <w:t>7</w:t>
      </w:r>
      <w:r>
        <w:rPr>
          <w:rFonts w:hint="eastAsia" w:ascii="仿宋_GB2312" w:hAnsi="仿宋_GB2312" w:cs="仿宋_GB2312"/>
          <w:sz w:val="32"/>
          <w:szCs w:val="32"/>
        </w:rPr>
        <w:t>.积极开展节约型机关和公共机构节水单位两项创建工作。</w:t>
      </w:r>
    </w:p>
    <w:p w14:paraId="22262D6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三、评价思路和过程</w:t>
      </w:r>
    </w:p>
    <w:p w14:paraId="119981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（一）评价思路</w:t>
      </w:r>
    </w:p>
    <w:p w14:paraId="4FD6C2F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确认当年度部门整体支出的绩效目标→梳理部门内部管理制度及存量资源→分析确定当年度部门整体支出的评价重点→构建绩效评价指标体系。</w:t>
      </w:r>
    </w:p>
    <w:p w14:paraId="69BCC32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（二）评价目的</w:t>
      </w:r>
    </w:p>
    <w:p w14:paraId="48ADC1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通过收集单位基本情况、202</w:t>
      </w:r>
      <w:r>
        <w:rPr>
          <w:rFonts w:ascii="仿宋_GB2312" w:hAnsi="仿宋_GB2312" w:cs="仿宋_GB2312"/>
          <w:sz w:val="32"/>
          <w:szCs w:val="32"/>
        </w:rPr>
        <w:t>3</w:t>
      </w:r>
      <w:r>
        <w:rPr>
          <w:rFonts w:hint="eastAsia" w:ascii="仿宋_GB2312" w:hAnsi="仿宋_GB2312" w:cs="仿宋_GB2312"/>
          <w:sz w:val="32"/>
          <w:szCs w:val="32"/>
        </w:rPr>
        <w:t>年预算制定与预算明细、202</w:t>
      </w:r>
      <w:r>
        <w:rPr>
          <w:rFonts w:ascii="仿宋_GB2312" w:hAnsi="仿宋_GB2312" w:cs="仿宋_GB2312"/>
          <w:sz w:val="32"/>
          <w:szCs w:val="32"/>
        </w:rPr>
        <w:t>3</w:t>
      </w:r>
      <w:r>
        <w:rPr>
          <w:rFonts w:hint="eastAsia" w:ascii="仿宋_GB2312" w:hAnsi="仿宋_GB2312" w:cs="仿宋_GB2312"/>
          <w:sz w:val="32"/>
          <w:szCs w:val="32"/>
        </w:rPr>
        <w:t>年年度工作计划及组织架构等信息，分析本单位资源配置的合理性及中长期规划目标完成与履职情况，总结经验做法，找出预算绩效管理中的薄弱环节，提出改进建议，提高财政资金的使用效益。</w:t>
      </w:r>
    </w:p>
    <w:p w14:paraId="6A9F03A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（三）评价依据</w:t>
      </w:r>
    </w:p>
    <w:p w14:paraId="0EFAC2D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盘龙区残疾人综合服务中心202</w:t>
      </w:r>
      <w:r>
        <w:rPr>
          <w:rFonts w:ascii="仿宋_GB2312" w:hAnsi="仿宋_GB2312" w:cs="仿宋_GB2312"/>
          <w:sz w:val="32"/>
          <w:szCs w:val="32"/>
        </w:rPr>
        <w:t>3</w:t>
      </w:r>
      <w:r>
        <w:rPr>
          <w:rFonts w:hint="eastAsia" w:ascii="仿宋_GB2312" w:hAnsi="仿宋_GB2312" w:cs="仿宋_GB2312"/>
          <w:sz w:val="32"/>
          <w:szCs w:val="32"/>
        </w:rPr>
        <w:t>年整体绩效评价主要依据是参照：《昆明市盘龙区财政局关于下达202</w:t>
      </w:r>
      <w:r>
        <w:rPr>
          <w:rFonts w:ascii="仿宋_GB2312" w:hAnsi="仿宋_GB2312" w:cs="仿宋_GB2312"/>
          <w:sz w:val="32"/>
          <w:szCs w:val="32"/>
        </w:rPr>
        <w:t>3</w:t>
      </w:r>
      <w:r>
        <w:rPr>
          <w:rFonts w:hint="eastAsia" w:ascii="仿宋_GB2312" w:hAnsi="仿宋_GB2312" w:cs="仿宋_GB2312"/>
          <w:sz w:val="32"/>
          <w:szCs w:val="32"/>
        </w:rPr>
        <w:t>年部门预算的批复》（盘财〔202</w:t>
      </w:r>
      <w:r>
        <w:rPr>
          <w:rFonts w:ascii="仿宋_GB2312" w:hAnsi="仿宋_GB2312" w:cs="仿宋_GB2312"/>
          <w:sz w:val="32"/>
          <w:szCs w:val="32"/>
        </w:rPr>
        <w:t>3</w:t>
      </w:r>
      <w:r>
        <w:rPr>
          <w:rFonts w:hint="eastAsia" w:ascii="仿宋_GB2312" w:hAnsi="仿宋_GB2312" w:cs="仿宋_GB2312"/>
          <w:sz w:val="32"/>
          <w:szCs w:val="32"/>
        </w:rPr>
        <w:t>〕1号）、《昆明市盘龙区财政局关于开展2023年度区级预算支出绩效自评工作的通知》（盘财绩〔202</w:t>
      </w:r>
      <w:r>
        <w:rPr>
          <w:rFonts w:ascii="仿宋_GB2312" w:hAnsi="仿宋_GB2312" w:cs="仿宋_GB2312"/>
          <w:sz w:val="32"/>
          <w:szCs w:val="32"/>
        </w:rPr>
        <w:t>4</w:t>
      </w:r>
      <w:r>
        <w:rPr>
          <w:rFonts w:hint="eastAsia" w:ascii="仿宋_GB2312" w:hAnsi="仿宋_GB2312" w:cs="仿宋_GB2312"/>
          <w:sz w:val="32"/>
          <w:szCs w:val="32"/>
        </w:rPr>
        <w:t>〕</w:t>
      </w:r>
      <w:r>
        <w:rPr>
          <w:rFonts w:ascii="仿宋_GB2312" w:hAnsi="仿宋_GB2312" w:cs="仿宋_GB2312"/>
          <w:sz w:val="32"/>
          <w:szCs w:val="32"/>
        </w:rPr>
        <w:t>5</w:t>
      </w:r>
      <w:r>
        <w:rPr>
          <w:rFonts w:hint="eastAsia" w:ascii="仿宋_GB2312" w:hAnsi="仿宋_GB2312" w:cs="仿宋_GB2312"/>
          <w:sz w:val="32"/>
          <w:szCs w:val="32"/>
        </w:rPr>
        <w:t>号）、《盘龙区区级部门预算绩效自评管理暂行办法》（盘财〔2018〕71号）、202</w:t>
      </w:r>
      <w:r>
        <w:rPr>
          <w:rFonts w:ascii="仿宋_GB2312" w:hAnsi="仿宋_GB2312" w:cs="仿宋_GB2312"/>
          <w:sz w:val="32"/>
          <w:szCs w:val="32"/>
        </w:rPr>
        <w:t>3</w:t>
      </w:r>
      <w:r>
        <w:rPr>
          <w:rFonts w:hint="eastAsia" w:ascii="仿宋_GB2312" w:hAnsi="仿宋_GB2312" w:cs="仿宋_GB2312"/>
          <w:sz w:val="32"/>
          <w:szCs w:val="32"/>
        </w:rPr>
        <w:t>年度盘龙区残疾人综合服务中心预算执行情况表、202</w:t>
      </w:r>
      <w:r>
        <w:rPr>
          <w:rFonts w:ascii="仿宋_GB2312" w:hAnsi="仿宋_GB2312" w:cs="仿宋_GB2312"/>
          <w:sz w:val="32"/>
          <w:szCs w:val="32"/>
        </w:rPr>
        <w:t>3</w:t>
      </w:r>
      <w:r>
        <w:rPr>
          <w:rFonts w:hint="eastAsia" w:ascii="仿宋_GB2312" w:hAnsi="仿宋_GB2312" w:cs="仿宋_GB2312"/>
          <w:sz w:val="32"/>
          <w:szCs w:val="32"/>
        </w:rPr>
        <w:t>年1-12月预算绩效跟踪表、中央、省、市、区党委政府对部门或项目的相关要求等，对202</w:t>
      </w:r>
      <w:r>
        <w:rPr>
          <w:rFonts w:ascii="仿宋_GB2312" w:hAnsi="仿宋_GB2312" w:cs="仿宋_GB2312"/>
          <w:sz w:val="32"/>
          <w:szCs w:val="32"/>
        </w:rPr>
        <w:t>3</w:t>
      </w:r>
      <w:r>
        <w:rPr>
          <w:rFonts w:hint="eastAsia" w:ascii="仿宋_GB2312" w:hAnsi="仿宋_GB2312" w:cs="仿宋_GB2312"/>
          <w:sz w:val="32"/>
          <w:szCs w:val="32"/>
        </w:rPr>
        <w:t>年度预算支出情况进行分析评价。</w:t>
      </w:r>
    </w:p>
    <w:p w14:paraId="7C34911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（四）评价对象及评价时段</w:t>
      </w:r>
    </w:p>
    <w:p w14:paraId="0E2E5B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盘龙区残疾人综合服务中心对202</w:t>
      </w:r>
      <w:r>
        <w:rPr>
          <w:rFonts w:ascii="仿宋_GB2312" w:hAnsi="仿宋_GB2312" w:cs="仿宋_GB2312"/>
          <w:sz w:val="32"/>
          <w:szCs w:val="32"/>
        </w:rPr>
        <w:t>3</w:t>
      </w:r>
      <w:r>
        <w:rPr>
          <w:rFonts w:hint="eastAsia" w:ascii="仿宋_GB2312" w:hAnsi="仿宋_GB2312" w:cs="仿宋_GB2312"/>
          <w:sz w:val="32"/>
          <w:szCs w:val="32"/>
        </w:rPr>
        <w:t>年度区级预算安排的基本支出、项目支出进行评价。评价分为季度评价和年度评价，每个季度对整体支出绩效和项目支出绩效跟踪，及时将跟踪结果反馈区级财政部门，年度终了，对整个会计年度的支出情况做全面绩效分析。</w:t>
      </w:r>
    </w:p>
    <w:p w14:paraId="73BA841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四、评价结论和绩效分析</w:t>
      </w:r>
    </w:p>
    <w:p w14:paraId="4887882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14:paraId="03813554">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1.评价结果</w:t>
      </w:r>
    </w:p>
    <w:p w14:paraId="0B7CB7E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年残疾人基本支出和项目支出资金使用严格按照</w:t>
      </w:r>
      <w:r>
        <w:rPr>
          <w:rFonts w:hint="eastAsia" w:ascii="仿宋_GB2312" w:hAnsi="仿宋_GB2312" w:cs="仿宋_GB2312"/>
          <w:sz w:val="32"/>
          <w:szCs w:val="32"/>
          <w:lang w:eastAsia="zh-CN"/>
        </w:rPr>
        <w:t>《中华人民共和国预算法》</w:t>
      </w:r>
      <w:r>
        <w:rPr>
          <w:rFonts w:hint="eastAsia" w:ascii="仿宋_GB2312" w:hAnsi="仿宋_GB2312" w:cs="仿宋_GB2312"/>
          <w:sz w:val="32"/>
          <w:szCs w:val="32"/>
        </w:rPr>
        <w:t>、</w:t>
      </w:r>
      <w:r>
        <w:rPr>
          <w:rFonts w:hint="eastAsia" w:ascii="仿宋_GB2312" w:hAnsi="仿宋_GB2312" w:cs="仿宋_GB2312"/>
          <w:sz w:val="32"/>
          <w:szCs w:val="32"/>
          <w:lang w:eastAsia="zh-CN"/>
        </w:rPr>
        <w:t>《中华人民共和国会计法》</w:t>
      </w:r>
      <w:r>
        <w:rPr>
          <w:rFonts w:hint="eastAsia" w:ascii="仿宋_GB2312" w:hAnsi="仿宋_GB2312" w:cs="仿宋_GB2312"/>
          <w:sz w:val="32"/>
          <w:szCs w:val="32"/>
        </w:rPr>
        <w:t>执行，符合中央、省、市文件要求，财政资金的投入，进一步完善了为残疾人服务体系，提高了残疾人服务水平，不断改善对残疾人的服务，增加残疾人幸福感和社会参与感，促进残疾人全面发展。本单位整体绩效指标评价体系总分100分，自评得分100分。</w:t>
      </w:r>
    </w:p>
    <w:p w14:paraId="53B1CE3C">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2.主要绩效</w:t>
      </w:r>
    </w:p>
    <w:p w14:paraId="542ACF3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w:t>
      </w:r>
      <w:r>
        <w:rPr>
          <w:rFonts w:hint="eastAsia"/>
        </w:rPr>
        <w:t xml:space="preserve"> </w:t>
      </w:r>
      <w:r>
        <w:rPr>
          <w:rFonts w:hint="eastAsia" w:ascii="仿宋_GB2312" w:hAnsi="仿宋_GB2312" w:cs="仿宋_GB2312"/>
          <w:sz w:val="32"/>
          <w:szCs w:val="32"/>
        </w:rPr>
        <w:t>管好残疾人综合服务设施，服务来访群众和残疾人。全年接待来访群众和残疾人服务对象3800余人次，无重大安全责任事故发生。</w:t>
      </w:r>
    </w:p>
    <w:p w14:paraId="625D048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2</w:t>
      </w:r>
      <w:r>
        <w:rPr>
          <w:rFonts w:hint="eastAsia" w:ascii="仿宋_GB2312" w:hAnsi="仿宋_GB2312" w:cs="仿宋_GB2312"/>
          <w:sz w:val="32"/>
          <w:szCs w:val="32"/>
        </w:rPr>
        <w:t>）继续合作开展昆明市聋儿听力语言训练康复项目</w:t>
      </w:r>
      <w:r>
        <w:rPr>
          <w:rFonts w:ascii="仿宋_GB2312" w:hAnsi="仿宋_GB2312" w:cs="仿宋_GB2312"/>
          <w:sz w:val="32"/>
          <w:szCs w:val="32"/>
        </w:rPr>
        <w:t>,</w:t>
      </w:r>
      <w:r>
        <w:rPr>
          <w:rFonts w:hint="eastAsia" w:ascii="仿宋_GB2312" w:hAnsi="仿宋_GB2312" w:cs="仿宋_GB2312"/>
          <w:sz w:val="32"/>
          <w:szCs w:val="32"/>
        </w:rPr>
        <w:t>全年为我市85名（盘龙区6名）0-14残障聋儿提供了优质的听力、语言康复训练服务。</w:t>
      </w:r>
    </w:p>
    <w:p w14:paraId="157C4DF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3</w:t>
      </w:r>
      <w:r>
        <w:rPr>
          <w:rFonts w:hint="eastAsia" w:ascii="仿宋_GB2312" w:hAnsi="仿宋_GB2312" w:cs="仿宋_GB2312"/>
          <w:sz w:val="32"/>
          <w:szCs w:val="32"/>
        </w:rPr>
        <w:t>）组织区“五类”残疾人协会开展了志愿者服务、文化交流、观影娱乐、义务劳动、社会融合等形式</w:t>
      </w:r>
      <w:r>
        <w:rPr>
          <w:rFonts w:ascii="仿宋_GB2312" w:hAnsi="仿宋_GB2312" w:cs="仿宋_GB2312"/>
          <w:sz w:val="32"/>
          <w:szCs w:val="32"/>
        </w:rPr>
        <w:t>多样</w:t>
      </w:r>
      <w:r>
        <w:rPr>
          <w:rFonts w:hint="eastAsia" w:ascii="仿宋_GB2312" w:hAnsi="仿宋_GB2312" w:cs="仿宋_GB2312"/>
          <w:sz w:val="32"/>
          <w:szCs w:val="32"/>
        </w:rPr>
        <w:t>的活动，累计参加活动人次达587人次，丰富了我区残疾人的精神文化生活。</w:t>
      </w:r>
    </w:p>
    <w:p w14:paraId="133E14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4</w:t>
      </w:r>
      <w:r>
        <w:rPr>
          <w:rFonts w:hint="eastAsia" w:ascii="仿宋_GB2312" w:hAnsi="仿宋_GB2312" w:cs="仿宋_GB2312"/>
          <w:sz w:val="32"/>
          <w:szCs w:val="32"/>
        </w:rPr>
        <w:t>）积极配合区残疾人就业服务站开展中式烹调师、食品腌制、家居清洁、机动车驾驶为主要内容的残疾人农村实用生产技术和城镇职业技能培训，提供完善的培训环境和</w:t>
      </w:r>
      <w:r>
        <w:rPr>
          <w:rFonts w:ascii="仿宋_GB2312" w:hAnsi="仿宋_GB2312" w:cs="仿宋_GB2312"/>
          <w:sz w:val="32"/>
          <w:szCs w:val="32"/>
        </w:rPr>
        <w:t>服务</w:t>
      </w:r>
      <w:r>
        <w:rPr>
          <w:rFonts w:hint="eastAsia" w:ascii="仿宋_GB2312" w:hAnsi="仿宋_GB2312" w:cs="仿宋_GB2312"/>
          <w:sz w:val="32"/>
          <w:szCs w:val="32"/>
        </w:rPr>
        <w:t>，全</w:t>
      </w:r>
      <w:r>
        <w:rPr>
          <w:rFonts w:ascii="仿宋_GB2312" w:hAnsi="仿宋_GB2312" w:cs="仿宋_GB2312"/>
          <w:sz w:val="32"/>
          <w:szCs w:val="32"/>
        </w:rPr>
        <w:t>年</w:t>
      </w:r>
      <w:r>
        <w:rPr>
          <w:rFonts w:hint="eastAsia" w:ascii="仿宋_GB2312" w:hAnsi="仿宋_GB2312" w:cs="仿宋_GB2312"/>
          <w:sz w:val="32"/>
          <w:szCs w:val="32"/>
        </w:rPr>
        <w:t>培训残疾人159名。</w:t>
      </w:r>
    </w:p>
    <w:p w14:paraId="427732A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5</w:t>
      </w:r>
      <w:r>
        <w:rPr>
          <w:rFonts w:hint="eastAsia" w:ascii="仿宋_GB2312" w:hAnsi="仿宋_GB2312" w:cs="仿宋_GB2312"/>
          <w:sz w:val="32"/>
          <w:szCs w:val="32"/>
        </w:rPr>
        <w:t>）组织开展了辖区残疾人辅具需求筛查工作，全年为辖区135名有辅具需求的残疾人提供辅具需求评估服务，为98人名残疾人提供辅助器具适配服务，其中10名听障残疾人适配助听器，5名肢体残疾人适配假肢，83名盲人适配盲杖，有效帮助残疾人改善及补偿残障功能。</w:t>
      </w:r>
    </w:p>
    <w:p w14:paraId="34E726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ascii="仿宋_GB2312" w:hAnsi="仿宋_GB2312" w:cs="仿宋_GB2312"/>
          <w:sz w:val="32"/>
          <w:szCs w:val="32"/>
        </w:rPr>
        <w:t>（</w:t>
      </w:r>
      <w:r>
        <w:rPr>
          <w:rFonts w:ascii="仿宋_GB2312" w:hAnsi="仿宋_GB2312" w:cs="仿宋_GB2312"/>
          <w:sz w:val="32"/>
          <w:szCs w:val="32"/>
        </w:rPr>
        <w:t>6</w:t>
      </w:r>
      <w:r>
        <w:rPr>
          <w:rFonts w:hint="eastAsia" w:ascii="仿宋_GB2312" w:hAnsi="仿宋_GB2312" w:cs="仿宋_GB2312"/>
          <w:sz w:val="32"/>
          <w:szCs w:val="32"/>
        </w:rPr>
        <w:t>）积极配合区残联综合业务科开展残疾人法律救助站工作，全年处理来信、来访55件，办结率达100%，进一步保障残疾人合法权益。</w:t>
      </w:r>
    </w:p>
    <w:p w14:paraId="52DDD9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6.积极开展节约型机关和公共机构节水单位两项创建工作，通过2022、2023两年的不懈努力，区残联机关及下属单位（含区残疾人综合服务中心）于2023年6月通过市、区两级水务局和节水办检查验收，被评为“2022年度节水型单位”；于2023年9月被国家机关事务管理局、中央直属机关事务管理局、国家发改委和</w:t>
      </w:r>
      <w:r>
        <w:rPr>
          <w:rFonts w:hint="eastAsia" w:ascii="仿宋_GB2312" w:hAnsi="仿宋_GB2312" w:cs="仿宋_GB2312"/>
          <w:sz w:val="32"/>
          <w:szCs w:val="32"/>
          <w:lang w:eastAsia="zh-CN"/>
        </w:rPr>
        <w:t>财政部</w:t>
      </w:r>
      <w:r>
        <w:rPr>
          <w:rFonts w:hint="eastAsia" w:ascii="仿宋_GB2312" w:hAnsi="仿宋_GB2312" w:cs="仿宋_GB2312"/>
          <w:sz w:val="32"/>
          <w:szCs w:val="32"/>
        </w:rPr>
        <w:t>联合授予全国“节约型机关”称号，颁发“节约型机关”证书；节约型机关和公共机构节水单位两项创建活动取得良好成果。</w:t>
      </w:r>
    </w:p>
    <w:p w14:paraId="0C21CE1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（二）具体绩效分析</w:t>
      </w:r>
    </w:p>
    <w:p w14:paraId="56FCB4A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评价组对本单位整体绩效从部门决策、部门管理和部门绩效三个方面设立11个二级指标、45个三级指标，按照不同权重对项目绩效进行量化评价，具体评价情况如下：</w:t>
      </w:r>
    </w:p>
    <w:p w14:paraId="39B0A6E3">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1.部门决策（总分35分，评价得分35分）</w:t>
      </w:r>
    </w:p>
    <w:p w14:paraId="02DF6A4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目标：部门中长期规划目标、年度规划目标明确，部门详细工作计划与年度工作目标对应匹配，绩效目标合理可量化，符合部门制定的中长期实施规划计，符合部门“三定”方案确定的职责，与部门年度工作目标、任务相一致。（总分12分，评价得分12分）</w:t>
      </w:r>
    </w:p>
    <w:p w14:paraId="73C275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职能：①职能明确、设定依据充分，有“三定”文件，部门详细工作目标与部门职能对应匹配，部门年度具体工作与部门职能对应匹配，部门内设科室及下属单位具体职责明确。（总分10分，评价得分10分）</w:t>
      </w:r>
    </w:p>
    <w:p w14:paraId="5D69B10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资源配置：部门年度基本支出预算根据人员经费、公用经费标准进行合理编制，部门年度项目支出预算程序、预算依据、适用范围合理，部门核定人员的编制与部门工作内容合理，部门现有办公资源能否满足部门日常工作需求。（总分13分，评价得分13分）</w:t>
      </w:r>
    </w:p>
    <w:p w14:paraId="341B573C">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2.部门管理（总分20分，评价得分20分）</w:t>
      </w:r>
    </w:p>
    <w:p w14:paraId="5D752AA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预算管理：部门基本支出本年度决算数与预算数的比率为100%，项目支出本年度决算数与预算数的比率100%；部门本年度“三公”经费预算数与上年度“三公”经费预算数的变动比率0%；根据年中预算实际执行情况及时合规进行预算调整。（总分7分，评价得分7分）</w:t>
      </w:r>
    </w:p>
    <w:p w14:paraId="224B7E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（2）财务管理：财务管理制度健全；资金使用合规；有明确的财务监控监督措施，监控、监督措施执行有效。（总分6分，评价得分6分）</w:t>
      </w:r>
    </w:p>
    <w:p w14:paraId="431A92A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（3）人力资源管理：部门本年度实际在职人员数与编制数的比率为95%；有具体的人力资源管理制度文件和参照文件；严格按照相关文件对各类型人员进行管理和考核。（总分2分，评价得分2分）</w:t>
      </w:r>
    </w:p>
    <w:p w14:paraId="1210ABE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（4）资产管理：固定资产在用率98%；已制定固定资产管理办法、资产使用办法等管理制度，相关管理制度合法、合规、完整，相关管理制度得到有效执行。（总分2分，评价得分2分）</w:t>
      </w:r>
    </w:p>
    <w:p w14:paraId="03AE6DD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（5）业务管理：已制定业务管理、项目管理等管理制度，相关管理制度合法、合规、完整，能得到有效执行；政府采购方式、程序都规范；有定期指导记录、考核结果。（总分3分，评价得分3分）</w:t>
      </w:r>
    </w:p>
    <w:p w14:paraId="20371B90">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3.部门绩效（总分45分，评价得分45分）</w:t>
      </w:r>
    </w:p>
    <w:p w14:paraId="16B8B5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产出：重点项目全部完成；帮困、医疗补贴等社会保障工作全部完成；残疾人助学工作全部完成；各类康复服务计划全部完成；就业安置及培训计划全部完成；残疾人信息化统计、阳光关爱服务等政府采购项目按制度严格执行政府采购流程；年度内部门实际完成工作数中达到上级部门和同级政府目标要求。（总分18分，评价得分18分）</w:t>
      </w:r>
    </w:p>
    <w:p w14:paraId="7FD5757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效果：投诉信访事件有所减少：助困、助学等社会保障项目在各类残疾人保障中的覆盖率达90%以上；各类康复服务项目有明显的康复效果；有效促进残疾人就业；残疾人对区残联现提供服务及补贴政策的知晓程度达80%以上；残联系统相关人员及辖区内残疾人对残联工作的满意达85%。（总分21分，评价得分21分）</w:t>
      </w:r>
    </w:p>
    <w:p w14:paraId="0E012D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（3）部门可持续发展：部门管理人员能期接受培训；按规定内容、规定时限公开预决算信息、绩效信息及其他信息，各处室、下属单位等信息共享。（总分6分，评价得分6分）</w:t>
      </w:r>
    </w:p>
    <w:p w14:paraId="01AB24B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五、主要经验做法</w:t>
      </w:r>
    </w:p>
    <w:p w14:paraId="1FE545F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残疾人综合服务中心作为残疾人服务</w:t>
      </w:r>
      <w:r>
        <w:rPr>
          <w:rFonts w:ascii="仿宋_GB2312" w:hAnsi="仿宋_GB2312" w:cs="仿宋_GB2312"/>
          <w:sz w:val="32"/>
          <w:szCs w:val="32"/>
        </w:rPr>
        <w:t>的机构</w:t>
      </w:r>
      <w:r>
        <w:rPr>
          <w:rFonts w:hint="eastAsia" w:ascii="仿宋_GB2312" w:hAnsi="仿宋_GB2312" w:cs="仿宋_GB2312"/>
          <w:sz w:val="32"/>
          <w:szCs w:val="32"/>
        </w:rPr>
        <w:t>，是联系残疾人群众的桥梁和纽带，必须积极履职尽责，大胆实践，勇于开拓创新。</w:t>
      </w:r>
    </w:p>
    <w:p w14:paraId="2540FD6A">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一是</w:t>
      </w:r>
      <w:r>
        <w:rPr>
          <w:rFonts w:hint="eastAsia" w:ascii="仿宋_GB2312" w:hAnsi="仿宋_GB2312" w:cs="仿宋_GB2312"/>
          <w:sz w:val="32"/>
          <w:szCs w:val="32"/>
        </w:rPr>
        <w:t>加强工作宣传力度，增强社会公众对残疾人服务中心的认知和残疾人</w:t>
      </w:r>
      <w:bookmarkStart w:id="0" w:name="_GoBack"/>
      <w:bookmarkEnd w:id="0"/>
      <w:r>
        <w:rPr>
          <w:rFonts w:hint="eastAsia" w:ascii="仿宋_GB2312" w:hAnsi="仿宋_GB2312" w:cs="仿宋_GB2312"/>
          <w:sz w:val="32"/>
          <w:szCs w:val="32"/>
        </w:rPr>
        <w:t>的接纳程度；</w:t>
      </w:r>
    </w:p>
    <w:p w14:paraId="34C94729">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二是</w:t>
      </w:r>
      <w:r>
        <w:rPr>
          <w:rFonts w:hint="eastAsia" w:ascii="仿宋_GB2312" w:hAnsi="仿宋_GB2312" w:cs="仿宋_GB2312"/>
          <w:sz w:val="32"/>
          <w:szCs w:val="32"/>
        </w:rPr>
        <w:t>精细管理，提供工作质量和效率，全面落实绩效管理目标责任制，多部门协作，共同推进项目各项任务指标的落实；</w:t>
      </w:r>
    </w:p>
    <w:p w14:paraId="58306CC1">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三是</w:t>
      </w:r>
      <w:r>
        <w:rPr>
          <w:rFonts w:hint="eastAsia" w:ascii="仿宋_GB2312" w:hAnsi="仿宋_GB2312" w:cs="仿宋_GB2312"/>
          <w:sz w:val="32"/>
          <w:szCs w:val="32"/>
        </w:rPr>
        <w:t>根据实际服务人数进行费用结算，保证财政资金使用效率；</w:t>
      </w:r>
    </w:p>
    <w:p w14:paraId="3BF3C5D7">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四是</w:t>
      </w:r>
      <w:r>
        <w:rPr>
          <w:rFonts w:hint="eastAsia" w:ascii="仿宋_GB2312" w:hAnsi="仿宋_GB2312" w:cs="仿宋_GB2312"/>
          <w:sz w:val="32"/>
          <w:szCs w:val="32"/>
        </w:rPr>
        <w:t>严格执行资金使用管理的相关规定。强化领导，建立健全绩效自评组织体系；结合实际，确定自评范围及考评指标，在充分发挥历年开展目标考核经验的基础上结合上年实际，研究确定年度绩效考核范围和考评指标；措施到位，扎实推进绩效自评工作；制定指标做到全面、合理、公正，坚持定性与定量相结合，以定量为主，80%以上的指标进行量化；考评过程与考评结果相结合。</w:t>
      </w:r>
    </w:p>
    <w:p w14:paraId="1C9A854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六、存在的问题</w:t>
      </w:r>
    </w:p>
    <w:p w14:paraId="31DF5A7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残疾人事业项目经费主要由上级项目经费和区级预算组成，残疾人对项目效果期望值高，而残疾人综合服务群体大，投入成本高，残疾人事业项目经费保障与广大残疾人服务需求矛盾突出。</w:t>
      </w:r>
    </w:p>
    <w:p w14:paraId="160B47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七、改进措施及建议</w:t>
      </w:r>
    </w:p>
    <w:p w14:paraId="04C2E67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1.加强政策学习，提高思想认识。加强单位对</w:t>
      </w:r>
      <w:r>
        <w:rPr>
          <w:rFonts w:hint="eastAsia" w:ascii="仿宋_GB2312" w:hAnsi="仿宋_GB2312" w:cs="仿宋_GB2312"/>
          <w:sz w:val="32"/>
          <w:szCs w:val="32"/>
          <w:lang w:eastAsia="zh-CN"/>
        </w:rPr>
        <w:t>《中华人民共和国预算法》</w:t>
      </w:r>
      <w:r>
        <w:rPr>
          <w:rFonts w:hint="eastAsia" w:ascii="仿宋_GB2312" w:hAnsi="仿宋_GB2312" w:cs="仿宋_GB2312"/>
          <w:sz w:val="32"/>
          <w:szCs w:val="32"/>
        </w:rPr>
        <w:t>等相关法规、制度的学习，提高单位领导对全面预算管理的重视程度，增强单位各业务科室及财务人员的预算意识，坚持先有预算、后有支出，没有预算不得支出的支出理念。</w:t>
      </w:r>
    </w:p>
    <w:p w14:paraId="75C172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2.结合工作实际，提高预算科学性。预算编制前根据年度内单位可预见的工作任务，确定单位年度预算目标，细化预算指标，科学合理编制部门预算，推进预算编制科学化、准确化。</w:t>
      </w:r>
    </w:p>
    <w:p w14:paraId="7DD24A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szCs w:val="30"/>
          <w:highlight w:val="yellow"/>
        </w:rPr>
      </w:pPr>
      <w:r>
        <w:rPr>
          <w:rFonts w:hint="eastAsia" w:ascii="仿宋_GB2312" w:hAnsi="仿宋_GB2312" w:cs="仿宋_GB2312"/>
          <w:sz w:val="32"/>
          <w:szCs w:val="32"/>
        </w:rPr>
        <w:t>3.加大对残疾人工作的经费投入，提高残疾人工作者业务能力，提升残疾人服务水平，更好的为残疾人提供服务。</w:t>
      </w:r>
    </w:p>
    <w:sectPr>
      <w:pgSz w:w="11906" w:h="16838"/>
      <w:pgMar w:top="1587"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0FAC8413">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553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A80A7">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27A80A7">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6FF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2FB3">
    <w:pPr>
      <w:pStyle w:val="5"/>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CF7DE1">
                          <w:pPr>
                            <w:ind w:firstLine="6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7CF7DE1">
                    <w:pPr>
                      <w:ind w:firstLine="60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DEA3">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B3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FB5B">
    <w:pPr>
      <w:pStyle w:val="6"/>
      <w:pBdr>
        <w:bottom w:val="single" w:color="auto" w:sz="6" w:space="3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mQ3NjRjNmRhYjg2N2Y4NDgyOTFhODcxNGM5NDUifQ=="/>
  </w:docVars>
  <w:rsids>
    <w:rsidRoot w:val="00203805"/>
    <w:rsid w:val="00052158"/>
    <w:rsid w:val="00052238"/>
    <w:rsid w:val="00064F87"/>
    <w:rsid w:val="000A4E4F"/>
    <w:rsid w:val="000B3102"/>
    <w:rsid w:val="00121B7E"/>
    <w:rsid w:val="001311BD"/>
    <w:rsid w:val="00180807"/>
    <w:rsid w:val="001E1CC0"/>
    <w:rsid w:val="001E6ECC"/>
    <w:rsid w:val="00203805"/>
    <w:rsid w:val="00235A05"/>
    <w:rsid w:val="00256ECF"/>
    <w:rsid w:val="002A4077"/>
    <w:rsid w:val="002A57AF"/>
    <w:rsid w:val="002C7F15"/>
    <w:rsid w:val="003174E6"/>
    <w:rsid w:val="003B2444"/>
    <w:rsid w:val="004229B8"/>
    <w:rsid w:val="0046221E"/>
    <w:rsid w:val="0047317D"/>
    <w:rsid w:val="00490511"/>
    <w:rsid w:val="004B1B3F"/>
    <w:rsid w:val="004B5286"/>
    <w:rsid w:val="0051283A"/>
    <w:rsid w:val="005721C3"/>
    <w:rsid w:val="005A227A"/>
    <w:rsid w:val="0060079F"/>
    <w:rsid w:val="006514F5"/>
    <w:rsid w:val="006D4A47"/>
    <w:rsid w:val="00732696"/>
    <w:rsid w:val="00746E9A"/>
    <w:rsid w:val="00880AE6"/>
    <w:rsid w:val="00892132"/>
    <w:rsid w:val="008D00AF"/>
    <w:rsid w:val="008F4E6F"/>
    <w:rsid w:val="00903A36"/>
    <w:rsid w:val="009042DF"/>
    <w:rsid w:val="00921A40"/>
    <w:rsid w:val="00956EDA"/>
    <w:rsid w:val="00982615"/>
    <w:rsid w:val="009C185E"/>
    <w:rsid w:val="009D269C"/>
    <w:rsid w:val="009D5E4E"/>
    <w:rsid w:val="009F1440"/>
    <w:rsid w:val="009F4DA9"/>
    <w:rsid w:val="00A4314C"/>
    <w:rsid w:val="00A95646"/>
    <w:rsid w:val="00B3064F"/>
    <w:rsid w:val="00B62565"/>
    <w:rsid w:val="00BC758C"/>
    <w:rsid w:val="00C43833"/>
    <w:rsid w:val="00CE1348"/>
    <w:rsid w:val="00D121D3"/>
    <w:rsid w:val="00D311F5"/>
    <w:rsid w:val="00D76980"/>
    <w:rsid w:val="00D805D4"/>
    <w:rsid w:val="00D82D69"/>
    <w:rsid w:val="00D90862"/>
    <w:rsid w:val="00DD4165"/>
    <w:rsid w:val="00DE3E65"/>
    <w:rsid w:val="00E51F4A"/>
    <w:rsid w:val="00F066CB"/>
    <w:rsid w:val="00F10387"/>
    <w:rsid w:val="00F41600"/>
    <w:rsid w:val="00F93EE3"/>
    <w:rsid w:val="00FB3959"/>
    <w:rsid w:val="00FC3495"/>
    <w:rsid w:val="02B64773"/>
    <w:rsid w:val="08792779"/>
    <w:rsid w:val="08874479"/>
    <w:rsid w:val="09E65F21"/>
    <w:rsid w:val="0A5C1F3E"/>
    <w:rsid w:val="0AC91726"/>
    <w:rsid w:val="0B430E5C"/>
    <w:rsid w:val="0C7B4653"/>
    <w:rsid w:val="0C980740"/>
    <w:rsid w:val="0ECE3874"/>
    <w:rsid w:val="12562F32"/>
    <w:rsid w:val="1465358E"/>
    <w:rsid w:val="14AC5EC1"/>
    <w:rsid w:val="1798478C"/>
    <w:rsid w:val="1A2746E7"/>
    <w:rsid w:val="1BB43181"/>
    <w:rsid w:val="1DF77F84"/>
    <w:rsid w:val="1FD13917"/>
    <w:rsid w:val="1FD36BDF"/>
    <w:rsid w:val="20746A5E"/>
    <w:rsid w:val="21C32357"/>
    <w:rsid w:val="22DD147A"/>
    <w:rsid w:val="27EF494B"/>
    <w:rsid w:val="2B090312"/>
    <w:rsid w:val="2B0F45C8"/>
    <w:rsid w:val="2B160365"/>
    <w:rsid w:val="2C5C2091"/>
    <w:rsid w:val="2CCD48C1"/>
    <w:rsid w:val="2CEA1E31"/>
    <w:rsid w:val="2D9E681D"/>
    <w:rsid w:val="2DCC55E9"/>
    <w:rsid w:val="2DE56A43"/>
    <w:rsid w:val="2E1D55C2"/>
    <w:rsid w:val="2E9B17B7"/>
    <w:rsid w:val="2F1B0C91"/>
    <w:rsid w:val="300D7A86"/>
    <w:rsid w:val="305A4261"/>
    <w:rsid w:val="31056813"/>
    <w:rsid w:val="336D1FC6"/>
    <w:rsid w:val="34E36269"/>
    <w:rsid w:val="35BD4AC5"/>
    <w:rsid w:val="36861E7B"/>
    <w:rsid w:val="36885794"/>
    <w:rsid w:val="381432B1"/>
    <w:rsid w:val="38273008"/>
    <w:rsid w:val="388E693A"/>
    <w:rsid w:val="38A7274C"/>
    <w:rsid w:val="38F5389F"/>
    <w:rsid w:val="39394D72"/>
    <w:rsid w:val="3BEE2538"/>
    <w:rsid w:val="3BF15D13"/>
    <w:rsid w:val="3D872F9D"/>
    <w:rsid w:val="3D8A0644"/>
    <w:rsid w:val="3E1638C8"/>
    <w:rsid w:val="3E521716"/>
    <w:rsid w:val="442D41F6"/>
    <w:rsid w:val="453741C8"/>
    <w:rsid w:val="48936351"/>
    <w:rsid w:val="48B11E62"/>
    <w:rsid w:val="494B5EE5"/>
    <w:rsid w:val="49E36398"/>
    <w:rsid w:val="4B6D462F"/>
    <w:rsid w:val="4D0E0A27"/>
    <w:rsid w:val="508349D1"/>
    <w:rsid w:val="519A5D3D"/>
    <w:rsid w:val="51D03A58"/>
    <w:rsid w:val="53880F5F"/>
    <w:rsid w:val="54CC7C15"/>
    <w:rsid w:val="56970990"/>
    <w:rsid w:val="59BB15D0"/>
    <w:rsid w:val="5AA0424C"/>
    <w:rsid w:val="5B003F5D"/>
    <w:rsid w:val="5B395309"/>
    <w:rsid w:val="5B833A73"/>
    <w:rsid w:val="5BE20312"/>
    <w:rsid w:val="5E2558D5"/>
    <w:rsid w:val="5E841717"/>
    <w:rsid w:val="5FA016B7"/>
    <w:rsid w:val="5FAF1CA3"/>
    <w:rsid w:val="5FB8276B"/>
    <w:rsid w:val="641F7BE3"/>
    <w:rsid w:val="64587DE1"/>
    <w:rsid w:val="653D7CCA"/>
    <w:rsid w:val="6967468B"/>
    <w:rsid w:val="69944ACE"/>
    <w:rsid w:val="69E112AA"/>
    <w:rsid w:val="6A6715BE"/>
    <w:rsid w:val="6AD74018"/>
    <w:rsid w:val="6B146AB5"/>
    <w:rsid w:val="6EFE7E8F"/>
    <w:rsid w:val="70257B58"/>
    <w:rsid w:val="72C34A85"/>
    <w:rsid w:val="76C30D63"/>
    <w:rsid w:val="774D1D19"/>
    <w:rsid w:val="77E96C76"/>
    <w:rsid w:val="7865792A"/>
    <w:rsid w:val="7A3C0572"/>
    <w:rsid w:val="7D5269A4"/>
    <w:rsid w:val="7D666535"/>
    <w:rsid w:val="7D7D2B78"/>
    <w:rsid w:val="7E600133"/>
    <w:rsid w:val="7EA51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jc w:val="left"/>
      <w:outlineLvl w:val="1"/>
    </w:pPr>
    <w:rPr>
      <w:rFonts w:ascii="Arial" w:hAnsi="Arial" w:eastAsia="黑体"/>
      <w:b/>
    </w:rPr>
  </w:style>
  <w:style w:type="paragraph" w:styleId="4">
    <w:name w:val="heading 3"/>
    <w:basedOn w:val="1"/>
    <w:next w:val="1"/>
    <w:link w:val="12"/>
    <w:unhideWhenUsed/>
    <w:qFormat/>
    <w:uiPriority w:val="0"/>
    <w:pPr>
      <w:keepNext/>
      <w:keepLines/>
      <w:jc w:val="left"/>
      <w:outlineLvl w:val="2"/>
    </w:pPr>
    <w:rPr>
      <w:rFonts w:eastAsia="楷体"/>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1">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character" w:customStyle="1" w:styleId="12">
    <w:name w:val="标题 3 字符"/>
    <w:link w:val="4"/>
    <w:qFormat/>
    <w:uiPriority w:val="0"/>
    <w:rPr>
      <w:rFonts w:eastAsia="楷体"/>
      <w:b/>
      <w:sz w:val="30"/>
    </w:rPr>
  </w:style>
  <w:style w:type="character" w:customStyle="1" w:styleId="13">
    <w:name w:val="页眉 字符"/>
    <w:basedOn w:val="9"/>
    <w:link w:val="6"/>
    <w:qFormat/>
    <w:uiPriority w:val="99"/>
    <w:rPr>
      <w:rFonts w:ascii="Calibri" w:hAnsi="Calibri"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6975</Words>
  <Characters>7290</Characters>
  <Lines>53</Lines>
  <Paragraphs>15</Paragraphs>
  <TotalTime>132</TotalTime>
  <ScaleCrop>false</ScaleCrop>
  <LinksUpToDate>false</LinksUpToDate>
  <CharactersWithSpaces>7315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学而知之</cp:lastModifiedBy>
  <cp:lastPrinted>2023-04-26T05:59:00Z</cp:lastPrinted>
  <dcterms:modified xsi:type="dcterms:W3CDTF">2026-02-09T11:54:06Z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A93220C780474C1F87750E62A4AD5073_13</vt:lpwstr>
  </property>
  <property fmtid="{D5CDD505-2E9C-101B-9397-08002B2CF9AE}" pid="4" name="KSOTemplateDocerSaveRecord">
    <vt:lpwstr>eyJoZGlkIjoiMzJlY2U4ZWJmYTllYTMzZmQwYjU5ODY5OWNlOTc3MWIiLCJ1c2VySWQiOiIxOTk2MjU0OTkifQ==</vt:lpwstr>
  </property>
</Properties>
</file>