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92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2026年盘龙区区本级“三公”经费安排说明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三公”经费增减变化原因说明:1.2026年盘龙区“三公”经费预算827.0892万元，比上年预算数减少4.1072万元，下降0.49%，其中：因公出国（境）经费40.0000万元，与上年预算数持平；2.公务接待费89.4425万元，比上年预算数减少2.8672万元，下降3.11%；3.公务用车购置及运行费697.6467万元，比上年预算数减少1.24万元，下降0.18%（其中：公务用车购置费80.0000万元，与上年预算数持平；公务用车运行费617.6467万元，比上年预算数减少1.24万元，下降0.2%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三公”经费增减变化原因说明:1.盘龙区积极贯彻落实中央八项规定、厉行勤俭节约和过紧日子要求，“三公”经费预算只减不增，强化公务接待管理，公务接待预算减少；2.公务用车运行费减少，主要是部分单位公务用车运行维护成本减少。</w:t>
      </w:r>
      <w:bookmarkStart w:id="0" w:name="_GoBack"/>
      <w:bookmarkEnd w:id="0"/>
    </w:p>
    <w:p>
      <w:pPr>
        <w:pageBreakBefore w:val="0"/>
        <w:widowControl w:val="0"/>
        <w:kinsoku/>
        <w:wordWrap/>
        <w:autoSpaceDE/>
        <w:autoSpaceDN/>
        <w:bidi w:val="0"/>
        <w:spacing w:line="60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60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F7C30"/>
    <w:rsid w:val="042A6EF2"/>
    <w:rsid w:val="261F7C30"/>
    <w:rsid w:val="35AC2521"/>
    <w:rsid w:val="553E6EB0"/>
    <w:rsid w:val="6B4410CD"/>
    <w:rsid w:val="77025299"/>
    <w:rsid w:val="7DC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2024-11-01T10:07:00Z</dcterms:created>
  <dc:creator>黄乐怡</dc:creator>
  <cp:lastModifiedBy>黄乐怡</cp:lastModifiedBy>
  <dcterms:modified xsi:type="dcterms:W3CDTF">2026-02-24T07:09:38Z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F26EDAB212334A58AB8FE67ABAB43EDB</vt:lpwstr>
  </property>
</Properties>
</file>