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700" w:lineRule="exact"/>
        <w:jc w:val="center"/>
        <w:rPr>
          <w:rFonts w:asciiTheme="majorEastAsia" w:hAnsiTheme="majorEastAsia" w:eastAsiaTheme="majorEastAsia"/>
          <w:b/>
          <w:kern w:val="0"/>
          <w:sz w:val="44"/>
          <w:szCs w:val="44"/>
        </w:rPr>
      </w:pPr>
      <w:r>
        <w:rPr>
          <w:rFonts w:hint="eastAsia" w:asciiTheme="majorEastAsia" w:hAnsiTheme="majorEastAsia" w:eastAsiaTheme="majorEastAsia"/>
          <w:b/>
          <w:kern w:val="0"/>
          <w:sz w:val="44"/>
          <w:szCs w:val="44"/>
        </w:rPr>
        <w:t>昆明市盘龙区政务服务管理局</w:t>
      </w:r>
    </w:p>
    <w:p>
      <w:pPr>
        <w:widowControl/>
        <w:spacing w:line="700" w:lineRule="exact"/>
        <w:jc w:val="center"/>
        <w:rPr>
          <w:rFonts w:asciiTheme="majorEastAsia" w:hAnsiTheme="majorEastAsia" w:eastAsiaTheme="majorEastAsia"/>
          <w:b/>
          <w:kern w:val="0"/>
          <w:sz w:val="44"/>
          <w:szCs w:val="44"/>
        </w:rPr>
      </w:pPr>
      <w:r>
        <w:rPr>
          <w:rFonts w:hint="eastAsia" w:asciiTheme="majorEastAsia" w:hAnsiTheme="majorEastAsia" w:eastAsiaTheme="majorEastAsia"/>
          <w:b/>
          <w:kern w:val="0"/>
          <w:sz w:val="44"/>
          <w:szCs w:val="44"/>
          <w:lang w:eastAsia="zh-CN"/>
        </w:rPr>
        <w:t>2026</w:t>
      </w:r>
      <w:r>
        <w:rPr>
          <w:rFonts w:hint="eastAsia" w:asciiTheme="majorEastAsia" w:hAnsiTheme="majorEastAsia" w:eastAsiaTheme="majorEastAsia"/>
          <w:b/>
          <w:kern w:val="0"/>
          <w:sz w:val="44"/>
          <w:szCs w:val="44"/>
        </w:rPr>
        <w:t>年“三公”经费支出预算编制说明</w:t>
      </w:r>
    </w:p>
    <w:p>
      <w:pPr>
        <w:widowControl/>
        <w:spacing w:line="700" w:lineRule="exact"/>
        <w:jc w:val="left"/>
        <w:rPr>
          <w:rFonts w:ascii="仿宋_GB2312" w:hAnsi="黑体" w:eastAsia="仿宋_GB2312"/>
          <w:kern w:val="0"/>
          <w:sz w:val="32"/>
          <w:szCs w:val="32"/>
        </w:rPr>
      </w:pPr>
    </w:p>
    <w:p>
      <w:pPr>
        <w:pStyle w:val="14"/>
        <w:numPr>
          <w:ilvl w:val="0"/>
          <w:numId w:val="0"/>
        </w:numPr>
        <w:pBdr>
          <w:bottom w:val="single" w:color="FFFFFF" w:sz="4" w:space="31"/>
        </w:pBdr>
        <w:autoSpaceDE w:val="0"/>
        <w:adjustRightInd w:val="0"/>
        <w:snapToGrid w:val="0"/>
        <w:spacing w:line="540" w:lineRule="exact"/>
        <w:ind w:firstLine="640" w:firstLineChars="200"/>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昆明市盘龙区政务服务管理局</w:t>
      </w:r>
      <w:r>
        <w:rPr>
          <w:rFonts w:hint="eastAsia" w:ascii="Times New Roman" w:hAnsi="Times New Roman" w:eastAsia="仿宋_GB2312" w:cs="Times New Roman"/>
          <w:kern w:val="0"/>
          <w:sz w:val="32"/>
          <w:szCs w:val="32"/>
          <w:lang w:val="en-US" w:eastAsia="zh-CN"/>
        </w:rPr>
        <w:t>2026</w:t>
      </w:r>
      <w:r>
        <w:rPr>
          <w:rFonts w:hint="default" w:ascii="Times New Roman" w:hAnsi="Times New Roman" w:eastAsia="仿宋_GB2312" w:cs="Times New Roman"/>
          <w:kern w:val="0"/>
          <w:sz w:val="32"/>
          <w:szCs w:val="32"/>
          <w:lang w:eastAsia="zh-CN"/>
        </w:rPr>
        <w:t>年一般公共预算财政拨款“三公”经费预算合计</w:t>
      </w:r>
      <w:r>
        <w:rPr>
          <w:rFonts w:hint="default" w:ascii="Times New Roman" w:hAnsi="Times New Roman" w:eastAsia="仿宋_GB2312" w:cs="Times New Roman"/>
          <w:kern w:val="0"/>
          <w:sz w:val="32"/>
          <w:szCs w:val="32"/>
          <w:lang w:val="en-US" w:eastAsia="zh-CN"/>
        </w:rPr>
        <w:t>20000</w:t>
      </w:r>
      <w:r>
        <w:rPr>
          <w:rFonts w:hint="default" w:ascii="Times New Roman" w:hAnsi="Times New Roman" w:eastAsia="仿宋_GB2312" w:cs="Times New Roman"/>
          <w:kern w:val="0"/>
          <w:sz w:val="32"/>
          <w:szCs w:val="32"/>
          <w:lang w:eastAsia="zh-CN"/>
        </w:rPr>
        <w:t>元，较上年增加</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lang w:eastAsia="zh-CN"/>
        </w:rPr>
        <w:t>元，增长</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lang w:eastAsia="zh-CN"/>
        </w:rPr>
        <w:t>%，具体变动情况如下：</w:t>
      </w:r>
    </w:p>
    <w:p>
      <w:pPr>
        <w:pStyle w:val="14"/>
        <w:numPr>
          <w:ilvl w:val="0"/>
          <w:numId w:val="0"/>
        </w:numPr>
        <w:pBdr>
          <w:bottom w:val="single" w:color="FFFFFF" w:sz="4" w:space="31"/>
        </w:pBdr>
        <w:autoSpaceDE w:val="0"/>
        <w:adjustRightInd w:val="0"/>
        <w:snapToGrid w:val="0"/>
        <w:spacing w:line="540" w:lineRule="exact"/>
        <w:ind w:firstLine="640" w:firstLineChars="200"/>
        <w:rPr>
          <w:rFonts w:hint="eastAsia" w:ascii="黑体" w:hAnsi="黑体" w:eastAsia="黑体" w:cs="黑体"/>
          <w:kern w:val="0"/>
          <w:sz w:val="32"/>
          <w:szCs w:val="32"/>
          <w:lang w:eastAsia="zh-CN"/>
        </w:rPr>
      </w:pPr>
      <w:r>
        <w:rPr>
          <w:rFonts w:hint="eastAsia" w:ascii="黑体" w:hAnsi="黑体" w:eastAsia="黑体" w:cs="黑体"/>
          <w:kern w:val="0"/>
          <w:sz w:val="32"/>
          <w:szCs w:val="32"/>
          <w:lang w:eastAsia="zh-CN"/>
        </w:rPr>
        <w:t>一、因公出国（境）费</w:t>
      </w:r>
    </w:p>
    <w:p>
      <w:pPr>
        <w:pStyle w:val="14"/>
        <w:numPr>
          <w:ilvl w:val="0"/>
          <w:numId w:val="0"/>
        </w:numPr>
        <w:pBdr>
          <w:bottom w:val="single" w:color="FFFFFF" w:sz="4" w:space="31"/>
        </w:pBdr>
        <w:autoSpaceDE w:val="0"/>
        <w:adjustRightInd w:val="0"/>
        <w:snapToGrid w:val="0"/>
        <w:spacing w:line="540" w:lineRule="exact"/>
        <w:ind w:firstLine="640" w:firstLineChars="200"/>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昆明市盘龙区政务服务管理局</w:t>
      </w:r>
      <w:r>
        <w:rPr>
          <w:rFonts w:hint="eastAsia" w:ascii="Times New Roman" w:hAnsi="Times New Roman" w:eastAsia="仿宋_GB2312" w:cs="Times New Roman"/>
          <w:kern w:val="0"/>
          <w:sz w:val="32"/>
          <w:szCs w:val="32"/>
          <w:lang w:val="en-US" w:eastAsia="zh-CN"/>
        </w:rPr>
        <w:t>2026</w:t>
      </w:r>
      <w:r>
        <w:rPr>
          <w:rFonts w:hint="default" w:ascii="Times New Roman" w:hAnsi="Times New Roman" w:eastAsia="仿宋_GB2312" w:cs="Times New Roman"/>
          <w:kern w:val="0"/>
          <w:sz w:val="32"/>
          <w:szCs w:val="32"/>
          <w:lang w:eastAsia="zh-CN"/>
        </w:rPr>
        <w:t>年因公出国（境）费预算为</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lang w:eastAsia="zh-CN"/>
        </w:rPr>
        <w:t>元，较上年增加</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lang w:eastAsia="zh-CN"/>
        </w:rPr>
        <w:t>元，增长</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lang w:eastAsia="zh-CN"/>
        </w:rPr>
        <w:t>%，共计安排因公出国（境）团组</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lang w:eastAsia="zh-CN"/>
        </w:rPr>
        <w:t>个，因公出国（境）</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lang w:eastAsia="zh-CN"/>
        </w:rPr>
        <w:t>人次。</w:t>
      </w:r>
    </w:p>
    <w:p>
      <w:pPr>
        <w:pStyle w:val="14"/>
        <w:numPr>
          <w:ilvl w:val="0"/>
          <w:numId w:val="0"/>
        </w:numPr>
        <w:pBdr>
          <w:bottom w:val="single" w:color="FFFFFF" w:sz="4" w:space="31"/>
        </w:pBdr>
        <w:autoSpaceDE w:val="0"/>
        <w:adjustRightInd w:val="0"/>
        <w:snapToGrid w:val="0"/>
        <w:spacing w:line="540" w:lineRule="exact"/>
        <w:ind w:firstLine="640" w:firstLineChars="200"/>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昆明市盘龙区政务服务管理局因公出国（境）费与上年对比无变化，主要原因分析：没有安排因公出国（境）人员，无此项支出。</w:t>
      </w:r>
    </w:p>
    <w:p>
      <w:pPr>
        <w:pStyle w:val="14"/>
        <w:numPr>
          <w:ilvl w:val="0"/>
          <w:numId w:val="0"/>
        </w:numPr>
        <w:pBdr>
          <w:bottom w:val="single" w:color="FFFFFF" w:sz="4" w:space="31"/>
        </w:pBdr>
        <w:autoSpaceDE w:val="0"/>
        <w:adjustRightInd w:val="0"/>
        <w:snapToGrid w:val="0"/>
        <w:spacing w:line="540" w:lineRule="exact"/>
        <w:ind w:firstLine="640" w:firstLineChars="200"/>
        <w:rPr>
          <w:rFonts w:hint="eastAsia" w:ascii="黑体" w:hAnsi="黑体" w:eastAsia="黑体" w:cs="黑体"/>
          <w:kern w:val="0"/>
          <w:sz w:val="32"/>
          <w:szCs w:val="32"/>
          <w:lang w:eastAsia="zh-CN"/>
        </w:rPr>
      </w:pPr>
      <w:r>
        <w:rPr>
          <w:rFonts w:hint="eastAsia" w:ascii="黑体" w:hAnsi="黑体" w:eastAsia="黑体" w:cs="黑体"/>
          <w:kern w:val="0"/>
          <w:sz w:val="32"/>
          <w:szCs w:val="32"/>
          <w:lang w:eastAsia="zh-CN"/>
        </w:rPr>
        <w:t>二、公务接待费</w:t>
      </w:r>
    </w:p>
    <w:p>
      <w:pPr>
        <w:pStyle w:val="14"/>
        <w:keepNext w:val="0"/>
        <w:keepLines w:val="0"/>
        <w:pageBreakBefore w:val="0"/>
        <w:numPr>
          <w:ilvl w:val="0"/>
          <w:numId w:val="0"/>
        </w:numPr>
        <w:pBdr>
          <w:bottom w:val="single" w:color="FFFFFF" w:sz="4" w:space="31"/>
        </w:pBdr>
        <w:kinsoku/>
        <w:wordWrap/>
        <w:overflowPunct/>
        <w:topLinePunct w:val="0"/>
        <w:autoSpaceDE w:val="0"/>
        <w:autoSpaceDN/>
        <w:bidi w:val="0"/>
        <w:adjustRightInd w:val="0"/>
        <w:snapToGrid w:val="0"/>
        <w:spacing w:line="54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昆明市盘龙区政务服务管理局2026年</w:t>
      </w:r>
      <w:r>
        <w:rPr>
          <w:rFonts w:hint="default" w:ascii="Times New Roman" w:hAnsi="Times New Roman" w:eastAsia="仿宋_GB2312" w:cs="Times New Roman"/>
          <w:kern w:val="0"/>
          <w:sz w:val="32"/>
          <w:szCs w:val="32"/>
        </w:rPr>
        <w:t>公务接待费预算为</w:t>
      </w:r>
      <w:r>
        <w:rPr>
          <w:rFonts w:hint="default" w:ascii="Times New Roman" w:hAnsi="Times New Roman" w:eastAsia="仿宋_GB2312" w:cs="Times New Roman"/>
          <w:kern w:val="0"/>
          <w:sz w:val="32"/>
          <w:szCs w:val="32"/>
          <w:lang w:val="en-US" w:eastAsia="zh-CN"/>
        </w:rPr>
        <w:t>20000</w:t>
      </w:r>
      <w:r>
        <w:rPr>
          <w:rFonts w:hint="default" w:ascii="Times New Roman" w:hAnsi="Times New Roman" w:eastAsia="仿宋_GB2312" w:cs="Times New Roman"/>
          <w:kern w:val="0"/>
          <w:sz w:val="32"/>
          <w:szCs w:val="32"/>
          <w:lang w:eastAsia="zh-CN"/>
        </w:rPr>
        <w:t>元</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较上年对比增加</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lang w:eastAsia="zh-CN"/>
        </w:rPr>
        <w:t>元</w:t>
      </w:r>
      <w:r>
        <w:rPr>
          <w:rFonts w:hint="default" w:ascii="Times New Roman" w:hAnsi="Times New Roman" w:eastAsia="仿宋_GB2312" w:cs="Times New Roman"/>
          <w:kern w:val="0"/>
          <w:sz w:val="32"/>
          <w:szCs w:val="32"/>
        </w:rPr>
        <w:t>，增长</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预计国内公务接待批次为</w:t>
      </w:r>
      <w:r>
        <w:rPr>
          <w:rFonts w:hint="eastAsia" w:ascii="Times New Roman" w:hAnsi="Times New Roman" w:eastAsia="仿宋_GB2312" w:cs="Times New Roman"/>
          <w:kern w:val="0"/>
          <w:sz w:val="32"/>
          <w:szCs w:val="32"/>
          <w:lang w:val="en-US" w:eastAsia="zh-CN"/>
        </w:rPr>
        <w:t>10批次，共计接待200人次。</w:t>
      </w:r>
    </w:p>
    <w:p>
      <w:pPr>
        <w:pStyle w:val="14"/>
        <w:keepNext w:val="0"/>
        <w:keepLines w:val="0"/>
        <w:pageBreakBefore w:val="0"/>
        <w:numPr>
          <w:ilvl w:val="0"/>
          <w:numId w:val="0"/>
        </w:numPr>
        <w:pBdr>
          <w:bottom w:val="single" w:color="FFFFFF" w:sz="4" w:space="31"/>
        </w:pBdr>
        <w:kinsoku/>
        <w:wordWrap/>
        <w:overflowPunct/>
        <w:topLinePunct w:val="0"/>
        <w:autoSpaceDE w:val="0"/>
        <w:autoSpaceDN/>
        <w:bidi w:val="0"/>
        <w:adjustRightInd w:val="0"/>
        <w:snapToGrid w:val="0"/>
        <w:spacing w:line="540" w:lineRule="exact"/>
        <w:ind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昆明市盘龙区政务服务管理局</w:t>
      </w:r>
      <w:r>
        <w:rPr>
          <w:rFonts w:hint="default" w:ascii="Times New Roman" w:hAnsi="Times New Roman" w:eastAsia="仿宋_GB2312" w:cs="Times New Roman"/>
          <w:kern w:val="0"/>
          <w:sz w:val="32"/>
          <w:szCs w:val="32"/>
          <w:lang w:eastAsia="zh-CN"/>
        </w:rPr>
        <w:t>公务接待费与上年对比无变化，主要原因分析：</w:t>
      </w:r>
      <w:r>
        <w:rPr>
          <w:rFonts w:hint="default" w:ascii="Times New Roman" w:hAnsi="Times New Roman" w:eastAsia="仿宋_GB2312" w:cs="Times New Roman"/>
          <w:kern w:val="0"/>
          <w:sz w:val="32"/>
          <w:szCs w:val="32"/>
          <w:lang w:val="en-US" w:eastAsia="zh-CN"/>
        </w:rPr>
        <w:t>2025年</w:t>
      </w:r>
      <w:r>
        <w:rPr>
          <w:rFonts w:hint="default" w:ascii="Times New Roman" w:hAnsi="Times New Roman" w:eastAsia="仿宋_GB2312" w:cs="Times New Roman"/>
          <w:kern w:val="0"/>
          <w:sz w:val="32"/>
          <w:szCs w:val="32"/>
          <w:lang w:eastAsia="zh-CN"/>
        </w:rPr>
        <w:t>公务接待批次、人次</w:t>
      </w:r>
      <w:bookmarkStart w:id="0" w:name="_GoBack"/>
      <w:bookmarkEnd w:id="0"/>
      <w:r>
        <w:rPr>
          <w:rFonts w:hint="default" w:ascii="Times New Roman" w:hAnsi="Times New Roman" w:eastAsia="仿宋_GB2312" w:cs="Times New Roman"/>
          <w:kern w:val="0"/>
          <w:sz w:val="32"/>
          <w:szCs w:val="32"/>
          <w:lang w:eastAsia="zh-CN"/>
        </w:rPr>
        <w:t>为</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lang w:eastAsia="zh-CN"/>
        </w:rPr>
        <w:t>，无此项支出；</w:t>
      </w:r>
      <w:r>
        <w:rPr>
          <w:rFonts w:hint="default" w:ascii="Times New Roman" w:hAnsi="Times New Roman" w:eastAsia="仿宋_GB2312" w:cs="Times New Roman"/>
          <w:kern w:val="0"/>
          <w:sz w:val="32"/>
          <w:szCs w:val="32"/>
          <w:lang w:val="en-US" w:eastAsia="zh-CN"/>
        </w:rPr>
        <w:t>2026年公务接待预算未发生变化。</w:t>
      </w:r>
    </w:p>
    <w:p>
      <w:pPr>
        <w:pStyle w:val="14"/>
        <w:numPr>
          <w:ilvl w:val="0"/>
          <w:numId w:val="0"/>
        </w:numPr>
        <w:pBdr>
          <w:bottom w:val="single" w:color="FFFFFF" w:sz="4" w:space="31"/>
        </w:pBdr>
        <w:autoSpaceDE w:val="0"/>
        <w:adjustRightInd w:val="0"/>
        <w:snapToGrid w:val="0"/>
        <w:spacing w:line="540" w:lineRule="exact"/>
        <w:ind w:firstLine="640" w:firstLineChars="200"/>
        <w:rPr>
          <w:rFonts w:hint="eastAsia" w:ascii="黑体" w:hAnsi="黑体" w:eastAsia="黑体" w:cs="黑体"/>
          <w:kern w:val="0"/>
          <w:sz w:val="32"/>
          <w:szCs w:val="32"/>
          <w:lang w:eastAsia="zh-CN"/>
        </w:rPr>
      </w:pPr>
      <w:r>
        <w:rPr>
          <w:rFonts w:hint="eastAsia" w:ascii="黑体" w:hAnsi="黑体" w:eastAsia="黑体" w:cs="黑体"/>
          <w:kern w:val="0"/>
          <w:sz w:val="32"/>
          <w:szCs w:val="32"/>
          <w:lang w:eastAsia="zh-CN"/>
        </w:rPr>
        <w:t>三、公务用车购置及运行维护费</w:t>
      </w:r>
    </w:p>
    <w:p>
      <w:pPr>
        <w:pStyle w:val="14"/>
        <w:numPr>
          <w:ilvl w:val="0"/>
          <w:numId w:val="0"/>
        </w:numPr>
        <w:pBdr>
          <w:bottom w:val="single" w:color="FFFFFF" w:sz="4" w:space="31"/>
        </w:pBdr>
        <w:autoSpaceDE w:val="0"/>
        <w:adjustRightInd w:val="0"/>
        <w:snapToGrid w:val="0"/>
        <w:spacing w:line="540" w:lineRule="exact"/>
        <w:ind w:firstLine="640" w:firstLineChars="200"/>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昆明市盘龙区政务服务管理局</w:t>
      </w:r>
      <w:r>
        <w:rPr>
          <w:rFonts w:hint="eastAsia" w:ascii="Times New Roman" w:hAnsi="Times New Roman" w:eastAsia="仿宋_GB2312" w:cs="Times New Roman"/>
          <w:kern w:val="0"/>
          <w:sz w:val="32"/>
          <w:szCs w:val="32"/>
          <w:lang w:val="en-US" w:eastAsia="zh-CN"/>
        </w:rPr>
        <w:t>2026</w:t>
      </w:r>
      <w:r>
        <w:rPr>
          <w:rFonts w:hint="default" w:ascii="Times New Roman" w:hAnsi="Times New Roman" w:eastAsia="仿宋_GB2312" w:cs="Times New Roman"/>
          <w:kern w:val="0"/>
          <w:sz w:val="32"/>
          <w:szCs w:val="32"/>
          <w:lang w:eastAsia="zh-CN"/>
        </w:rPr>
        <w:t>年公务用车购置及运行维护费为</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lang w:eastAsia="zh-CN"/>
        </w:rPr>
        <w:t>元，较上年增加</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lang w:eastAsia="zh-CN"/>
        </w:rPr>
        <w:t>元，增长</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lang w:eastAsia="zh-CN"/>
        </w:rPr>
        <w:t>%。其中：公务用车购置费</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lang w:eastAsia="zh-CN"/>
        </w:rPr>
        <w:t>元，较上年增加</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lang w:eastAsia="zh-CN"/>
        </w:rPr>
        <w:t>元，增长</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lang w:eastAsia="zh-CN"/>
        </w:rPr>
        <w:t>%；公务用车运行维护费</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lang w:eastAsia="zh-CN"/>
        </w:rPr>
        <w:t>元，较上年增加</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lang w:eastAsia="zh-CN"/>
        </w:rPr>
        <w:t>元，增长</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lang w:eastAsia="zh-CN"/>
        </w:rPr>
        <w:t>%。共计购置公务用车</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lang w:eastAsia="zh-CN"/>
        </w:rPr>
        <w:t>辆，年末公务用车保有量为</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lang w:eastAsia="zh-CN"/>
        </w:rPr>
        <w:t>辆。</w:t>
      </w:r>
    </w:p>
    <w:p>
      <w:pPr>
        <w:pStyle w:val="14"/>
        <w:numPr>
          <w:ilvl w:val="0"/>
          <w:numId w:val="0"/>
        </w:numPr>
        <w:pBdr>
          <w:bottom w:val="single" w:color="FFFFFF" w:sz="4" w:space="31"/>
        </w:pBdr>
        <w:autoSpaceDE w:val="0"/>
        <w:adjustRightInd w:val="0"/>
        <w:snapToGrid w:val="0"/>
        <w:spacing w:line="540" w:lineRule="exact"/>
        <w:ind w:firstLine="640" w:firstLineChars="200"/>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昆明市盘龙区政务服务管理局公务用车购置及运行维护费与上年对比无变化，主要原因分析：没有公务用车购置及运行维护，无此项支出。</w:t>
      </w:r>
    </w:p>
    <w:p>
      <w:pPr>
        <w:widowControl/>
        <w:spacing w:line="500" w:lineRule="exact"/>
        <w:ind w:firstLine="600" w:firstLineChars="200"/>
        <w:jc w:val="left"/>
        <w:rPr>
          <w:rFonts w:ascii="仿宋" w:hAnsi="仿宋" w:eastAsia="仿宋"/>
          <w:kern w:val="0"/>
          <w:sz w:val="30"/>
          <w:szCs w:val="30"/>
        </w:rPr>
      </w:pPr>
    </w:p>
    <w:p>
      <w:pPr>
        <w:widowControl/>
        <w:spacing w:line="500" w:lineRule="exact"/>
        <w:ind w:firstLine="600" w:firstLineChars="200"/>
        <w:jc w:val="left"/>
        <w:rPr>
          <w:rFonts w:ascii="仿宋" w:hAnsi="仿宋" w:eastAsia="仿宋"/>
          <w:kern w:val="0"/>
          <w:sz w:val="30"/>
          <w:szCs w:val="30"/>
        </w:rPr>
      </w:pPr>
    </w:p>
    <w:p>
      <w:pPr>
        <w:widowControl/>
        <w:spacing w:line="500" w:lineRule="exact"/>
        <w:ind w:firstLine="600" w:firstLineChars="200"/>
        <w:jc w:val="left"/>
        <w:rPr>
          <w:rFonts w:ascii="仿宋" w:hAnsi="仿宋" w:eastAsia="仿宋"/>
          <w:kern w:val="0"/>
          <w:sz w:val="30"/>
          <w:szCs w:val="30"/>
        </w:rPr>
      </w:pPr>
    </w:p>
    <w:p>
      <w:pPr>
        <w:widowControl/>
        <w:spacing w:line="500" w:lineRule="exact"/>
        <w:ind w:firstLine="4950" w:firstLineChars="1650"/>
        <w:jc w:val="left"/>
        <w:rPr>
          <w:rFonts w:ascii="仿宋" w:hAnsi="仿宋" w:eastAsia="仿宋"/>
          <w:kern w:val="0"/>
          <w:sz w:val="30"/>
          <w:szCs w:val="30"/>
        </w:rPr>
      </w:pPr>
      <w:r>
        <w:rPr>
          <w:rFonts w:hint="eastAsia" w:ascii="仿宋" w:hAnsi="仿宋" w:eastAsia="仿宋"/>
          <w:kern w:val="0"/>
          <w:sz w:val="30"/>
          <w:szCs w:val="30"/>
        </w:rPr>
        <w:t>昆明市盘龙区政务服务管理局</w:t>
      </w:r>
    </w:p>
    <w:p>
      <w:pPr>
        <w:widowControl/>
        <w:spacing w:line="500" w:lineRule="exact"/>
        <w:ind w:firstLine="5850" w:firstLineChars="1950"/>
        <w:jc w:val="left"/>
        <w:rPr>
          <w:rFonts w:ascii="仿宋" w:hAnsi="仿宋" w:eastAsia="仿宋"/>
          <w:kern w:val="0"/>
          <w:sz w:val="30"/>
          <w:szCs w:val="30"/>
        </w:rPr>
      </w:pPr>
      <w:r>
        <w:rPr>
          <w:rFonts w:hint="eastAsia" w:ascii="仿宋" w:hAnsi="仿宋" w:eastAsia="仿宋"/>
          <w:kern w:val="0"/>
          <w:sz w:val="30"/>
          <w:szCs w:val="30"/>
          <w:lang w:eastAsia="zh-CN"/>
        </w:rPr>
        <w:t>2026</w:t>
      </w:r>
      <w:r>
        <w:rPr>
          <w:rFonts w:ascii="仿宋" w:hAnsi="仿宋" w:eastAsia="仿宋"/>
          <w:kern w:val="0"/>
          <w:sz w:val="30"/>
          <w:szCs w:val="30"/>
        </w:rPr>
        <w:t>年</w:t>
      </w:r>
      <w:r>
        <w:rPr>
          <w:rFonts w:hint="eastAsia" w:ascii="仿宋" w:hAnsi="仿宋" w:eastAsia="仿宋"/>
          <w:kern w:val="0"/>
          <w:sz w:val="30"/>
          <w:szCs w:val="30"/>
        </w:rPr>
        <w:t>3</w:t>
      </w:r>
      <w:r>
        <w:rPr>
          <w:rFonts w:ascii="仿宋" w:hAnsi="仿宋" w:eastAsia="仿宋"/>
          <w:kern w:val="0"/>
          <w:sz w:val="30"/>
          <w:szCs w:val="30"/>
        </w:rPr>
        <w:t>月</w:t>
      </w:r>
      <w:r>
        <w:rPr>
          <w:rFonts w:hint="eastAsia" w:ascii="仿宋" w:hAnsi="仿宋" w:eastAsia="仿宋"/>
          <w:kern w:val="0"/>
          <w:sz w:val="30"/>
          <w:szCs w:val="30"/>
          <w:lang w:val="en-US" w:eastAsia="zh-CN"/>
        </w:rPr>
        <w:t>6</w:t>
      </w:r>
      <w:r>
        <w:rPr>
          <w:rFonts w:ascii="仿宋" w:hAnsi="仿宋" w:eastAsia="仿宋"/>
          <w:kern w:val="0"/>
          <w:sz w:val="30"/>
          <w:szCs w:val="30"/>
        </w:rPr>
        <w:t>日</w:t>
      </w:r>
    </w:p>
    <w:sectPr>
      <w:headerReference r:id="rId3" w:type="default"/>
      <w:footerReference r:id="rId5" w:type="default"/>
      <w:headerReference r:id="rId4" w:type="even"/>
      <w:pgSz w:w="11906" w:h="16838"/>
      <w:pgMar w:top="1588" w:right="1274" w:bottom="158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975641"/>
      <w:docPartObj>
        <w:docPartGallery w:val="autotext"/>
      </w:docPartObj>
    </w:sdtPr>
    <w:sdtContent>
      <w:p>
        <w:pPr>
          <w:pStyle w:val="3"/>
          <w:numPr>
            <w:ilvl w:val="0"/>
            <w:numId w:val="1"/>
          </w:numPr>
          <w:jc w:val="right"/>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6E3C7C"/>
    <w:multiLevelType w:val="multilevel"/>
    <w:tmpl w:val="496E3C7C"/>
    <w:lvl w:ilvl="0" w:tentative="0">
      <w:start w:val="2"/>
      <w:numFmt w:val="bullet"/>
      <w:lvlText w:val="—"/>
      <w:lvlJc w:val="left"/>
      <w:pPr>
        <w:ind w:left="360" w:hanging="360"/>
      </w:pPr>
      <w:rPr>
        <w:rFonts w:hint="eastAsia" w:ascii="宋体" w:hAnsi="宋体" w:eastAsia="宋体" w:cs="Times New Roman"/>
        <w:sz w:val="2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94354"/>
    <w:rsid w:val="00004C0B"/>
    <w:rsid w:val="00006C6C"/>
    <w:rsid w:val="00054C40"/>
    <w:rsid w:val="00080015"/>
    <w:rsid w:val="0009452B"/>
    <w:rsid w:val="0009453C"/>
    <w:rsid w:val="00097272"/>
    <w:rsid w:val="000A045C"/>
    <w:rsid w:val="000B3311"/>
    <w:rsid w:val="001147A7"/>
    <w:rsid w:val="001467CD"/>
    <w:rsid w:val="00146FCF"/>
    <w:rsid w:val="00181873"/>
    <w:rsid w:val="001834DF"/>
    <w:rsid w:val="001B6046"/>
    <w:rsid w:val="001D0B1C"/>
    <w:rsid w:val="001D2EAB"/>
    <w:rsid w:val="001D361C"/>
    <w:rsid w:val="001F6C8A"/>
    <w:rsid w:val="00213370"/>
    <w:rsid w:val="0022092C"/>
    <w:rsid w:val="00223C8A"/>
    <w:rsid w:val="00295538"/>
    <w:rsid w:val="00301819"/>
    <w:rsid w:val="00344965"/>
    <w:rsid w:val="003C3381"/>
    <w:rsid w:val="003D0A9F"/>
    <w:rsid w:val="003F084C"/>
    <w:rsid w:val="00401DC2"/>
    <w:rsid w:val="004548F6"/>
    <w:rsid w:val="00456CDD"/>
    <w:rsid w:val="00461468"/>
    <w:rsid w:val="004661B2"/>
    <w:rsid w:val="00481663"/>
    <w:rsid w:val="004E74EA"/>
    <w:rsid w:val="005308C1"/>
    <w:rsid w:val="005350A6"/>
    <w:rsid w:val="00547041"/>
    <w:rsid w:val="00547E75"/>
    <w:rsid w:val="00550AFE"/>
    <w:rsid w:val="00581EB1"/>
    <w:rsid w:val="005916A7"/>
    <w:rsid w:val="005B62E6"/>
    <w:rsid w:val="005D1C37"/>
    <w:rsid w:val="005D37A4"/>
    <w:rsid w:val="005E630B"/>
    <w:rsid w:val="00610306"/>
    <w:rsid w:val="00617DC7"/>
    <w:rsid w:val="00622A89"/>
    <w:rsid w:val="00637AE3"/>
    <w:rsid w:val="0070216D"/>
    <w:rsid w:val="00716B72"/>
    <w:rsid w:val="007173D3"/>
    <w:rsid w:val="00724B4C"/>
    <w:rsid w:val="00745879"/>
    <w:rsid w:val="00763A11"/>
    <w:rsid w:val="00783FFE"/>
    <w:rsid w:val="00794354"/>
    <w:rsid w:val="007A5D71"/>
    <w:rsid w:val="007C37CF"/>
    <w:rsid w:val="007D130F"/>
    <w:rsid w:val="007E0991"/>
    <w:rsid w:val="007F5F30"/>
    <w:rsid w:val="00824DF4"/>
    <w:rsid w:val="00835131"/>
    <w:rsid w:val="00876408"/>
    <w:rsid w:val="00892078"/>
    <w:rsid w:val="0089786B"/>
    <w:rsid w:val="008B456B"/>
    <w:rsid w:val="008C671F"/>
    <w:rsid w:val="008C77E3"/>
    <w:rsid w:val="008D36E4"/>
    <w:rsid w:val="008D3BE9"/>
    <w:rsid w:val="00960924"/>
    <w:rsid w:val="0096282A"/>
    <w:rsid w:val="0096752A"/>
    <w:rsid w:val="0099126A"/>
    <w:rsid w:val="009B34F8"/>
    <w:rsid w:val="00A13EBA"/>
    <w:rsid w:val="00A17B08"/>
    <w:rsid w:val="00A27B26"/>
    <w:rsid w:val="00A3474E"/>
    <w:rsid w:val="00A5101F"/>
    <w:rsid w:val="00A631D0"/>
    <w:rsid w:val="00A77721"/>
    <w:rsid w:val="00AA04D1"/>
    <w:rsid w:val="00AA0945"/>
    <w:rsid w:val="00AA4ABE"/>
    <w:rsid w:val="00AB5FF5"/>
    <w:rsid w:val="00AC153B"/>
    <w:rsid w:val="00AE5726"/>
    <w:rsid w:val="00AF51D6"/>
    <w:rsid w:val="00B25E49"/>
    <w:rsid w:val="00B2604E"/>
    <w:rsid w:val="00B34462"/>
    <w:rsid w:val="00B740DD"/>
    <w:rsid w:val="00B87BC1"/>
    <w:rsid w:val="00B96AD4"/>
    <w:rsid w:val="00BA30E3"/>
    <w:rsid w:val="00BB0895"/>
    <w:rsid w:val="00BC3DD1"/>
    <w:rsid w:val="00BE7EF7"/>
    <w:rsid w:val="00C50220"/>
    <w:rsid w:val="00C503D2"/>
    <w:rsid w:val="00C71B34"/>
    <w:rsid w:val="00C90F5B"/>
    <w:rsid w:val="00C9748C"/>
    <w:rsid w:val="00CC1A90"/>
    <w:rsid w:val="00CD21D0"/>
    <w:rsid w:val="00CE195D"/>
    <w:rsid w:val="00D07122"/>
    <w:rsid w:val="00D4443D"/>
    <w:rsid w:val="00D53158"/>
    <w:rsid w:val="00D74408"/>
    <w:rsid w:val="00DB2512"/>
    <w:rsid w:val="00DD7CF9"/>
    <w:rsid w:val="00DE7BCF"/>
    <w:rsid w:val="00E16145"/>
    <w:rsid w:val="00E36ED1"/>
    <w:rsid w:val="00E61107"/>
    <w:rsid w:val="00E854FA"/>
    <w:rsid w:val="00E93F16"/>
    <w:rsid w:val="00E97854"/>
    <w:rsid w:val="00EA17E1"/>
    <w:rsid w:val="00EB1A06"/>
    <w:rsid w:val="00EE5F26"/>
    <w:rsid w:val="00EF2EAF"/>
    <w:rsid w:val="00F03F13"/>
    <w:rsid w:val="00F26D86"/>
    <w:rsid w:val="00F32E46"/>
    <w:rsid w:val="00F62015"/>
    <w:rsid w:val="00F77727"/>
    <w:rsid w:val="00F77CAA"/>
    <w:rsid w:val="00FA5313"/>
    <w:rsid w:val="00FC5AA5"/>
    <w:rsid w:val="00FC6BA5"/>
    <w:rsid w:val="00FD4355"/>
    <w:rsid w:val="08BA1D62"/>
    <w:rsid w:val="0D6F58E8"/>
    <w:rsid w:val="1F435EE2"/>
    <w:rsid w:val="68973FF9"/>
    <w:rsid w:val="6A982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paragraph" w:customStyle="1" w:styleId="12">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3">
    <w:name w:val="0"/>
    <w:basedOn w:val="1"/>
    <w:qFormat/>
    <w:uiPriority w:val="0"/>
    <w:pPr>
      <w:widowControl/>
      <w:snapToGrid w:val="0"/>
    </w:pPr>
    <w:rPr>
      <w:kern w:val="0"/>
      <w:szCs w:val="21"/>
    </w:rPr>
  </w:style>
  <w:style w:type="paragraph" w:customStyle="1" w:styleId="14">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47D22-7D10-4530-BB13-142BCB1F338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74</Words>
  <Characters>426</Characters>
  <Lines>3</Lines>
  <Paragraphs>1</Paragraphs>
  <TotalTime>0</TotalTime>
  <ScaleCrop>false</ScaleCrop>
  <LinksUpToDate>false</LinksUpToDate>
  <CharactersWithSpaces>499</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2019-03-29T07:34:00Z</dcterms:created>
  <dc:creator>周强</dc:creator>
  <cp:lastModifiedBy>Administrator</cp:lastModifiedBy>
  <cp:lastPrinted>2026-03-06T02:13:00Z</cp:lastPrinted>
  <dcterms:modified xsi:type="dcterms:W3CDTF">2026-03-31T08:53:35Z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AA16C3FDC0AF4346931FF6D19F18AA05</vt:lpwstr>
  </property>
</Properties>
</file>