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FC12A">
      <w:pPr>
        <w:ind w:firstLine="0" w:firstLineChars="0"/>
        <w:rPr>
          <w:rFonts w:ascii="黑体" w:hAnsi="黑体" w:eastAsia="黑体" w:cs="黑体"/>
          <w:b/>
          <w:bCs/>
          <w:sz w:val="52"/>
          <w:szCs w:val="52"/>
        </w:rPr>
      </w:pPr>
      <w:bookmarkStart w:id="0" w:name="_Toc27048"/>
    </w:p>
    <w:p w14:paraId="7D67F372">
      <w:pPr>
        <w:ind w:firstLine="0" w:firstLineChars="0"/>
        <w:jc w:val="center"/>
        <w:rPr>
          <w:rFonts w:ascii="黑体" w:hAnsi="黑体" w:eastAsia="黑体" w:cs="黑体"/>
          <w:b/>
          <w:bCs/>
          <w:sz w:val="52"/>
          <w:szCs w:val="52"/>
        </w:rPr>
      </w:pPr>
      <w:r>
        <w:rPr>
          <w:rFonts w:hint="eastAsia" w:ascii="黑体" w:hAnsi="黑体" w:eastAsia="黑体" w:cs="黑体"/>
          <w:b/>
          <w:bCs/>
          <w:sz w:val="52"/>
          <w:szCs w:val="52"/>
        </w:rPr>
        <w:t>昆明市盘龙区人民政府鼓楼街道办事处项目支出绩效自评报告</w:t>
      </w:r>
      <w:bookmarkEnd w:id="0"/>
    </w:p>
    <w:p w14:paraId="790EBBC6">
      <w:pPr>
        <w:ind w:firstLine="1044"/>
        <w:jc w:val="center"/>
        <w:rPr>
          <w:rFonts w:ascii="黑体" w:hAnsi="黑体" w:eastAsia="黑体" w:cs="黑体"/>
          <w:b/>
          <w:bCs/>
          <w:sz w:val="52"/>
          <w:szCs w:val="52"/>
        </w:rPr>
      </w:pPr>
      <w:bookmarkStart w:id="1" w:name="_Toc23930"/>
      <w:r>
        <w:rPr>
          <w:rFonts w:hint="eastAsia" w:ascii="黑体" w:hAnsi="黑体" w:eastAsia="黑体" w:cs="黑体"/>
          <w:b/>
          <w:bCs/>
          <w:sz w:val="52"/>
          <w:szCs w:val="52"/>
        </w:rPr>
        <w:t>（202</w:t>
      </w:r>
      <w:r>
        <w:rPr>
          <w:rFonts w:hint="eastAsia" w:ascii="黑体" w:hAnsi="黑体" w:eastAsia="黑体" w:cs="黑体"/>
          <w:b/>
          <w:bCs/>
          <w:sz w:val="52"/>
          <w:szCs w:val="52"/>
          <w:lang w:val="en-US" w:eastAsia="zh-CN"/>
        </w:rPr>
        <w:t>2</w:t>
      </w:r>
      <w:r>
        <w:rPr>
          <w:rFonts w:hint="eastAsia" w:ascii="黑体" w:hAnsi="黑体" w:eastAsia="黑体" w:cs="黑体"/>
          <w:b/>
          <w:bCs/>
          <w:sz w:val="52"/>
          <w:szCs w:val="52"/>
        </w:rPr>
        <w:t>年度）</w:t>
      </w:r>
      <w:bookmarkEnd w:id="1"/>
    </w:p>
    <w:p w14:paraId="4621C256">
      <w:pPr>
        <w:spacing w:before="120" w:after="120" w:line="480" w:lineRule="auto"/>
        <w:ind w:firstLine="1044"/>
        <w:jc w:val="center"/>
        <w:rPr>
          <w:rFonts w:ascii="Times New Roman" w:hAnsi="Times New Roman" w:eastAsia="黑体"/>
          <w:b/>
          <w:bCs/>
          <w:sz w:val="52"/>
          <w:szCs w:val="52"/>
        </w:rPr>
      </w:pPr>
    </w:p>
    <w:p w14:paraId="28DC6B09">
      <w:pPr>
        <w:spacing w:before="120" w:after="120" w:line="480" w:lineRule="auto"/>
        <w:ind w:firstLine="883"/>
        <w:jc w:val="center"/>
        <w:rPr>
          <w:rFonts w:ascii="Times New Roman" w:hAnsi="Times New Roman"/>
          <w:b/>
          <w:bCs/>
          <w:sz w:val="44"/>
          <w:szCs w:val="44"/>
        </w:rPr>
      </w:pPr>
    </w:p>
    <w:p w14:paraId="38CBB424">
      <w:pPr>
        <w:spacing w:before="120" w:after="120" w:line="480" w:lineRule="auto"/>
        <w:ind w:firstLine="883"/>
        <w:jc w:val="center"/>
        <w:rPr>
          <w:rFonts w:ascii="Times New Roman" w:hAnsi="Times New Roman"/>
          <w:b/>
          <w:bCs/>
          <w:sz w:val="44"/>
          <w:szCs w:val="44"/>
        </w:rPr>
      </w:pPr>
    </w:p>
    <w:p w14:paraId="3F0A8290">
      <w:pPr>
        <w:ind w:firstLine="562"/>
        <w:rPr>
          <w:rFonts w:ascii="Times New Roman" w:hAnsi="Times New Roman" w:eastAsia="黑体" w:cs="黑体"/>
          <w:b/>
          <w:bCs/>
          <w:sz w:val="28"/>
          <w:szCs w:val="28"/>
          <w:u w:val="single"/>
        </w:rPr>
      </w:pP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u w:val="single"/>
        </w:rPr>
        <w:t>昆明市盘龙区人民政府鼓楼街道办事处</w:t>
      </w:r>
    </w:p>
    <w:p w14:paraId="34C3B6E1">
      <w:pPr>
        <w:pStyle w:val="2"/>
        <w:ind w:firstLine="562"/>
        <w:rPr>
          <w:rFonts w:eastAsia="黑体" w:cs="黑体"/>
          <w:b/>
          <w:bCs/>
          <w:sz w:val="28"/>
          <w:szCs w:val="28"/>
        </w:rPr>
      </w:pPr>
      <w:r>
        <w:rPr>
          <w:rFonts w:hint="eastAsia" w:eastAsia="黑体" w:cs="黑体"/>
          <w:b/>
          <w:bCs/>
          <w:sz w:val="28"/>
          <w:szCs w:val="28"/>
        </w:rPr>
        <w:t>项目单位：</w:t>
      </w:r>
      <w:r>
        <w:rPr>
          <w:rFonts w:hint="eastAsia" w:eastAsia="黑体" w:cs="黑体"/>
          <w:b/>
          <w:bCs/>
          <w:sz w:val="28"/>
          <w:szCs w:val="28"/>
          <w:u w:val="single"/>
        </w:rPr>
        <w:t>昆明市盘龙区人民政府鼓楼街道办事处</w:t>
      </w:r>
    </w:p>
    <w:p w14:paraId="05C32718">
      <w:pPr>
        <w:pStyle w:val="3"/>
        <w:ind w:firstLine="562"/>
        <w:rPr>
          <w:rFonts w:ascii="Times New Roman" w:hAnsi="Times New Roman" w:eastAsia="黑体" w:cs="黑体"/>
          <w:b/>
          <w:bCs/>
          <w:sz w:val="28"/>
          <w:szCs w:val="28"/>
        </w:rPr>
      </w:pPr>
      <w:r>
        <w:rPr>
          <w:rFonts w:hint="eastAsia" w:ascii="Times New Roman" w:hAnsi="Times New Roman" w:eastAsia="黑体" w:cs="黑体"/>
          <w:b/>
          <w:bCs/>
          <w:sz w:val="28"/>
          <w:szCs w:val="28"/>
        </w:rPr>
        <w:t>主管部门：</w:t>
      </w:r>
      <w:r>
        <w:rPr>
          <w:rFonts w:hint="eastAsia" w:ascii="Times New Roman" w:hAnsi="Times New Roman" w:eastAsia="黑体" w:cs="黑体"/>
          <w:b/>
          <w:bCs/>
          <w:sz w:val="28"/>
          <w:szCs w:val="28"/>
          <w:u w:val="single"/>
        </w:rPr>
        <w:t>昆明市盘龙区人民政府鼓楼街道办事处</w:t>
      </w:r>
    </w:p>
    <w:p w14:paraId="44BCF691">
      <w:pPr>
        <w:ind w:firstLine="562"/>
        <w:rPr>
          <w:rFonts w:ascii="Times New Roman" w:hAnsi="Times New Roman" w:eastAsia="黑体" w:cs="黑体"/>
          <w:b/>
          <w:bCs/>
          <w:sz w:val="28"/>
          <w:szCs w:val="28"/>
          <w:u w:val="single"/>
        </w:rPr>
      </w:pPr>
      <w:r>
        <w:rPr>
          <w:rFonts w:hint="eastAsia" w:ascii="Times New Roman" w:hAnsi="Times New Roman" w:eastAsia="黑体" w:cs="黑体"/>
          <w:b/>
          <w:bCs/>
          <w:sz w:val="28"/>
          <w:szCs w:val="28"/>
        </w:rPr>
        <w:t>项目名称：</w:t>
      </w:r>
      <w:r>
        <w:rPr>
          <w:rFonts w:hint="eastAsia" w:ascii="Times New Roman" w:hAnsi="Times New Roman" w:eastAsia="黑体" w:cs="黑体"/>
          <w:b/>
          <w:bCs/>
          <w:sz w:val="28"/>
          <w:szCs w:val="28"/>
          <w:u w:val="single"/>
        </w:rPr>
        <w:t>“街道吹哨、部门报到”工作经费</w:t>
      </w:r>
    </w:p>
    <w:p w14:paraId="0C4B7D0E">
      <w:pPr>
        <w:pStyle w:val="2"/>
        <w:ind w:firstLine="562"/>
      </w:pPr>
      <w:r>
        <w:rPr>
          <w:rFonts w:hint="eastAsia" w:eastAsia="黑体" w:cs="黑体"/>
          <w:b/>
          <w:bCs/>
          <w:sz w:val="28"/>
          <w:szCs w:val="28"/>
        </w:rPr>
        <w:t>绩效自评日期：</w:t>
      </w:r>
      <w:r>
        <w:rPr>
          <w:rFonts w:hint="eastAsia" w:eastAsia="黑体" w:cs="黑体"/>
          <w:b/>
          <w:bCs/>
          <w:sz w:val="28"/>
          <w:szCs w:val="28"/>
          <w:u w:val="single"/>
        </w:rPr>
        <w:t>202</w:t>
      </w:r>
      <w:r>
        <w:rPr>
          <w:rFonts w:hint="eastAsia" w:eastAsia="黑体" w:cs="黑体"/>
          <w:b/>
          <w:bCs/>
          <w:sz w:val="28"/>
          <w:szCs w:val="28"/>
          <w:u w:val="single"/>
          <w:lang w:val="en-US" w:eastAsia="zh-CN"/>
        </w:rPr>
        <w:t>3</w:t>
      </w:r>
      <w:r>
        <w:rPr>
          <w:rFonts w:hint="eastAsia" w:eastAsia="黑体" w:cs="黑体"/>
          <w:b/>
          <w:bCs/>
          <w:sz w:val="28"/>
          <w:szCs w:val="28"/>
          <w:u w:val="single"/>
        </w:rPr>
        <w:t>年</w:t>
      </w:r>
      <w:r>
        <w:rPr>
          <w:rFonts w:hint="eastAsia" w:eastAsia="黑体" w:cs="黑体"/>
          <w:b/>
          <w:bCs/>
          <w:sz w:val="28"/>
          <w:szCs w:val="28"/>
          <w:u w:val="single"/>
          <w:lang w:val="en-US" w:eastAsia="zh-CN"/>
        </w:rPr>
        <w:t>4</w:t>
      </w:r>
      <w:r>
        <w:rPr>
          <w:rFonts w:hint="eastAsia" w:eastAsia="黑体" w:cs="黑体"/>
          <w:b/>
          <w:bCs/>
          <w:sz w:val="28"/>
          <w:szCs w:val="28"/>
          <w:u w:val="single"/>
        </w:rPr>
        <w:t>月</w:t>
      </w:r>
      <w:r>
        <w:rPr>
          <w:rFonts w:hint="eastAsia" w:eastAsia="黑体" w:cs="黑体"/>
          <w:b/>
          <w:bCs/>
          <w:sz w:val="28"/>
          <w:szCs w:val="28"/>
          <w:u w:val="single"/>
          <w:lang w:val="en-US" w:eastAsia="zh-CN"/>
        </w:rPr>
        <w:t>3</w:t>
      </w:r>
      <w:r>
        <w:rPr>
          <w:rFonts w:hint="eastAsia" w:eastAsia="黑体" w:cs="黑体"/>
          <w:b/>
          <w:bCs/>
          <w:sz w:val="28"/>
          <w:szCs w:val="28"/>
          <w:u w:val="single"/>
        </w:rPr>
        <w:t>日至</w:t>
      </w:r>
      <w:r>
        <w:rPr>
          <w:rFonts w:hint="eastAsia" w:eastAsia="黑体" w:cs="黑体"/>
          <w:b/>
          <w:bCs/>
          <w:sz w:val="28"/>
          <w:szCs w:val="28"/>
          <w:u w:val="single"/>
          <w:lang w:val="en-US" w:eastAsia="zh-CN"/>
        </w:rPr>
        <w:t>4</w:t>
      </w:r>
      <w:r>
        <w:rPr>
          <w:rFonts w:hint="eastAsia" w:eastAsia="黑体" w:cs="黑体"/>
          <w:b/>
          <w:bCs/>
          <w:sz w:val="28"/>
          <w:szCs w:val="28"/>
          <w:u w:val="single"/>
        </w:rPr>
        <w:t>月</w:t>
      </w:r>
      <w:r>
        <w:rPr>
          <w:rFonts w:hint="eastAsia" w:eastAsia="黑体" w:cs="黑体"/>
          <w:b/>
          <w:bCs/>
          <w:sz w:val="28"/>
          <w:szCs w:val="28"/>
          <w:u w:val="single"/>
          <w:lang w:val="en-US" w:eastAsia="zh-CN"/>
        </w:rPr>
        <w:t>30</w:t>
      </w:r>
      <w:r>
        <w:rPr>
          <w:rFonts w:hint="eastAsia" w:eastAsia="黑体" w:cs="黑体"/>
          <w:b/>
          <w:bCs/>
          <w:sz w:val="28"/>
          <w:szCs w:val="28"/>
          <w:u w:val="single"/>
        </w:rPr>
        <w:t>日</w:t>
      </w:r>
    </w:p>
    <w:p w14:paraId="2F24702A">
      <w:pPr>
        <w:ind w:firstLine="562"/>
        <w:jc w:val="center"/>
        <w:rPr>
          <w:rFonts w:ascii="Times New Roman" w:hAnsi="Times New Roman" w:eastAsia="黑体" w:cs="黑体"/>
          <w:b/>
          <w:bCs/>
          <w:sz w:val="28"/>
          <w:szCs w:val="28"/>
        </w:rPr>
      </w:pPr>
      <w:r>
        <w:rPr>
          <w:rFonts w:hint="eastAsia" w:eastAsia="黑体" w:cs="黑体"/>
          <w:b/>
          <w:bCs/>
          <w:sz w:val="28"/>
          <w:szCs w:val="28"/>
        </w:rPr>
        <w:t>202</w:t>
      </w:r>
      <w:r>
        <w:rPr>
          <w:rFonts w:hint="eastAsia" w:eastAsia="黑体" w:cs="黑体"/>
          <w:b/>
          <w:bCs/>
          <w:sz w:val="28"/>
          <w:szCs w:val="28"/>
          <w:lang w:val="en-US" w:eastAsia="zh-CN"/>
        </w:rPr>
        <w:t>3</w:t>
      </w:r>
      <w:r>
        <w:rPr>
          <w:rFonts w:hint="eastAsia" w:eastAsia="黑体" w:cs="黑体"/>
          <w:b/>
          <w:bCs/>
          <w:sz w:val="28"/>
          <w:szCs w:val="28"/>
        </w:rPr>
        <w:t>年</w:t>
      </w:r>
      <w:r>
        <w:rPr>
          <w:rFonts w:hint="eastAsia" w:eastAsia="黑体" w:cs="黑体"/>
          <w:b/>
          <w:bCs/>
          <w:sz w:val="28"/>
          <w:szCs w:val="28"/>
          <w:lang w:val="en-US" w:eastAsia="zh-CN"/>
        </w:rPr>
        <w:t>4</w:t>
      </w:r>
      <w:r>
        <w:rPr>
          <w:rFonts w:hint="eastAsia" w:eastAsia="黑体" w:cs="黑体"/>
          <w:b/>
          <w:bCs/>
          <w:sz w:val="28"/>
          <w:szCs w:val="28"/>
        </w:rPr>
        <w:t>月</w:t>
      </w:r>
    </w:p>
    <w:p w14:paraId="382DC531">
      <w:pPr>
        <w:ind w:firstLine="562"/>
        <w:jc w:val="center"/>
        <w:rPr>
          <w:rFonts w:ascii="Times New Roman" w:hAnsi="Times New Roman" w:eastAsia="黑体" w:cs="黑体"/>
          <w:b/>
          <w:bCs/>
          <w:sz w:val="28"/>
          <w:szCs w:val="28"/>
        </w:rPr>
      </w:pPr>
    </w:p>
    <w:p w14:paraId="7C448EBB">
      <w:pPr>
        <w:ind w:firstLine="562"/>
        <w:jc w:val="center"/>
        <w:rPr>
          <w:rFonts w:ascii="Times New Roman" w:hAnsi="Times New Roman" w:eastAsia="黑体" w:cs="黑体"/>
          <w:b/>
          <w:bCs/>
          <w:sz w:val="28"/>
          <w:szCs w:val="28"/>
        </w:rPr>
      </w:pPr>
    </w:p>
    <w:p w14:paraId="514FD2B7">
      <w:pPr>
        <w:widowControl/>
        <w:jc w:val="left"/>
        <w:rPr>
          <w:rFonts w:ascii="Times New Roman" w:hAnsi="Times New Roman" w:eastAsia="仿宋_GB2312"/>
          <w:b/>
          <w:bCs/>
          <w:sz w:val="28"/>
          <w:szCs w:val="28"/>
        </w:rPr>
        <w:sectPr>
          <w:headerReference r:id="rId6" w:type="first"/>
          <w:footerReference r:id="rId8" w:type="first"/>
          <w:headerReference r:id="rId5" w:type="default"/>
          <w:footerReference r:id="rId7" w:type="default"/>
          <w:pgSz w:w="11906" w:h="16838"/>
          <w:pgMar w:top="1440" w:right="1800" w:bottom="1440" w:left="1800" w:header="851" w:footer="992" w:gutter="0"/>
          <w:cols w:space="425" w:num="1"/>
          <w:titlePg/>
          <w:docGrid w:type="lines" w:linePitch="312" w:charSpace="0"/>
        </w:sectPr>
      </w:pPr>
    </w:p>
    <w:sdt>
      <w:sdtPr>
        <w:rPr>
          <w:rFonts w:ascii="宋体" w:hAnsi="宋体" w:eastAsia="宋体"/>
          <w:b/>
          <w:bCs/>
          <w:sz w:val="32"/>
          <w:szCs w:val="32"/>
        </w:rPr>
        <w:id w:val="147480614"/>
        <w:docPartObj>
          <w:docPartGallery w:val="Table of Contents"/>
          <w:docPartUnique/>
        </w:docPartObj>
      </w:sdtPr>
      <w:sdtEndPr>
        <w:rPr>
          <w:rFonts w:ascii="宋体" w:hAnsi="宋体" w:eastAsia="宋体"/>
          <w:b/>
          <w:bCs/>
          <w:sz w:val="32"/>
          <w:szCs w:val="32"/>
        </w:rPr>
      </w:sdtEndPr>
      <w:sdtContent>
        <w:p w14:paraId="08DD2E8B">
          <w:pPr>
            <w:spacing w:line="240" w:lineRule="auto"/>
            <w:ind w:firstLine="0" w:firstLineChars="0"/>
            <w:jc w:val="center"/>
            <w:rPr>
              <w:b/>
              <w:bCs/>
              <w:sz w:val="32"/>
              <w:szCs w:val="32"/>
            </w:rPr>
          </w:pPr>
          <w:r>
            <w:rPr>
              <w:rFonts w:ascii="宋体" w:hAnsi="宋体" w:eastAsia="宋体"/>
              <w:b/>
              <w:bCs/>
              <w:sz w:val="32"/>
              <w:szCs w:val="32"/>
            </w:rPr>
            <w:t>目</w:t>
          </w:r>
          <w:r>
            <w:rPr>
              <w:rFonts w:hint="eastAsia" w:ascii="宋体" w:hAnsi="宋体" w:eastAsia="宋体"/>
              <w:b/>
              <w:bCs/>
              <w:sz w:val="32"/>
              <w:szCs w:val="32"/>
            </w:rPr>
            <w:t xml:space="preserve"> </w:t>
          </w:r>
          <w:r>
            <w:rPr>
              <w:rFonts w:ascii="宋体" w:hAnsi="宋体" w:eastAsia="宋体"/>
              <w:b/>
              <w:bCs/>
              <w:sz w:val="32"/>
              <w:szCs w:val="32"/>
            </w:rPr>
            <w:t>录</w:t>
          </w:r>
        </w:p>
        <w:p w14:paraId="2B1A5F40">
          <w:pPr>
            <w:pStyle w:val="3"/>
            <w:tabs>
              <w:tab w:val="right" w:leader="dot" w:pos="8296"/>
            </w:tabs>
            <w:ind w:firstLine="600"/>
            <w:rPr>
              <w:rStyle w:val="17"/>
              <w:rFonts w:ascii="黑体" w:hAnsi="黑体"/>
            </w:rPr>
          </w:pPr>
          <w:r>
            <w:fldChar w:fldCharType="begin"/>
          </w:r>
          <w:r>
            <w:instrText xml:space="preserve">TOC \o "1-3" \h \u </w:instrText>
          </w:r>
          <w:r>
            <w:fldChar w:fldCharType="separate"/>
          </w:r>
          <w:r>
            <w:fldChar w:fldCharType="begin"/>
          </w:r>
          <w:r>
            <w:instrText xml:space="preserve"> HYPERLINK \l "_Toc104753320" </w:instrText>
          </w:r>
          <w:r>
            <w:fldChar w:fldCharType="separate"/>
          </w:r>
          <w:r>
            <w:rPr>
              <w:rStyle w:val="17"/>
              <w:rFonts w:hint="eastAsia" w:ascii="黑体" w:hAnsi="黑体"/>
            </w:rPr>
            <w:t>摘要</w:t>
          </w:r>
          <w:r>
            <w:rPr>
              <w:rStyle w:val="17"/>
              <w:rFonts w:ascii="黑体" w:hAnsi="黑体"/>
            </w:rPr>
            <w:tab/>
          </w:r>
          <w:r>
            <w:rPr>
              <w:rStyle w:val="17"/>
              <w:rFonts w:hint="eastAsia" w:ascii="黑体" w:hAnsi="黑体"/>
              <w:lang w:val="en-US" w:eastAsia="zh-CN"/>
            </w:rPr>
            <w:t>5</w:t>
          </w:r>
          <w:r>
            <w:rPr>
              <w:rStyle w:val="17"/>
              <w:rFonts w:ascii="黑体" w:hAnsi="黑体"/>
            </w:rPr>
            <w:fldChar w:fldCharType="end"/>
          </w:r>
        </w:p>
        <w:p w14:paraId="3EECF2B3">
          <w:pPr>
            <w:pStyle w:val="3"/>
            <w:tabs>
              <w:tab w:val="right" w:leader="dot" w:pos="8296"/>
            </w:tabs>
            <w:ind w:firstLine="600"/>
            <w:rPr>
              <w:rStyle w:val="17"/>
              <w:rFonts w:ascii="黑体" w:hAnsi="黑体"/>
            </w:rPr>
          </w:pPr>
          <w:r>
            <w:fldChar w:fldCharType="begin"/>
          </w:r>
          <w:r>
            <w:instrText xml:space="preserve"> HYPERLINK \l "_Toc104753321" </w:instrText>
          </w:r>
          <w:r>
            <w:fldChar w:fldCharType="separate"/>
          </w:r>
          <w:r>
            <w:rPr>
              <w:rStyle w:val="17"/>
              <w:rFonts w:hint="eastAsia" w:ascii="黑体" w:hAnsi="黑体"/>
            </w:rPr>
            <w:t>一、 项目概况</w:t>
          </w:r>
          <w:r>
            <w:rPr>
              <w:rStyle w:val="17"/>
              <w:rFonts w:hint="eastAsia" w:ascii="黑体" w:hAnsi="黑体"/>
              <w:lang w:val="en-US" w:eastAsia="zh-CN"/>
            </w:rPr>
            <w:t>..</w:t>
          </w:r>
          <w:r>
            <w:rPr>
              <w:rStyle w:val="17"/>
              <w:rFonts w:ascii="黑体" w:hAnsi="黑体"/>
            </w:rPr>
            <w:tab/>
          </w:r>
          <w:r>
            <w:rPr>
              <w:rStyle w:val="17"/>
              <w:rFonts w:hint="eastAsia" w:ascii="黑体" w:hAnsi="黑体"/>
              <w:lang w:val="en-US" w:eastAsia="zh-CN"/>
            </w:rPr>
            <w:t>5</w:t>
          </w:r>
          <w:r>
            <w:rPr>
              <w:rStyle w:val="17"/>
              <w:rFonts w:ascii="黑体" w:hAnsi="黑体"/>
            </w:rPr>
            <w:fldChar w:fldCharType="end"/>
          </w:r>
        </w:p>
        <w:p w14:paraId="3A69D654">
          <w:pPr>
            <w:pStyle w:val="3"/>
            <w:tabs>
              <w:tab w:val="right" w:leader="dot" w:pos="8296"/>
            </w:tabs>
            <w:ind w:firstLine="600"/>
            <w:rPr>
              <w:rStyle w:val="17"/>
              <w:rFonts w:ascii="黑体" w:hAnsi="黑体"/>
            </w:rPr>
          </w:pPr>
          <w:r>
            <w:fldChar w:fldCharType="begin"/>
          </w:r>
          <w:r>
            <w:instrText xml:space="preserve"> HYPERLINK \l "_Toc104753322" </w:instrText>
          </w:r>
          <w:r>
            <w:fldChar w:fldCharType="separate"/>
          </w:r>
          <w:r>
            <w:rPr>
              <w:rStyle w:val="17"/>
              <w:rFonts w:hint="eastAsia" w:ascii="黑体" w:hAnsi="黑体"/>
            </w:rPr>
            <w:t>二、 评价结论</w:t>
          </w:r>
          <w:r>
            <w:rPr>
              <w:rStyle w:val="17"/>
              <w:rFonts w:ascii="黑体" w:hAnsi="黑体"/>
            </w:rPr>
            <w:tab/>
          </w:r>
          <w:r>
            <w:rPr>
              <w:rStyle w:val="17"/>
              <w:rFonts w:hint="eastAsia" w:ascii="黑体" w:hAnsi="黑体"/>
              <w:lang w:val="en-US" w:eastAsia="zh-CN"/>
            </w:rPr>
            <w:t>6</w:t>
          </w:r>
          <w:r>
            <w:rPr>
              <w:rStyle w:val="17"/>
              <w:rFonts w:ascii="黑体" w:hAnsi="黑体"/>
            </w:rPr>
            <w:fldChar w:fldCharType="end"/>
          </w:r>
        </w:p>
        <w:p w14:paraId="24CA78E6">
          <w:pPr>
            <w:pStyle w:val="3"/>
            <w:tabs>
              <w:tab w:val="right" w:leader="dot" w:pos="8296"/>
            </w:tabs>
            <w:ind w:firstLine="600"/>
            <w:rPr>
              <w:rStyle w:val="17"/>
              <w:rFonts w:ascii="黑体" w:hAnsi="黑体"/>
            </w:rPr>
          </w:pPr>
          <w:r>
            <w:fldChar w:fldCharType="begin"/>
          </w:r>
          <w:r>
            <w:instrText xml:space="preserve"> HYPERLINK \l "_Toc104753323" </w:instrText>
          </w:r>
          <w:r>
            <w:fldChar w:fldCharType="separate"/>
          </w:r>
          <w:r>
            <w:rPr>
              <w:rStyle w:val="17"/>
              <w:rFonts w:hint="eastAsia" w:ascii="黑体" w:hAnsi="黑体"/>
            </w:rPr>
            <w:t>三、经验、问题和建议</w:t>
          </w:r>
          <w:r>
            <w:rPr>
              <w:rStyle w:val="17"/>
              <w:rFonts w:ascii="黑体" w:hAnsi="黑体"/>
            </w:rPr>
            <w:tab/>
          </w:r>
          <w:r>
            <w:rPr>
              <w:rStyle w:val="17"/>
              <w:rFonts w:hint="eastAsia" w:ascii="黑体" w:hAnsi="黑体"/>
              <w:lang w:val="en-US" w:eastAsia="zh-CN"/>
            </w:rPr>
            <w:t>6</w:t>
          </w:r>
          <w:r>
            <w:rPr>
              <w:rStyle w:val="17"/>
              <w:rFonts w:ascii="黑体" w:hAnsi="黑体"/>
            </w:rPr>
            <w:fldChar w:fldCharType="end"/>
          </w:r>
        </w:p>
        <w:p w14:paraId="30AB6C05">
          <w:pPr>
            <w:pStyle w:val="3"/>
            <w:tabs>
              <w:tab w:val="right" w:leader="dot" w:pos="8296"/>
            </w:tabs>
            <w:ind w:firstLine="600"/>
            <w:rPr>
              <w:rStyle w:val="17"/>
              <w:rFonts w:ascii="黑体" w:hAnsi="黑体"/>
            </w:rPr>
          </w:pPr>
          <w:r>
            <w:fldChar w:fldCharType="begin"/>
          </w:r>
          <w:r>
            <w:instrText xml:space="preserve"> HYPERLINK \l "_Toc104753324" </w:instrText>
          </w:r>
          <w:r>
            <w:fldChar w:fldCharType="separate"/>
          </w:r>
          <w:r>
            <w:rPr>
              <w:rStyle w:val="17"/>
              <w:rFonts w:hint="eastAsia" w:ascii="黑体" w:hAnsi="黑体"/>
            </w:rPr>
            <w:t>（一）主要经验及做法</w:t>
          </w:r>
          <w:r>
            <w:rPr>
              <w:rStyle w:val="17"/>
              <w:rFonts w:ascii="黑体" w:hAnsi="黑体"/>
            </w:rPr>
            <w:tab/>
          </w:r>
          <w:r>
            <w:rPr>
              <w:rStyle w:val="17"/>
              <w:rFonts w:hint="eastAsia" w:ascii="黑体" w:hAnsi="黑体"/>
              <w:lang w:val="en-US" w:eastAsia="zh-CN"/>
            </w:rPr>
            <w:t>6</w:t>
          </w:r>
          <w:r>
            <w:rPr>
              <w:rStyle w:val="17"/>
              <w:rFonts w:ascii="黑体" w:hAnsi="黑体"/>
            </w:rPr>
            <w:fldChar w:fldCharType="end"/>
          </w:r>
        </w:p>
        <w:p w14:paraId="0D5B1CA9">
          <w:pPr>
            <w:pStyle w:val="3"/>
            <w:tabs>
              <w:tab w:val="right" w:leader="dot" w:pos="8296"/>
            </w:tabs>
            <w:ind w:firstLine="600"/>
            <w:rPr>
              <w:rStyle w:val="17"/>
              <w:rFonts w:ascii="黑体" w:hAnsi="黑体"/>
            </w:rPr>
          </w:pPr>
          <w:r>
            <w:fldChar w:fldCharType="begin"/>
          </w:r>
          <w:r>
            <w:instrText xml:space="preserve"> HYPERLINK \l "_Toc104753325" </w:instrText>
          </w:r>
          <w:r>
            <w:fldChar w:fldCharType="separate"/>
          </w:r>
          <w:r>
            <w:rPr>
              <w:rStyle w:val="17"/>
              <w:rFonts w:hint="eastAsia" w:ascii="黑体" w:hAnsi="黑体"/>
            </w:rPr>
            <w:t>（二）存在的问题</w:t>
          </w:r>
          <w:r>
            <w:rPr>
              <w:rStyle w:val="17"/>
              <w:rFonts w:ascii="黑体" w:hAnsi="黑体"/>
            </w:rPr>
            <w:tab/>
          </w:r>
          <w:r>
            <w:rPr>
              <w:rStyle w:val="17"/>
              <w:rFonts w:hint="eastAsia" w:ascii="黑体" w:hAnsi="黑体"/>
              <w:lang w:val="en-US" w:eastAsia="zh-CN"/>
            </w:rPr>
            <w:t>8</w:t>
          </w:r>
          <w:r>
            <w:rPr>
              <w:rStyle w:val="17"/>
              <w:rFonts w:ascii="黑体" w:hAnsi="黑体"/>
            </w:rPr>
            <w:fldChar w:fldCharType="end"/>
          </w:r>
        </w:p>
        <w:p w14:paraId="4F019E08">
          <w:pPr>
            <w:pStyle w:val="3"/>
            <w:tabs>
              <w:tab w:val="right" w:leader="dot" w:pos="8296"/>
            </w:tabs>
            <w:ind w:firstLine="600"/>
            <w:rPr>
              <w:rStyle w:val="17"/>
              <w:rFonts w:ascii="黑体" w:hAnsi="黑体"/>
            </w:rPr>
          </w:pPr>
          <w:r>
            <w:fldChar w:fldCharType="begin"/>
          </w:r>
          <w:r>
            <w:instrText xml:space="preserve"> HYPERLINK \l "_Toc104753326" </w:instrText>
          </w:r>
          <w:r>
            <w:fldChar w:fldCharType="separate"/>
          </w:r>
          <w:r>
            <w:rPr>
              <w:rStyle w:val="17"/>
              <w:rFonts w:hint="eastAsia" w:ascii="黑体" w:hAnsi="黑体"/>
            </w:rPr>
            <w:t>（三）改进措施及建议</w:t>
          </w:r>
          <w:r>
            <w:rPr>
              <w:rStyle w:val="17"/>
              <w:rFonts w:ascii="黑体" w:hAnsi="黑体"/>
            </w:rPr>
            <w:tab/>
          </w:r>
          <w:r>
            <w:rPr>
              <w:rStyle w:val="17"/>
              <w:rFonts w:hint="eastAsia" w:ascii="黑体" w:hAnsi="黑体"/>
              <w:lang w:val="en-US" w:eastAsia="zh-CN"/>
            </w:rPr>
            <w:t>8</w:t>
          </w:r>
          <w:r>
            <w:rPr>
              <w:rStyle w:val="17"/>
              <w:rFonts w:ascii="黑体" w:hAnsi="黑体"/>
            </w:rPr>
            <w:fldChar w:fldCharType="end"/>
          </w:r>
        </w:p>
        <w:p w14:paraId="57386FBD">
          <w:pPr>
            <w:pStyle w:val="3"/>
            <w:tabs>
              <w:tab w:val="right" w:leader="dot" w:pos="8296"/>
            </w:tabs>
            <w:ind w:firstLine="600"/>
            <w:rPr>
              <w:rStyle w:val="17"/>
              <w:rFonts w:ascii="黑体" w:hAnsi="黑体"/>
            </w:rPr>
          </w:pPr>
          <w:r>
            <w:fldChar w:fldCharType="begin"/>
          </w:r>
          <w:r>
            <w:instrText xml:space="preserve"> HYPERLINK \l "_Toc104753327" </w:instrText>
          </w:r>
          <w:r>
            <w:fldChar w:fldCharType="separate"/>
          </w:r>
          <w:r>
            <w:rPr>
              <w:rStyle w:val="17"/>
              <w:rFonts w:hint="eastAsia" w:ascii="黑体" w:hAnsi="黑体"/>
            </w:rPr>
            <w:t>一、项目基本情况</w:t>
          </w:r>
          <w:r>
            <w:rPr>
              <w:rStyle w:val="17"/>
              <w:rFonts w:ascii="黑体" w:hAnsi="黑体"/>
            </w:rPr>
            <w:tab/>
          </w:r>
          <w:r>
            <w:rPr>
              <w:rStyle w:val="17"/>
              <w:rFonts w:hint="eastAsia" w:ascii="黑体" w:hAnsi="黑体"/>
              <w:lang w:val="en-US" w:eastAsia="zh-CN"/>
            </w:rPr>
            <w:t>9</w:t>
          </w:r>
          <w:r>
            <w:rPr>
              <w:rStyle w:val="17"/>
              <w:rFonts w:ascii="黑体" w:hAnsi="黑体"/>
            </w:rPr>
            <w:fldChar w:fldCharType="end"/>
          </w:r>
        </w:p>
        <w:p w14:paraId="3D0F2253">
          <w:pPr>
            <w:pStyle w:val="3"/>
            <w:tabs>
              <w:tab w:val="right" w:leader="dot" w:pos="8296"/>
            </w:tabs>
            <w:ind w:firstLine="600"/>
            <w:rPr>
              <w:rStyle w:val="17"/>
              <w:rFonts w:ascii="黑体" w:hAnsi="黑体"/>
            </w:rPr>
          </w:pPr>
          <w:r>
            <w:fldChar w:fldCharType="begin"/>
          </w:r>
          <w:r>
            <w:instrText xml:space="preserve"> HYPERLINK \l "_Toc104753328" </w:instrText>
          </w:r>
          <w:r>
            <w:fldChar w:fldCharType="separate"/>
          </w:r>
          <w:r>
            <w:rPr>
              <w:rStyle w:val="17"/>
              <w:rFonts w:hint="eastAsia" w:ascii="黑体" w:hAnsi="黑体"/>
            </w:rPr>
            <w:t>（一）项目概况</w:t>
          </w:r>
          <w:r>
            <w:rPr>
              <w:rStyle w:val="17"/>
              <w:rFonts w:ascii="黑体" w:hAnsi="黑体"/>
            </w:rPr>
            <w:tab/>
          </w:r>
          <w:r>
            <w:rPr>
              <w:rStyle w:val="17"/>
              <w:rFonts w:hint="eastAsia" w:ascii="黑体" w:hAnsi="黑体"/>
              <w:lang w:val="en-US" w:eastAsia="zh-CN"/>
            </w:rPr>
            <w:t>9</w:t>
          </w:r>
          <w:r>
            <w:rPr>
              <w:rStyle w:val="17"/>
              <w:rFonts w:ascii="黑体" w:hAnsi="黑体"/>
            </w:rPr>
            <w:fldChar w:fldCharType="end"/>
          </w:r>
        </w:p>
        <w:p w14:paraId="1110EAC2">
          <w:pPr>
            <w:pStyle w:val="3"/>
            <w:tabs>
              <w:tab w:val="right" w:leader="dot" w:pos="8296"/>
            </w:tabs>
            <w:ind w:firstLine="600"/>
            <w:rPr>
              <w:rStyle w:val="17"/>
              <w:rFonts w:ascii="黑体" w:hAnsi="黑体"/>
            </w:rPr>
          </w:pPr>
          <w:r>
            <w:fldChar w:fldCharType="begin"/>
          </w:r>
          <w:r>
            <w:instrText xml:space="preserve"> HYPERLINK \l "_Toc104753329" </w:instrText>
          </w:r>
          <w:r>
            <w:fldChar w:fldCharType="separate"/>
          </w:r>
          <w:r>
            <w:rPr>
              <w:rStyle w:val="17"/>
              <w:rFonts w:hint="eastAsia" w:ascii="黑体" w:hAnsi="黑体"/>
            </w:rPr>
            <w:t>（二）绩效目标</w:t>
          </w:r>
          <w:r>
            <w:rPr>
              <w:rStyle w:val="17"/>
              <w:rFonts w:ascii="黑体" w:hAnsi="黑体"/>
            </w:rPr>
            <w:tab/>
          </w:r>
          <w:r>
            <w:rPr>
              <w:rStyle w:val="17"/>
              <w:rFonts w:ascii="黑体" w:hAnsi="黑体"/>
            </w:rPr>
            <w:fldChar w:fldCharType="begin"/>
          </w:r>
          <w:r>
            <w:rPr>
              <w:rStyle w:val="17"/>
              <w:rFonts w:ascii="黑体" w:hAnsi="黑体"/>
            </w:rPr>
            <w:instrText xml:space="preserve"> PAGEREF _Toc104753329 \h </w:instrText>
          </w:r>
          <w:r>
            <w:rPr>
              <w:rStyle w:val="17"/>
              <w:rFonts w:ascii="黑体" w:hAnsi="黑体"/>
            </w:rPr>
            <w:fldChar w:fldCharType="separate"/>
          </w:r>
          <w:r>
            <w:rPr>
              <w:rStyle w:val="17"/>
              <w:rFonts w:ascii="黑体" w:hAnsi="黑体"/>
            </w:rPr>
            <w:t>1</w:t>
          </w:r>
          <w:r>
            <w:rPr>
              <w:rStyle w:val="17"/>
              <w:rFonts w:hint="eastAsia" w:ascii="黑体" w:hAnsi="黑体"/>
              <w:lang w:val="en-US" w:eastAsia="zh-CN"/>
            </w:rPr>
            <w:t>3</w:t>
          </w:r>
          <w:r>
            <w:rPr>
              <w:rStyle w:val="17"/>
              <w:rFonts w:ascii="黑体" w:hAnsi="黑体"/>
            </w:rPr>
            <w:fldChar w:fldCharType="end"/>
          </w:r>
          <w:r>
            <w:rPr>
              <w:rStyle w:val="17"/>
              <w:rFonts w:ascii="黑体" w:hAnsi="黑体"/>
            </w:rPr>
            <w:fldChar w:fldCharType="end"/>
          </w:r>
        </w:p>
        <w:p w14:paraId="03726AB3">
          <w:pPr>
            <w:pStyle w:val="3"/>
            <w:tabs>
              <w:tab w:val="right" w:leader="dot" w:pos="8296"/>
            </w:tabs>
            <w:ind w:firstLine="600"/>
            <w:rPr>
              <w:rStyle w:val="17"/>
              <w:rFonts w:ascii="黑体" w:hAnsi="黑体"/>
            </w:rPr>
          </w:pPr>
          <w:r>
            <w:fldChar w:fldCharType="begin"/>
          </w:r>
          <w:r>
            <w:instrText xml:space="preserve"> HYPERLINK \l "_Toc104753330" </w:instrText>
          </w:r>
          <w:r>
            <w:fldChar w:fldCharType="separate"/>
          </w:r>
          <w:r>
            <w:rPr>
              <w:rStyle w:val="17"/>
              <w:rFonts w:hint="eastAsia" w:ascii="黑体" w:hAnsi="黑体"/>
            </w:rPr>
            <w:t>二、绩效评价工作情况</w:t>
          </w:r>
          <w:r>
            <w:rPr>
              <w:rStyle w:val="17"/>
              <w:rFonts w:ascii="黑体" w:hAnsi="黑体"/>
            </w:rPr>
            <w:tab/>
          </w:r>
          <w:r>
            <w:rPr>
              <w:rStyle w:val="17"/>
              <w:rFonts w:ascii="黑体" w:hAnsi="黑体"/>
            </w:rPr>
            <w:fldChar w:fldCharType="begin"/>
          </w:r>
          <w:r>
            <w:rPr>
              <w:rStyle w:val="17"/>
              <w:rFonts w:ascii="黑体" w:hAnsi="黑体"/>
            </w:rPr>
            <w:instrText xml:space="preserve"> PAGEREF _Toc104753330 \h </w:instrText>
          </w:r>
          <w:r>
            <w:rPr>
              <w:rStyle w:val="17"/>
              <w:rFonts w:ascii="黑体" w:hAnsi="黑体"/>
            </w:rPr>
            <w:fldChar w:fldCharType="separate"/>
          </w:r>
          <w:r>
            <w:rPr>
              <w:rStyle w:val="17"/>
              <w:rFonts w:ascii="黑体" w:hAnsi="黑体"/>
            </w:rPr>
            <w:t>1</w:t>
          </w:r>
          <w:r>
            <w:rPr>
              <w:rStyle w:val="17"/>
              <w:rFonts w:hint="eastAsia" w:ascii="黑体" w:hAnsi="黑体"/>
              <w:lang w:val="en-US" w:eastAsia="zh-CN"/>
            </w:rPr>
            <w:t>4</w:t>
          </w:r>
          <w:r>
            <w:rPr>
              <w:rStyle w:val="17"/>
              <w:rFonts w:ascii="黑体" w:hAnsi="黑体"/>
            </w:rPr>
            <w:fldChar w:fldCharType="end"/>
          </w:r>
          <w:r>
            <w:rPr>
              <w:rStyle w:val="17"/>
              <w:rFonts w:ascii="黑体" w:hAnsi="黑体"/>
            </w:rPr>
            <w:fldChar w:fldCharType="end"/>
          </w:r>
        </w:p>
        <w:p w14:paraId="6DBF2D75">
          <w:pPr>
            <w:pStyle w:val="3"/>
            <w:tabs>
              <w:tab w:val="right" w:leader="dot" w:pos="8296"/>
            </w:tabs>
            <w:ind w:firstLine="600"/>
            <w:rPr>
              <w:rStyle w:val="17"/>
              <w:rFonts w:hint="default" w:ascii="黑体" w:hAnsi="黑体" w:eastAsia="仿宋"/>
              <w:lang w:val="en-US" w:eastAsia="zh-CN"/>
            </w:rPr>
          </w:pPr>
          <w:r>
            <w:fldChar w:fldCharType="begin"/>
          </w:r>
          <w:r>
            <w:instrText xml:space="preserve"> HYPERLINK \l "_Toc104753324" </w:instrText>
          </w:r>
          <w:r>
            <w:fldChar w:fldCharType="separate"/>
          </w:r>
          <w:r>
            <w:rPr>
              <w:rStyle w:val="17"/>
              <w:rFonts w:hint="eastAsia" w:ascii="黑体" w:hAnsi="黑体"/>
            </w:rPr>
            <w:t>（一）</w:t>
          </w:r>
          <w:r>
            <w:rPr>
              <w:rStyle w:val="17"/>
              <w:rFonts w:hint="eastAsia" w:ascii="黑体" w:hAnsi="黑体"/>
              <w:lang w:val="zh-CN"/>
            </w:rPr>
            <w:t>绩效评价目的</w:t>
          </w:r>
          <w:r>
            <w:rPr>
              <w:rStyle w:val="17"/>
              <w:rFonts w:hint="eastAsia" w:ascii="黑体" w:hAnsi="黑体"/>
              <w:lang w:val="en-US" w:eastAsia="zh-CN"/>
            </w:rPr>
            <w:t>.</w:t>
          </w:r>
          <w:r>
            <w:rPr>
              <w:rStyle w:val="17"/>
              <w:rFonts w:ascii="黑体" w:hAnsi="黑体"/>
            </w:rPr>
            <w:fldChar w:fldCharType="end"/>
          </w:r>
          <w:r>
            <w:rPr>
              <w:rStyle w:val="17"/>
              <w:rFonts w:hint="eastAsia" w:ascii="黑体" w:hAnsi="黑体"/>
              <w:lang w:val="en-US" w:eastAsia="zh-CN"/>
            </w:rPr>
            <w:t>...............................14</w:t>
          </w:r>
        </w:p>
        <w:p w14:paraId="74B698F7">
          <w:pPr>
            <w:pStyle w:val="3"/>
            <w:tabs>
              <w:tab w:val="right" w:leader="dot" w:pos="8296"/>
            </w:tabs>
            <w:ind w:firstLine="600"/>
            <w:rPr>
              <w:rStyle w:val="17"/>
              <w:rFonts w:hint="eastAsia" w:ascii="黑体" w:hAnsi="黑体" w:eastAsia="仿宋"/>
              <w:lang w:val="en-US" w:eastAsia="zh-CN"/>
            </w:rPr>
          </w:pPr>
          <w:r>
            <w:fldChar w:fldCharType="begin"/>
          </w:r>
          <w:r>
            <w:instrText xml:space="preserve"> HYPERLINK \l "_Toc104753325" </w:instrText>
          </w:r>
          <w:r>
            <w:fldChar w:fldCharType="separate"/>
          </w:r>
          <w:r>
            <w:rPr>
              <w:rStyle w:val="17"/>
              <w:rFonts w:hint="eastAsia" w:ascii="黑体" w:hAnsi="黑体"/>
            </w:rPr>
            <w:t>（二）</w:t>
          </w:r>
          <w:r>
            <w:rPr>
              <w:rStyle w:val="17"/>
              <w:rFonts w:hint="eastAsia" w:ascii="黑体" w:hAnsi="黑体"/>
              <w:lang w:val="zh-CN"/>
            </w:rPr>
            <w:t>绩效评价工作方案制定过程</w:t>
          </w:r>
          <w:r>
            <w:rPr>
              <w:rStyle w:val="17"/>
              <w:rFonts w:ascii="黑体" w:hAnsi="黑体"/>
            </w:rPr>
            <w:tab/>
          </w:r>
          <w:r>
            <w:rPr>
              <w:rStyle w:val="17"/>
              <w:rFonts w:hint="eastAsia" w:ascii="黑体" w:hAnsi="黑体"/>
              <w:lang w:val="en-US" w:eastAsia="zh-CN"/>
            </w:rPr>
            <w:t>1</w:t>
          </w:r>
          <w:r>
            <w:rPr>
              <w:rStyle w:val="17"/>
              <w:rFonts w:ascii="黑体" w:hAnsi="黑体"/>
            </w:rPr>
            <w:fldChar w:fldCharType="end"/>
          </w:r>
          <w:r>
            <w:rPr>
              <w:rStyle w:val="17"/>
              <w:rFonts w:hint="eastAsia" w:ascii="黑体" w:hAnsi="黑体"/>
              <w:lang w:val="en-US" w:eastAsia="zh-CN"/>
            </w:rPr>
            <w:t>4</w:t>
          </w:r>
        </w:p>
        <w:p w14:paraId="2372C40D">
          <w:pPr>
            <w:rPr>
              <w:rStyle w:val="17"/>
              <w:rFonts w:hint="eastAsia" w:ascii="黑体" w:hAnsi="黑体" w:eastAsia="仿宋"/>
              <w:lang w:val="en-US" w:eastAsia="zh-CN"/>
            </w:rPr>
          </w:pPr>
          <w:r>
            <w:fldChar w:fldCharType="begin"/>
          </w:r>
          <w:r>
            <w:instrText xml:space="preserve"> HYPERLINK \l "_Toc104753326" </w:instrText>
          </w:r>
          <w:r>
            <w:fldChar w:fldCharType="separate"/>
          </w:r>
          <w:r>
            <w:rPr>
              <w:rStyle w:val="17"/>
              <w:rFonts w:hint="eastAsia" w:ascii="黑体" w:hAnsi="黑体"/>
            </w:rPr>
            <w:t>（三）</w:t>
          </w:r>
          <w:r>
            <w:rPr>
              <w:rStyle w:val="17"/>
              <w:rFonts w:hint="eastAsia" w:ascii="黑体" w:hAnsi="黑体"/>
              <w:lang w:val="zh-CN"/>
            </w:rPr>
            <w:t>绩效评价原则、评价方法</w:t>
          </w:r>
          <w:r>
            <w:rPr>
              <w:rStyle w:val="17"/>
              <w:rFonts w:hint="eastAsia" w:ascii="黑体" w:hAnsi="黑体"/>
              <w:lang w:val="en-US" w:eastAsia="zh-CN"/>
            </w:rPr>
            <w:t>......................1</w:t>
          </w:r>
          <w:r>
            <w:rPr>
              <w:rStyle w:val="17"/>
              <w:rFonts w:ascii="黑体" w:hAnsi="黑体"/>
            </w:rPr>
            <w:fldChar w:fldCharType="end"/>
          </w:r>
          <w:r>
            <w:rPr>
              <w:rStyle w:val="17"/>
              <w:rFonts w:hint="eastAsia" w:ascii="黑体" w:hAnsi="黑体"/>
              <w:lang w:val="en-US" w:eastAsia="zh-CN"/>
            </w:rPr>
            <w:t>5</w:t>
          </w:r>
        </w:p>
        <w:p w14:paraId="2CE4C314">
          <w:pPr>
            <w:rPr>
              <w:rStyle w:val="17"/>
              <w:rFonts w:hint="default" w:ascii="黑体" w:hAnsi="黑体"/>
              <w:lang w:val="en-US" w:eastAsia="zh-CN"/>
            </w:rPr>
          </w:pPr>
          <w:r>
            <w:rPr>
              <w:rStyle w:val="17"/>
              <w:rFonts w:hint="eastAsia" w:ascii="黑体" w:hAnsi="黑体"/>
              <w:lang w:val="zh-CN"/>
            </w:rPr>
            <w:t>（四）绩效评价实施过程</w:t>
          </w:r>
          <w:r>
            <w:rPr>
              <w:rStyle w:val="17"/>
              <w:rFonts w:hint="eastAsia" w:ascii="黑体" w:hAnsi="黑体"/>
              <w:lang w:val="en-US" w:eastAsia="zh-CN"/>
            </w:rPr>
            <w:t>............................16</w:t>
          </w:r>
        </w:p>
        <w:p w14:paraId="639A05A0">
          <w:pPr>
            <w:rPr>
              <w:rFonts w:hint="default"/>
              <w:lang w:val="en-US"/>
            </w:rPr>
          </w:pPr>
          <w:r>
            <w:rPr>
              <w:rStyle w:val="17"/>
              <w:rFonts w:hint="default" w:ascii="黑体" w:hAnsi="黑体"/>
              <w:lang w:val="en-US" w:eastAsia="zh-CN"/>
            </w:rPr>
            <w:t>（五）本次绩效评价的局限性</w:t>
          </w:r>
          <w:r>
            <w:rPr>
              <w:rStyle w:val="17"/>
              <w:rFonts w:hint="eastAsia" w:ascii="黑体" w:hAnsi="黑体"/>
              <w:lang w:val="en-US" w:eastAsia="zh-CN"/>
            </w:rPr>
            <w:t>........................16</w:t>
          </w:r>
        </w:p>
        <w:p w14:paraId="026787E0">
          <w:pPr>
            <w:pStyle w:val="3"/>
            <w:tabs>
              <w:tab w:val="right" w:leader="dot" w:pos="8296"/>
            </w:tabs>
            <w:ind w:firstLine="600"/>
            <w:rPr>
              <w:rStyle w:val="17"/>
              <w:rFonts w:ascii="黑体" w:hAnsi="黑体"/>
            </w:rPr>
          </w:pPr>
          <w:r>
            <w:fldChar w:fldCharType="begin"/>
          </w:r>
          <w:r>
            <w:instrText xml:space="preserve"> HYPERLINK \l "_Toc104753331" </w:instrText>
          </w:r>
          <w:r>
            <w:fldChar w:fldCharType="separate"/>
          </w:r>
          <w:r>
            <w:rPr>
              <w:rStyle w:val="17"/>
              <w:rFonts w:hint="eastAsia" w:ascii="黑体" w:hAnsi="黑体"/>
            </w:rPr>
            <w:t>三、评价结论和绩效分析</w:t>
          </w:r>
          <w:r>
            <w:rPr>
              <w:rStyle w:val="17"/>
              <w:rFonts w:ascii="黑体" w:hAnsi="黑体"/>
            </w:rPr>
            <w:tab/>
          </w:r>
          <w:r>
            <w:rPr>
              <w:rStyle w:val="17"/>
              <w:rFonts w:ascii="黑体" w:hAnsi="黑体"/>
            </w:rPr>
            <w:fldChar w:fldCharType="begin"/>
          </w:r>
          <w:r>
            <w:rPr>
              <w:rStyle w:val="17"/>
              <w:rFonts w:ascii="黑体" w:hAnsi="黑体"/>
            </w:rPr>
            <w:instrText xml:space="preserve"> PAGEREF _Toc104753331 \h </w:instrText>
          </w:r>
          <w:r>
            <w:rPr>
              <w:rStyle w:val="17"/>
              <w:rFonts w:ascii="黑体" w:hAnsi="黑体"/>
            </w:rPr>
            <w:fldChar w:fldCharType="separate"/>
          </w:r>
          <w:r>
            <w:rPr>
              <w:rStyle w:val="17"/>
              <w:rFonts w:ascii="黑体" w:hAnsi="黑体"/>
            </w:rPr>
            <w:t>1</w:t>
          </w:r>
          <w:r>
            <w:rPr>
              <w:rStyle w:val="17"/>
              <w:rFonts w:hint="eastAsia" w:ascii="黑体" w:hAnsi="黑体"/>
              <w:lang w:val="en-US" w:eastAsia="zh-CN"/>
            </w:rPr>
            <w:t>6</w:t>
          </w:r>
          <w:r>
            <w:rPr>
              <w:rStyle w:val="17"/>
              <w:rFonts w:ascii="黑体" w:hAnsi="黑体"/>
            </w:rPr>
            <w:fldChar w:fldCharType="end"/>
          </w:r>
          <w:r>
            <w:rPr>
              <w:rStyle w:val="17"/>
              <w:rFonts w:ascii="黑体" w:hAnsi="黑体"/>
            </w:rPr>
            <w:fldChar w:fldCharType="end"/>
          </w:r>
        </w:p>
        <w:p w14:paraId="112C3629">
          <w:pPr>
            <w:rPr>
              <w:rStyle w:val="17"/>
              <w:rFonts w:hint="default" w:ascii="黑体" w:hAnsi="黑体" w:eastAsia="仿宋"/>
              <w:lang w:val="en-US" w:eastAsia="zh-CN"/>
            </w:rPr>
          </w:pPr>
          <w:r>
            <w:rPr>
              <w:rStyle w:val="17"/>
              <w:rFonts w:hint="eastAsia" w:ascii="黑体" w:hAnsi="黑体"/>
              <w:lang w:val="zh-CN"/>
            </w:rPr>
            <w:t>（一）评价结论</w:t>
          </w:r>
          <w:r>
            <w:rPr>
              <w:rStyle w:val="17"/>
              <w:rFonts w:hint="eastAsia" w:ascii="黑体" w:hAnsi="黑体"/>
              <w:lang w:val="en-US" w:eastAsia="zh-CN"/>
            </w:rPr>
            <w:t>....................................16</w:t>
          </w:r>
        </w:p>
        <w:p w14:paraId="0408CFC1">
          <w:pPr>
            <w:rPr>
              <w:rStyle w:val="17"/>
              <w:rFonts w:hint="default" w:ascii="黑体" w:hAnsi="黑体" w:eastAsia="仿宋"/>
              <w:lang w:val="en-US" w:eastAsia="zh-CN"/>
            </w:rPr>
          </w:pPr>
          <w:r>
            <w:rPr>
              <w:rStyle w:val="17"/>
              <w:rFonts w:hint="eastAsia" w:ascii="黑体" w:hAnsi="黑体"/>
              <w:lang w:val="zh-CN"/>
            </w:rPr>
            <w:t>（二）具体绩效分析</w:t>
          </w:r>
          <w:r>
            <w:rPr>
              <w:rStyle w:val="17"/>
              <w:rFonts w:hint="eastAsia" w:ascii="黑体" w:hAnsi="黑体"/>
              <w:lang w:val="en-US" w:eastAsia="zh-CN"/>
            </w:rPr>
            <w:t>................................17</w:t>
          </w:r>
        </w:p>
        <w:p w14:paraId="7F2F4B12">
          <w:pPr>
            <w:pStyle w:val="3"/>
            <w:tabs>
              <w:tab w:val="right" w:leader="dot" w:pos="8296"/>
            </w:tabs>
            <w:ind w:firstLine="600"/>
            <w:rPr>
              <w:rStyle w:val="17"/>
              <w:rFonts w:ascii="黑体" w:hAnsi="黑体"/>
            </w:rPr>
          </w:pPr>
          <w:r>
            <w:fldChar w:fldCharType="begin"/>
          </w:r>
          <w:r>
            <w:instrText xml:space="preserve"> HYPERLINK \l "_Toc104753332" </w:instrText>
          </w:r>
          <w:r>
            <w:fldChar w:fldCharType="separate"/>
          </w:r>
          <w:r>
            <w:rPr>
              <w:rStyle w:val="17"/>
              <w:rFonts w:hint="eastAsia" w:ascii="黑体" w:hAnsi="黑体"/>
            </w:rPr>
            <w:t>四、成本效益分析</w:t>
          </w:r>
          <w:r>
            <w:rPr>
              <w:rStyle w:val="17"/>
              <w:rFonts w:ascii="黑体" w:hAnsi="黑体"/>
            </w:rPr>
            <w:tab/>
          </w:r>
          <w:r>
            <w:rPr>
              <w:rStyle w:val="17"/>
              <w:rFonts w:ascii="黑体" w:hAnsi="黑体"/>
            </w:rPr>
            <w:fldChar w:fldCharType="begin"/>
          </w:r>
          <w:r>
            <w:rPr>
              <w:rStyle w:val="17"/>
              <w:rFonts w:ascii="黑体" w:hAnsi="黑体"/>
            </w:rPr>
            <w:instrText xml:space="preserve"> PAGEREF _Toc104753332 \h </w:instrText>
          </w:r>
          <w:r>
            <w:rPr>
              <w:rStyle w:val="17"/>
              <w:rFonts w:ascii="黑体" w:hAnsi="黑体"/>
            </w:rPr>
            <w:fldChar w:fldCharType="separate"/>
          </w:r>
          <w:r>
            <w:rPr>
              <w:rStyle w:val="17"/>
              <w:rFonts w:ascii="黑体" w:hAnsi="黑体"/>
            </w:rPr>
            <w:t>1</w:t>
          </w:r>
          <w:r>
            <w:rPr>
              <w:rStyle w:val="17"/>
              <w:rFonts w:hint="eastAsia" w:ascii="黑体" w:hAnsi="黑体"/>
              <w:lang w:val="en-US" w:eastAsia="zh-CN"/>
            </w:rPr>
            <w:t>7</w:t>
          </w:r>
          <w:r>
            <w:rPr>
              <w:rStyle w:val="17"/>
              <w:rFonts w:ascii="黑体" w:hAnsi="黑体"/>
            </w:rPr>
            <w:fldChar w:fldCharType="end"/>
          </w:r>
          <w:r>
            <w:rPr>
              <w:rStyle w:val="17"/>
              <w:rFonts w:ascii="黑体" w:hAnsi="黑体"/>
            </w:rPr>
            <w:fldChar w:fldCharType="end"/>
          </w:r>
        </w:p>
        <w:p w14:paraId="3789D674">
          <w:pPr>
            <w:pStyle w:val="3"/>
            <w:tabs>
              <w:tab w:val="right" w:leader="dot" w:pos="8296"/>
            </w:tabs>
            <w:ind w:firstLine="600"/>
            <w:rPr>
              <w:rStyle w:val="17"/>
              <w:rFonts w:ascii="黑体" w:hAnsi="黑体"/>
            </w:rPr>
          </w:pPr>
          <w:r>
            <w:fldChar w:fldCharType="begin"/>
          </w:r>
          <w:r>
            <w:instrText xml:space="preserve"> HYPERLINK \l "_Toc104753333" </w:instrText>
          </w:r>
          <w:r>
            <w:fldChar w:fldCharType="separate"/>
          </w:r>
          <w:r>
            <w:rPr>
              <w:rStyle w:val="17"/>
              <w:rFonts w:hint="eastAsia" w:ascii="黑体" w:hAnsi="黑体"/>
            </w:rPr>
            <w:t>五、主要经验及做法、存在的问题和建议</w:t>
          </w:r>
          <w:r>
            <w:rPr>
              <w:rStyle w:val="17"/>
              <w:rFonts w:ascii="黑体" w:hAnsi="黑体"/>
            </w:rPr>
            <w:tab/>
          </w:r>
          <w:r>
            <w:rPr>
              <w:rStyle w:val="17"/>
              <w:rFonts w:ascii="黑体" w:hAnsi="黑体"/>
            </w:rPr>
            <w:fldChar w:fldCharType="begin"/>
          </w:r>
          <w:r>
            <w:rPr>
              <w:rStyle w:val="17"/>
              <w:rFonts w:ascii="黑体" w:hAnsi="黑体"/>
            </w:rPr>
            <w:instrText xml:space="preserve"> PAGEREF _Toc104753333 \h </w:instrText>
          </w:r>
          <w:r>
            <w:rPr>
              <w:rStyle w:val="17"/>
              <w:rFonts w:ascii="黑体" w:hAnsi="黑体"/>
            </w:rPr>
            <w:fldChar w:fldCharType="separate"/>
          </w:r>
          <w:r>
            <w:rPr>
              <w:rStyle w:val="17"/>
              <w:rFonts w:ascii="黑体" w:hAnsi="黑体"/>
            </w:rPr>
            <w:t>1</w:t>
          </w:r>
          <w:r>
            <w:rPr>
              <w:rStyle w:val="17"/>
              <w:rFonts w:hint="eastAsia" w:ascii="黑体" w:hAnsi="黑体"/>
              <w:lang w:val="en-US" w:eastAsia="zh-CN"/>
            </w:rPr>
            <w:t>8</w:t>
          </w:r>
          <w:r>
            <w:rPr>
              <w:rStyle w:val="17"/>
              <w:rFonts w:ascii="黑体" w:hAnsi="黑体"/>
            </w:rPr>
            <w:fldChar w:fldCharType="end"/>
          </w:r>
          <w:r>
            <w:rPr>
              <w:rStyle w:val="17"/>
              <w:rFonts w:ascii="黑体" w:hAnsi="黑体"/>
            </w:rPr>
            <w:fldChar w:fldCharType="end"/>
          </w:r>
        </w:p>
        <w:p w14:paraId="1C2386F4">
          <w:pPr>
            <w:pStyle w:val="3"/>
            <w:tabs>
              <w:tab w:val="right" w:leader="dot" w:pos="8296"/>
            </w:tabs>
            <w:ind w:firstLine="600"/>
            <w:rPr>
              <w:rStyle w:val="17"/>
              <w:rFonts w:ascii="黑体" w:hAnsi="黑体"/>
            </w:rPr>
          </w:pPr>
          <w:r>
            <w:fldChar w:fldCharType="begin"/>
          </w:r>
          <w:r>
            <w:instrText xml:space="preserve"> HYPERLINK \l "_Toc104753334" </w:instrText>
          </w:r>
          <w:r>
            <w:fldChar w:fldCharType="separate"/>
          </w:r>
          <w:r>
            <w:rPr>
              <w:rStyle w:val="17"/>
              <w:rFonts w:hint="eastAsia" w:ascii="黑体" w:hAnsi="黑体"/>
            </w:rPr>
            <w:t>（一）主要经验及做法</w:t>
          </w:r>
          <w:r>
            <w:rPr>
              <w:rStyle w:val="17"/>
              <w:rFonts w:ascii="黑体" w:hAnsi="黑体"/>
            </w:rPr>
            <w:tab/>
          </w:r>
          <w:r>
            <w:rPr>
              <w:rStyle w:val="17"/>
              <w:rFonts w:ascii="黑体" w:hAnsi="黑体"/>
            </w:rPr>
            <w:fldChar w:fldCharType="begin"/>
          </w:r>
          <w:r>
            <w:rPr>
              <w:rStyle w:val="17"/>
              <w:rFonts w:ascii="黑体" w:hAnsi="黑体"/>
            </w:rPr>
            <w:instrText xml:space="preserve"> PAGEREF _Toc104753334 \h </w:instrText>
          </w:r>
          <w:r>
            <w:rPr>
              <w:rStyle w:val="17"/>
              <w:rFonts w:ascii="黑体" w:hAnsi="黑体"/>
            </w:rPr>
            <w:fldChar w:fldCharType="separate"/>
          </w:r>
          <w:r>
            <w:rPr>
              <w:rStyle w:val="17"/>
              <w:rFonts w:ascii="黑体" w:hAnsi="黑体"/>
            </w:rPr>
            <w:t>1</w:t>
          </w:r>
          <w:r>
            <w:rPr>
              <w:rStyle w:val="17"/>
              <w:rFonts w:hint="eastAsia" w:ascii="黑体" w:hAnsi="黑体"/>
              <w:lang w:val="en-US" w:eastAsia="zh-CN"/>
            </w:rPr>
            <w:t>8</w:t>
          </w:r>
          <w:r>
            <w:rPr>
              <w:rStyle w:val="17"/>
              <w:rFonts w:ascii="黑体" w:hAnsi="黑体"/>
            </w:rPr>
            <w:fldChar w:fldCharType="end"/>
          </w:r>
          <w:r>
            <w:rPr>
              <w:rStyle w:val="17"/>
              <w:rFonts w:ascii="黑体" w:hAnsi="黑体"/>
            </w:rPr>
            <w:fldChar w:fldCharType="end"/>
          </w:r>
        </w:p>
        <w:p w14:paraId="583D7A0F">
          <w:pPr>
            <w:pStyle w:val="3"/>
            <w:tabs>
              <w:tab w:val="right" w:leader="dot" w:pos="8296"/>
            </w:tabs>
            <w:ind w:firstLine="600"/>
            <w:rPr>
              <w:rStyle w:val="17"/>
              <w:rFonts w:ascii="黑体" w:hAnsi="黑体"/>
            </w:rPr>
          </w:pPr>
          <w:r>
            <w:fldChar w:fldCharType="begin"/>
          </w:r>
          <w:r>
            <w:instrText xml:space="preserve"> HYPERLINK \l "_Toc104753335" </w:instrText>
          </w:r>
          <w:r>
            <w:fldChar w:fldCharType="separate"/>
          </w:r>
          <w:r>
            <w:rPr>
              <w:rStyle w:val="17"/>
              <w:rFonts w:hint="eastAsia" w:ascii="黑体" w:hAnsi="黑体"/>
            </w:rPr>
            <w:t>（二）存在的问题</w:t>
          </w:r>
          <w:r>
            <w:rPr>
              <w:rStyle w:val="17"/>
              <w:rFonts w:ascii="黑体" w:hAnsi="黑体"/>
            </w:rPr>
            <w:tab/>
          </w:r>
          <w:r>
            <w:rPr>
              <w:rStyle w:val="17"/>
              <w:rFonts w:ascii="黑体" w:hAnsi="黑体"/>
            </w:rPr>
            <w:fldChar w:fldCharType="begin"/>
          </w:r>
          <w:r>
            <w:rPr>
              <w:rStyle w:val="17"/>
              <w:rFonts w:ascii="黑体" w:hAnsi="黑体"/>
            </w:rPr>
            <w:instrText xml:space="preserve"> PAGEREF _Toc104753335 \h </w:instrText>
          </w:r>
          <w:r>
            <w:rPr>
              <w:rStyle w:val="17"/>
              <w:rFonts w:ascii="黑体" w:hAnsi="黑体"/>
            </w:rPr>
            <w:fldChar w:fldCharType="separate"/>
          </w:r>
          <w:r>
            <w:rPr>
              <w:rStyle w:val="17"/>
              <w:rFonts w:ascii="黑体" w:hAnsi="黑体"/>
            </w:rPr>
            <w:t>1</w:t>
          </w:r>
          <w:r>
            <w:rPr>
              <w:rStyle w:val="17"/>
              <w:rFonts w:hint="eastAsia" w:ascii="黑体" w:hAnsi="黑体"/>
              <w:lang w:val="en-US" w:eastAsia="zh-CN"/>
            </w:rPr>
            <w:t>9</w:t>
          </w:r>
          <w:r>
            <w:rPr>
              <w:rStyle w:val="17"/>
              <w:rFonts w:ascii="黑体" w:hAnsi="黑体"/>
            </w:rPr>
            <w:fldChar w:fldCharType="end"/>
          </w:r>
          <w:r>
            <w:rPr>
              <w:rStyle w:val="17"/>
              <w:rFonts w:ascii="黑体" w:hAnsi="黑体"/>
            </w:rPr>
            <w:fldChar w:fldCharType="end"/>
          </w:r>
        </w:p>
        <w:p w14:paraId="41697616">
          <w:pPr>
            <w:pStyle w:val="3"/>
            <w:tabs>
              <w:tab w:val="right" w:leader="dot" w:pos="8296"/>
            </w:tabs>
            <w:ind w:firstLine="600"/>
            <w:rPr>
              <w:rFonts w:asciiTheme="minorHAnsi" w:hAnsiTheme="minorHAnsi" w:eastAsiaTheme="minorEastAsia" w:cstheme="minorBidi"/>
              <w:sz w:val="21"/>
            </w:rPr>
          </w:pPr>
          <w:r>
            <w:fldChar w:fldCharType="begin"/>
          </w:r>
          <w:r>
            <w:instrText xml:space="preserve"> HYPERLINK \l "_Toc104753336" </w:instrText>
          </w:r>
          <w:r>
            <w:fldChar w:fldCharType="separate"/>
          </w:r>
          <w:r>
            <w:rPr>
              <w:rStyle w:val="17"/>
              <w:rFonts w:hint="eastAsia" w:ascii="黑体" w:hAnsi="黑体"/>
            </w:rPr>
            <w:t>（三）建议和改进措施</w:t>
          </w:r>
          <w:r>
            <w:rPr>
              <w:rStyle w:val="17"/>
              <w:rFonts w:ascii="黑体" w:hAnsi="黑体"/>
            </w:rPr>
            <w:tab/>
          </w:r>
          <w:r>
            <w:rPr>
              <w:rStyle w:val="17"/>
              <w:rFonts w:ascii="黑体" w:hAnsi="黑体"/>
            </w:rPr>
            <w:fldChar w:fldCharType="begin"/>
          </w:r>
          <w:r>
            <w:rPr>
              <w:rStyle w:val="17"/>
              <w:rFonts w:ascii="黑体" w:hAnsi="黑体"/>
            </w:rPr>
            <w:instrText xml:space="preserve"> PAGEREF _Toc104753336 \h </w:instrText>
          </w:r>
          <w:r>
            <w:rPr>
              <w:rStyle w:val="17"/>
              <w:rFonts w:ascii="黑体" w:hAnsi="黑体"/>
            </w:rPr>
            <w:fldChar w:fldCharType="separate"/>
          </w:r>
          <w:r>
            <w:rPr>
              <w:rStyle w:val="17"/>
              <w:rFonts w:ascii="黑体" w:hAnsi="黑体"/>
            </w:rPr>
            <w:t>1</w:t>
          </w:r>
          <w:r>
            <w:rPr>
              <w:rStyle w:val="17"/>
              <w:rFonts w:hint="eastAsia" w:ascii="黑体" w:hAnsi="黑体"/>
              <w:lang w:val="en-US" w:eastAsia="zh-CN"/>
            </w:rPr>
            <w:t>9</w:t>
          </w:r>
          <w:r>
            <w:rPr>
              <w:rStyle w:val="17"/>
              <w:rFonts w:ascii="黑体" w:hAnsi="黑体"/>
            </w:rPr>
            <w:fldChar w:fldCharType="end"/>
          </w:r>
          <w:r>
            <w:rPr>
              <w:rStyle w:val="17"/>
              <w:rFonts w:ascii="黑体" w:hAnsi="黑体"/>
            </w:rPr>
            <w:fldChar w:fldCharType="end"/>
          </w:r>
        </w:p>
        <w:p w14:paraId="6CBD95AF">
          <w:pPr>
            <w:ind w:firstLine="600"/>
          </w:pPr>
          <w:r>
            <w:fldChar w:fldCharType="end"/>
          </w:r>
        </w:p>
      </w:sdtContent>
    </w:sdt>
    <w:p w14:paraId="0E4CD41F">
      <w:pPr>
        <w:ind w:firstLine="600"/>
        <w:rPr>
          <w:rFonts w:ascii="方正小标宋_GBK" w:hAnsi="黑体" w:eastAsia="方正小标宋_GBK"/>
          <w:szCs w:val="32"/>
        </w:rPr>
      </w:pPr>
      <w:r>
        <w:rPr>
          <w:rFonts w:ascii="方正小标宋_GBK" w:hAnsi="黑体" w:eastAsia="方正小标宋_GBK"/>
          <w:szCs w:val="32"/>
        </w:rPr>
        <w:br w:type="page"/>
      </w:r>
    </w:p>
    <w:p w14:paraId="47740A11">
      <w:pPr>
        <w:pStyle w:val="2"/>
        <w:ind w:firstLine="420"/>
      </w:pPr>
    </w:p>
    <w:p w14:paraId="73682179">
      <w:pPr>
        <w:ind w:firstLine="0" w:firstLineChars="0"/>
        <w:jc w:val="center"/>
        <w:rPr>
          <w:rFonts w:ascii="黑体" w:hAnsi="黑体" w:eastAsia="黑体" w:cs="黑体"/>
          <w:b/>
          <w:bCs/>
          <w:sz w:val="52"/>
          <w:szCs w:val="52"/>
        </w:rPr>
      </w:pPr>
      <w:r>
        <w:rPr>
          <w:rFonts w:hint="eastAsia" w:ascii="黑体" w:hAnsi="黑体" w:eastAsia="黑体" w:cs="黑体"/>
          <w:b/>
          <w:bCs/>
          <w:sz w:val="52"/>
          <w:szCs w:val="52"/>
        </w:rPr>
        <w:t>昆明市盘龙区人民政府鼓楼街道办事处项目支出绩效自评报告</w:t>
      </w:r>
    </w:p>
    <w:p w14:paraId="72C82425">
      <w:pPr>
        <w:spacing w:line="440" w:lineRule="exact"/>
        <w:ind w:firstLine="600"/>
        <w:jc w:val="left"/>
        <w:rPr>
          <w:rFonts w:ascii="黑体" w:hAnsi="黑体" w:eastAsia="黑体"/>
          <w:szCs w:val="32"/>
        </w:rPr>
      </w:pPr>
    </w:p>
    <w:p w14:paraId="433A04AB">
      <w:pPr>
        <w:pStyle w:val="4"/>
        <w:ind w:firstLine="602"/>
        <w:rPr>
          <w:sz w:val="30"/>
          <w:szCs w:val="30"/>
        </w:rPr>
      </w:pPr>
      <w:bookmarkStart w:id="2" w:name="_Toc104753320"/>
      <w:r>
        <w:rPr>
          <w:rFonts w:hint="eastAsia"/>
          <w:sz w:val="30"/>
          <w:szCs w:val="30"/>
        </w:rPr>
        <w:t>摘要</w:t>
      </w:r>
      <w:bookmarkEnd w:id="2"/>
    </w:p>
    <w:p w14:paraId="427D3E4E">
      <w:pPr>
        <w:ind w:firstLine="600"/>
        <w:rPr>
          <w:rFonts w:hint="eastAsia" w:ascii="仿宋_GB2312" w:eastAsia="仿宋_GB2312"/>
          <w:szCs w:val="30"/>
          <w:lang w:val="en-US" w:eastAsia="zh-CN"/>
        </w:rPr>
      </w:pPr>
      <w:r>
        <w:rPr>
          <w:rFonts w:hint="eastAsia"/>
        </w:rPr>
        <w:t xml:space="preserve"> </w:t>
      </w:r>
      <w:r>
        <w:rPr>
          <w:rFonts w:hint="eastAsia" w:ascii="仿宋_GB2312" w:eastAsia="仿宋_GB2312"/>
          <w:szCs w:val="30"/>
        </w:rPr>
        <w:t>“街道吹哨、部门报到”工作经费项目坚持以人民为中心，以推进机构职能优化协同高效为着力点</w:t>
      </w:r>
      <w:r>
        <w:rPr>
          <w:rFonts w:hint="eastAsia" w:ascii="仿宋_GB2312" w:eastAsia="仿宋_GB2312"/>
          <w:szCs w:val="30"/>
          <w:lang w:val="en-US" w:eastAsia="zh-CN"/>
        </w:rPr>
        <w:t>,</w:t>
      </w:r>
      <w:r>
        <w:rPr>
          <w:rFonts w:hint="eastAsia" w:ascii="仿宋_GB2312" w:eastAsia="仿宋_GB2312"/>
          <w:szCs w:val="30"/>
        </w:rPr>
        <w:t>建立完善高效运转的工作机制分级哨，精准吹哨。精准到“哨”，将群众诉求分为普通哨、重点哨:疑难哨三级哨，针对矛盾复杂的疑难问题，建立“哨升级”机制，保证“哨随事动，事随哨结”。精准到“事”，明确“吹哨”事件对应“报到”部门</w:t>
      </w:r>
      <w:r>
        <w:rPr>
          <w:rFonts w:hint="eastAsia" w:ascii="仿宋_GB2312" w:eastAsia="仿宋_GB2312"/>
          <w:szCs w:val="30"/>
          <w:lang w:val="en-US" w:eastAsia="zh-CN"/>
        </w:rPr>
        <w:t>。</w:t>
      </w:r>
    </w:p>
    <w:p w14:paraId="42E20116">
      <w:pPr>
        <w:pStyle w:val="4"/>
        <w:numPr>
          <w:ilvl w:val="0"/>
          <w:numId w:val="1"/>
        </w:numPr>
        <w:ind w:firstLine="602"/>
        <w:rPr>
          <w:rFonts w:ascii="黑体" w:hAnsi="黑体"/>
          <w:sz w:val="30"/>
          <w:szCs w:val="30"/>
        </w:rPr>
      </w:pPr>
      <w:bookmarkStart w:id="3" w:name="_Toc104753321"/>
      <w:r>
        <w:rPr>
          <w:rFonts w:hint="eastAsia" w:ascii="黑体" w:hAnsi="黑体"/>
          <w:sz w:val="30"/>
          <w:szCs w:val="30"/>
        </w:rPr>
        <w:t>项目概况</w:t>
      </w:r>
      <w:bookmarkEnd w:id="3"/>
    </w:p>
    <w:p w14:paraId="4D15F8CA">
      <w:pPr>
        <w:ind w:firstLine="600"/>
        <w:rPr>
          <w:rFonts w:ascii="仿宋_GB2312" w:eastAsia="仿宋_GB2312"/>
          <w:szCs w:val="30"/>
        </w:rPr>
      </w:pPr>
      <w:r>
        <w:rPr>
          <w:rFonts w:hint="eastAsia" w:ascii="仿宋_GB2312" w:eastAsia="仿宋_GB2312"/>
          <w:szCs w:val="30"/>
        </w:rPr>
        <w:t>项目立项背景：本项目根据中共昆明市盘龙区委办公室+昆明市盘龙区人民政府办公室印发《盘龙区关于党建引领基层治理推动实现+“街道吹哨、部门报到”实施方案》的通知（盘办通〔2019〕59号），关于印发《关于建立“街道吹哨、部门报到”工作机制+落实街道对综合事项统筹调度权的实施办法（试行）》的通知（盘政办通〔2019〕83号）立项。</w:t>
      </w:r>
    </w:p>
    <w:p w14:paraId="624E3F00">
      <w:pPr>
        <w:ind w:firstLine="600"/>
        <w:rPr>
          <w:rFonts w:hint="eastAsia" w:ascii="仿宋_GB2312" w:eastAsia="仿宋_GB2312"/>
          <w:szCs w:val="30"/>
        </w:rPr>
      </w:pPr>
      <w:r>
        <w:rPr>
          <w:rFonts w:hint="eastAsia" w:ascii="仿宋_GB2312" w:eastAsia="仿宋_GB2312"/>
          <w:szCs w:val="30"/>
        </w:rPr>
        <w:t>项目目的：</w:t>
      </w:r>
      <w:r>
        <w:rPr>
          <w:rFonts w:hint="eastAsia" w:ascii="仿宋_GB2312" w:eastAsia="仿宋_GB2312"/>
          <w:szCs w:val="30"/>
          <w:lang w:eastAsia="zh-CN"/>
        </w:rPr>
        <w:t>街道</w:t>
      </w:r>
      <w:r>
        <w:rPr>
          <w:rFonts w:hint="eastAsia" w:ascii="仿宋_GB2312" w:eastAsia="仿宋_GB2312"/>
          <w:szCs w:val="30"/>
        </w:rPr>
        <w:t>党组织动起来。实行街道主导、区域党组织共建共融的“大党建”机制，与辖区党政机关、企事业单位、非公企业等共同实施组织资源联用、服务联做，带动街道区域内各类基层党组织积极参与区域党建、社会、民生、稳定等事务，逐步实现“条块结合、资源共享、优势互补、共驻共建”。稳步完成改革，实现行政执法部门的率先“报到”。</w:t>
      </w:r>
    </w:p>
    <w:p w14:paraId="40BA1C84">
      <w:pPr>
        <w:ind w:firstLine="600"/>
        <w:rPr>
          <w:rFonts w:ascii="仿宋_GB2312" w:eastAsia="仿宋_GB2312"/>
          <w:szCs w:val="30"/>
        </w:rPr>
      </w:pPr>
      <w:r>
        <w:rPr>
          <w:rFonts w:hint="eastAsia" w:ascii="仿宋_GB2312" w:eastAsia="仿宋_GB2312"/>
          <w:szCs w:val="30"/>
        </w:rPr>
        <w:t>预算收支情况：本项目资金收入200万元，全部为一般公共预算拨款，本年度已全部支付完毕，主要用于城管中队、临时人员、农林水应急中心劳务费、创文活动</w:t>
      </w:r>
      <w:r>
        <w:rPr>
          <w:rFonts w:hint="eastAsia" w:ascii="仿宋_GB2312" w:eastAsia="仿宋_GB2312"/>
          <w:szCs w:val="30"/>
          <w:lang w:eastAsia="zh-CN"/>
        </w:rPr>
        <w:t>、创文零星工程款、危房排危加固费、社区办公场所租金</w:t>
      </w:r>
      <w:r>
        <w:rPr>
          <w:rFonts w:hint="eastAsia" w:ascii="仿宋_GB2312" w:eastAsia="仿宋_GB2312"/>
          <w:szCs w:val="30"/>
        </w:rPr>
        <w:t>等开支。</w:t>
      </w:r>
    </w:p>
    <w:p w14:paraId="1968F696">
      <w:pPr>
        <w:pStyle w:val="4"/>
        <w:numPr>
          <w:ilvl w:val="0"/>
          <w:numId w:val="1"/>
        </w:numPr>
        <w:ind w:firstLine="602"/>
        <w:rPr>
          <w:rFonts w:ascii="黑体" w:hAnsi="黑体"/>
          <w:sz w:val="30"/>
          <w:szCs w:val="30"/>
        </w:rPr>
      </w:pPr>
      <w:bookmarkStart w:id="4" w:name="_Toc104753322"/>
      <w:r>
        <w:rPr>
          <w:rFonts w:hint="eastAsia" w:ascii="黑体" w:hAnsi="黑体"/>
          <w:sz w:val="30"/>
          <w:szCs w:val="30"/>
        </w:rPr>
        <w:t>评价结论</w:t>
      </w:r>
      <w:bookmarkEnd w:id="4"/>
    </w:p>
    <w:p w14:paraId="75FD61CF">
      <w:pPr>
        <w:bidi w:val="0"/>
        <w:rPr>
          <w:rFonts w:hint="eastAsia"/>
          <w:lang w:eastAsia="zh-CN"/>
        </w:rPr>
      </w:pPr>
      <w:r>
        <w:rPr>
          <w:rFonts w:hint="eastAsia"/>
          <w:lang w:eastAsia="zh-CN"/>
        </w:rPr>
        <w:t>根据对投入类指标、过程类指标和产出效益类指标的分析，鼓楼街道办严格执行财务管理相关制度的规定，财务制度健全，管理规范，做到了专款专用，无贪污、截留、挪用现象。</w:t>
      </w:r>
    </w:p>
    <w:p w14:paraId="60AE8DE7">
      <w:pPr>
        <w:rPr>
          <w:rFonts w:hint="eastAsia" w:ascii="仿宋_GB2312" w:eastAsia="仿宋_GB2312" w:cs="Times New Roman"/>
          <w:szCs w:val="30"/>
        </w:rPr>
      </w:pPr>
      <w:r>
        <w:rPr>
          <w:rFonts w:hint="eastAsia" w:ascii="仿宋_GB2312" w:eastAsia="仿宋_GB2312" w:cs="Times New Roman"/>
          <w:szCs w:val="30"/>
        </w:rPr>
        <w:t>调动驻区单位和社会力量共建共治。“吹哨报到”改革除了要求执法力量到街乡“报到”外，整合带动体制内其他单位和体制外力量，不断拓展“报到”服务的参与面。“推行</w:t>
      </w:r>
      <w:r>
        <w:rPr>
          <w:rFonts w:hint="eastAsia" w:ascii="仿宋_GB2312" w:eastAsia="仿宋_GB2312" w:cs="Times New Roman"/>
          <w:szCs w:val="30"/>
          <w:lang w:eastAsia="zh-CN"/>
        </w:rPr>
        <w:t>“</w:t>
      </w:r>
      <w:r>
        <w:rPr>
          <w:rFonts w:hint="eastAsia" w:ascii="仿宋_GB2312" w:eastAsia="仿宋_GB2312" w:cs="Times New Roman"/>
          <w:szCs w:val="30"/>
        </w:rPr>
        <w:t>吹哨</w:t>
      </w:r>
      <w:r>
        <w:rPr>
          <w:rFonts w:hint="eastAsia" w:ascii="仿宋_GB2312" w:eastAsia="仿宋_GB2312" w:cs="Times New Roman"/>
          <w:szCs w:val="30"/>
          <w:lang w:val="en-US" w:eastAsia="zh-CN"/>
        </w:rPr>
        <w:t>.</w:t>
      </w:r>
      <w:r>
        <w:rPr>
          <w:rFonts w:hint="eastAsia" w:ascii="仿宋_GB2312" w:eastAsia="仿宋_GB2312" w:cs="Times New Roman"/>
          <w:szCs w:val="30"/>
        </w:rPr>
        <w:t>"报到</w:t>
      </w:r>
      <w:r>
        <w:rPr>
          <w:rFonts w:hint="default" w:ascii="仿宋_GB2312" w:eastAsia="仿宋_GB2312" w:cs="Times New Roman"/>
          <w:szCs w:val="30"/>
          <w:lang w:val="en-US" w:eastAsia="zh-CN"/>
        </w:rPr>
        <w:t>”</w:t>
      </w:r>
      <w:r>
        <w:rPr>
          <w:rFonts w:hint="eastAsia" w:ascii="仿宋_GB2312" w:eastAsia="仿宋_GB2312" w:cs="Times New Roman"/>
          <w:szCs w:val="30"/>
        </w:rPr>
        <w:t>机制后，街道和社区在城市基层治理上有了更多话语权，提高了职能部门履职和机关党员双报到的积极性，基层群众的获得感、幸福感、安全感进一步增强。”</w:t>
      </w:r>
    </w:p>
    <w:p w14:paraId="3C3AAC8D">
      <w:pPr>
        <w:rPr>
          <w:rFonts w:hint="eastAsia" w:ascii="仿宋_GB2312" w:eastAsia="仿宋_GB2312" w:cs="Times New Roman"/>
          <w:szCs w:val="30"/>
        </w:rPr>
      </w:pPr>
      <w:r>
        <w:rPr>
          <w:rFonts w:hint="eastAsia" w:ascii="仿宋_GB2312" w:eastAsia="仿宋_GB2312" w:cs="Times New Roman"/>
          <w:szCs w:val="30"/>
        </w:rPr>
        <w:t>根据《盘龙区区级部门预算绩效自评管理暂行办法》，绩效评价得分为86.54分，自评结果为良。</w:t>
      </w:r>
    </w:p>
    <w:p w14:paraId="52EA8EDB">
      <w:pPr>
        <w:pStyle w:val="4"/>
        <w:ind w:firstLine="602"/>
        <w:rPr>
          <w:rFonts w:ascii="黑体" w:hAnsi="黑体"/>
          <w:sz w:val="30"/>
          <w:szCs w:val="30"/>
        </w:rPr>
      </w:pPr>
      <w:bookmarkStart w:id="5" w:name="_Toc104753323"/>
      <w:r>
        <w:rPr>
          <w:rFonts w:hint="eastAsia" w:ascii="黑体" w:hAnsi="黑体"/>
          <w:sz w:val="30"/>
          <w:szCs w:val="30"/>
        </w:rPr>
        <w:t>三、经验、问题和建议</w:t>
      </w:r>
      <w:bookmarkEnd w:id="5"/>
    </w:p>
    <w:p w14:paraId="3A758379">
      <w:pPr>
        <w:pStyle w:val="5"/>
        <w:ind w:firstLine="602"/>
        <w:rPr>
          <w:rFonts w:hint="eastAsia" w:ascii="楷体_GB2312" w:eastAsia="楷体_GB2312"/>
          <w:sz w:val="30"/>
          <w:szCs w:val="30"/>
        </w:rPr>
      </w:pPr>
      <w:bookmarkStart w:id="6" w:name="_Toc104753324"/>
      <w:r>
        <w:rPr>
          <w:rFonts w:hint="eastAsia" w:ascii="楷体_GB2312" w:eastAsia="楷体_GB2312"/>
          <w:sz w:val="30"/>
          <w:szCs w:val="30"/>
        </w:rPr>
        <w:t>（一）主要经验及做法</w:t>
      </w:r>
      <w:bookmarkEnd w:id="6"/>
    </w:p>
    <w:p w14:paraId="16190A60">
      <w:pPr>
        <w:ind w:left="602" w:firstLine="0" w:firstLineChars="0"/>
        <w:rPr>
          <w:rFonts w:ascii="仿宋_GB2312" w:eastAsia="仿宋_GB2312"/>
          <w:bCs/>
          <w:szCs w:val="30"/>
        </w:rPr>
      </w:pPr>
      <w:r>
        <w:rPr>
          <w:rFonts w:hint="eastAsia" w:ascii="楷体_GB2312" w:hAnsi="Arial" w:eastAsia="楷体_GB2312" w:cs="Times New Roman"/>
          <w:b/>
          <w:kern w:val="2"/>
          <w:sz w:val="30"/>
          <w:szCs w:val="30"/>
          <w:lang w:val="en-US" w:eastAsia="zh-CN" w:bidi="ar-SA"/>
        </w:rPr>
        <w:t>1.落实党建引领“街道吹哨、部门报到</w:t>
      </w:r>
      <w:r>
        <w:rPr>
          <w:rFonts w:hint="eastAsia" w:ascii="仿宋_GB2312" w:eastAsia="仿宋_GB2312"/>
          <w:bCs/>
          <w:szCs w:val="30"/>
        </w:rPr>
        <w:t>”</w:t>
      </w:r>
    </w:p>
    <w:p w14:paraId="42A837B8">
      <w:pPr>
        <w:ind w:firstLine="600"/>
        <w:rPr>
          <w:rFonts w:hint="eastAsia" w:ascii="仿宋_GB2312" w:eastAsia="仿宋_GB2312"/>
          <w:szCs w:val="30"/>
        </w:rPr>
      </w:pPr>
      <w:r>
        <w:rPr>
          <w:rFonts w:hint="eastAsia" w:ascii="仿宋_GB2312" w:eastAsia="仿宋_GB2312"/>
          <w:szCs w:val="30"/>
        </w:rPr>
        <w:t>街道办事处坚持党建引领“街道吹哨、部门报到”，在本街道党的工作委员会领导下，以到基层一线解决问题为导向，统筹协调、指挥调度、承担公共服务职能的企业事业单位等，围绕群众诉求、重点工作、综合执法、应急处置等反映集中、难以解决的事项，共同做好辖区服务管理工作。</w:t>
      </w:r>
    </w:p>
    <w:p w14:paraId="05FE9A73">
      <w:pPr>
        <w:ind w:left="602" w:firstLine="0" w:firstLineChars="0"/>
        <w:rPr>
          <w:rFonts w:hint="eastAsia" w:ascii="楷体_GB2312" w:hAnsi="Arial" w:eastAsia="楷体_GB2312" w:cs="Times New Roman"/>
          <w:b/>
          <w:kern w:val="2"/>
          <w:sz w:val="30"/>
          <w:szCs w:val="30"/>
          <w:lang w:val="en-US" w:eastAsia="zh-CN" w:bidi="ar-SA"/>
        </w:rPr>
      </w:pPr>
      <w:r>
        <w:rPr>
          <w:rFonts w:hint="eastAsia" w:ascii="楷体_GB2312" w:hAnsi="Arial" w:eastAsia="楷体_GB2312" w:cs="Times New Roman"/>
          <w:b/>
          <w:kern w:val="2"/>
          <w:sz w:val="30"/>
          <w:szCs w:val="30"/>
          <w:lang w:val="en-US" w:eastAsia="zh-CN" w:bidi="ar-SA"/>
        </w:rPr>
        <w:t>2.加强学习，强化绩效管理的理念</w:t>
      </w:r>
    </w:p>
    <w:p w14:paraId="3E1542E5">
      <w:pPr>
        <w:rPr>
          <w:rFonts w:hint="eastAsia" w:ascii="仿宋_GB2312" w:eastAsia="仿宋_GB2312" w:cs="Times New Roman"/>
          <w:szCs w:val="30"/>
        </w:rPr>
      </w:pPr>
      <w:r>
        <w:rPr>
          <w:rFonts w:hint="eastAsia" w:ascii="仿宋_GB2312" w:eastAsia="仿宋_GB2312" w:cs="Times New Roman"/>
          <w:szCs w:val="30"/>
        </w:rPr>
        <w:t>认真学习财政部《关于推进预算绩效管理的指导意见》（财预〔2014〕416号）、云南省财政厅《云南省省级部门财政支出绩效办法》（云财预〔2016〕98号）、《昆明市盘龙区财政局关于开展2022年度区级预算支出绩效自评工作的通知</w:t>
      </w:r>
      <w:r>
        <w:rPr>
          <w:rFonts w:hint="eastAsia" w:ascii="仿宋_GB2312" w:eastAsia="仿宋_GB2312" w:cs="Times New Roman"/>
          <w:szCs w:val="30"/>
          <w:lang w:eastAsia="zh-CN"/>
        </w:rPr>
        <w:t>》</w:t>
      </w:r>
      <w:r>
        <w:rPr>
          <w:rFonts w:hint="eastAsia" w:ascii="仿宋_GB2312" w:eastAsia="仿宋_GB2312" w:cs="Times New Roman"/>
          <w:szCs w:val="30"/>
        </w:rPr>
        <w:t>（盘财绩[2023]14号）</w:t>
      </w:r>
      <w:r>
        <w:rPr>
          <w:rFonts w:hint="eastAsia" w:ascii="仿宋_GB2312" w:eastAsia="仿宋_GB2312" w:cs="Times New Roman"/>
          <w:szCs w:val="30"/>
          <w:lang w:eastAsia="zh-CN"/>
        </w:rPr>
        <w:t>、昆明市盘龙区人民政府关于印发昆明市盘龙区人民政府贯彻落实“三重一大”集体决策制度实施细则的通知（红头）、</w:t>
      </w:r>
      <w:r>
        <w:rPr>
          <w:rFonts w:hint="eastAsia" w:ascii="仿宋_GB2312" w:eastAsia="仿宋_GB2312" w:cs="Times New Roman"/>
          <w:szCs w:val="30"/>
        </w:rPr>
        <w:t>《盘龙区区级部门预算绩效自评管理暂行办法》相关绩效管理文件，吃透文件精神，强化绩效管理的理念。</w:t>
      </w:r>
    </w:p>
    <w:p w14:paraId="3FB47759">
      <w:pPr>
        <w:ind w:left="602" w:firstLine="0" w:firstLineChars="0"/>
        <w:rPr>
          <w:rFonts w:hint="eastAsia" w:ascii="楷体_GB2312" w:hAnsi="Arial" w:eastAsia="楷体_GB2312" w:cs="Times New Roman"/>
          <w:b/>
          <w:kern w:val="2"/>
          <w:sz w:val="30"/>
          <w:szCs w:val="30"/>
          <w:lang w:val="en-US" w:eastAsia="zh-CN" w:bidi="ar-SA"/>
        </w:rPr>
      </w:pPr>
      <w:bookmarkStart w:id="7" w:name="_Toc104753325"/>
      <w:r>
        <w:rPr>
          <w:rFonts w:hint="eastAsia" w:ascii="楷体_GB2312" w:hAnsi="Arial" w:eastAsia="楷体_GB2312" w:cs="Times New Roman"/>
          <w:b/>
          <w:kern w:val="2"/>
          <w:sz w:val="30"/>
          <w:szCs w:val="30"/>
          <w:lang w:val="en-US" w:eastAsia="zh-CN" w:bidi="ar-SA"/>
        </w:rPr>
        <w:t>3.以党建引领汇聚“向心力”</w:t>
      </w:r>
    </w:p>
    <w:p w14:paraId="13E3794B">
      <w:pPr>
        <w:rPr>
          <w:rFonts w:hint="eastAsia" w:ascii="仿宋_GB2312" w:eastAsia="仿宋_GB2312" w:cs="Times New Roman"/>
          <w:szCs w:val="30"/>
          <w:lang w:val="en-US" w:eastAsia="zh-CN"/>
        </w:rPr>
      </w:pPr>
      <w:r>
        <w:rPr>
          <w:rFonts w:hint="eastAsia" w:ascii="仿宋_GB2312" w:eastAsia="仿宋_GB2312" w:cs="Times New Roman"/>
          <w:szCs w:val="30"/>
          <w:lang w:val="en-US" w:eastAsia="zh-CN"/>
        </w:rPr>
        <w:t>坚持把加强党建引领作为提升基层社会治理能力的根本路径，引导各级党组织积极参与基层社会治理，努力打造共建共治共享的社会治理格局。党建引领“街道吹哨、部门报到”工作，不仅增进了辖区内共建单位对街道党建工作的了解，也有效促进社区资源共建共享，优势互补，助力发展治理多样化，问题困难有效破解、服务水平显著提升，激发党建新活力。</w:t>
      </w:r>
    </w:p>
    <w:p w14:paraId="3B78C53B">
      <w:pPr>
        <w:pStyle w:val="4"/>
        <w:rPr>
          <w:rFonts w:hint="eastAsia"/>
          <w:lang w:val="en-US" w:eastAsia="zh-CN"/>
        </w:rPr>
      </w:pPr>
    </w:p>
    <w:p w14:paraId="2CF97ACD">
      <w:pPr>
        <w:numPr>
          <w:ilvl w:val="0"/>
          <w:numId w:val="0"/>
        </w:numPr>
        <w:ind w:firstLine="602" w:firstLineChars="200"/>
        <w:rPr>
          <w:rFonts w:hint="eastAsia" w:ascii="楷体_GB2312" w:eastAsia="楷体_GB2312"/>
          <w:b/>
          <w:bCs/>
          <w:sz w:val="30"/>
          <w:szCs w:val="30"/>
        </w:rPr>
      </w:pPr>
      <w:r>
        <w:rPr>
          <w:rFonts w:hint="eastAsia" w:ascii="楷体_GB2312" w:eastAsia="楷体_GB2312"/>
          <w:b/>
          <w:bCs/>
          <w:sz w:val="30"/>
          <w:szCs w:val="30"/>
        </w:rPr>
        <w:t>（二）存在的问题</w:t>
      </w:r>
      <w:bookmarkEnd w:id="7"/>
      <w:bookmarkStart w:id="8" w:name="_Toc104753326"/>
    </w:p>
    <w:p w14:paraId="5FC93C73">
      <w:pPr>
        <w:rPr>
          <w:rFonts w:hint="eastAsia" w:ascii="仿宋_GB2312" w:eastAsia="仿宋_GB2312" w:cs="Times New Roman"/>
          <w:szCs w:val="30"/>
          <w:lang w:val="en-US" w:eastAsia="zh-CN"/>
        </w:rPr>
      </w:pPr>
      <w:r>
        <w:rPr>
          <w:rFonts w:hint="eastAsia" w:ascii="仿宋_GB2312" w:eastAsia="仿宋_GB2312" w:cs="Times New Roman"/>
          <w:szCs w:val="30"/>
          <w:lang w:val="en-US" w:eastAsia="zh-CN"/>
        </w:rPr>
        <w:t>绩效目标设置不够科学合理。本项目工作任务和总体绩效目标较明确，项目单位对绩效目标进行了一定的细化和量化，但绩效指标的设置不够全面，细化指标不够合理，以及部分效益指标设置含义不清等问题。</w:t>
      </w:r>
    </w:p>
    <w:p w14:paraId="210283A4">
      <w:pPr>
        <w:pStyle w:val="5"/>
        <w:ind w:firstLine="602"/>
        <w:rPr>
          <w:rFonts w:ascii="楷体_GB2312" w:eastAsia="楷体_GB2312"/>
          <w:sz w:val="30"/>
          <w:szCs w:val="30"/>
          <w:highlight w:val="none"/>
        </w:rPr>
      </w:pPr>
      <w:r>
        <w:rPr>
          <w:rFonts w:hint="eastAsia" w:ascii="仿宋_GB2312" w:hAnsi="Calibri" w:eastAsia="仿宋_GB2312" w:cs="Times New Roman"/>
          <w:b w:val="0"/>
          <w:kern w:val="2"/>
          <w:sz w:val="30"/>
          <w:szCs w:val="30"/>
          <w:highlight w:val="none"/>
          <w:lang w:val="en-US" w:eastAsia="zh-CN" w:bidi="ar-SA"/>
        </w:rPr>
        <w:t>（</w:t>
      </w:r>
      <w:r>
        <w:rPr>
          <w:rFonts w:hint="eastAsia" w:ascii="楷体_GB2312" w:eastAsia="楷体_GB2312"/>
          <w:sz w:val="30"/>
          <w:szCs w:val="30"/>
          <w:highlight w:val="none"/>
        </w:rPr>
        <w:t>三）改进措施及建议</w:t>
      </w:r>
      <w:bookmarkEnd w:id="8"/>
    </w:p>
    <w:p w14:paraId="308C8697">
      <w:pPr>
        <w:ind w:firstLine="600"/>
        <w:rPr>
          <w:rFonts w:hint="eastAsia" w:ascii="仿宋_GB2312" w:hAnsi="黑体" w:eastAsia="仿宋_GB2312"/>
          <w:szCs w:val="30"/>
          <w:highlight w:val="none"/>
        </w:rPr>
      </w:pPr>
      <w:r>
        <w:rPr>
          <w:rFonts w:hint="eastAsia" w:ascii="仿宋_GB2312" w:hAnsi="黑体" w:eastAsia="仿宋_GB2312"/>
          <w:szCs w:val="30"/>
          <w:highlight w:val="none"/>
        </w:rPr>
        <w:t>完善项目执行效果的信息搜集，进一步完善支撑经济效益目</w:t>
      </w:r>
    </w:p>
    <w:p w14:paraId="2EBBA3E8">
      <w:pPr>
        <w:ind w:left="0" w:leftChars="0" w:firstLine="0" w:firstLineChars="0"/>
        <w:rPr>
          <w:rFonts w:hint="eastAsia" w:ascii="仿宋_GB2312" w:hAnsi="黑体" w:eastAsia="仿宋_GB2312"/>
          <w:szCs w:val="30"/>
          <w:highlight w:val="none"/>
        </w:rPr>
      </w:pPr>
      <w:r>
        <w:rPr>
          <w:rFonts w:hint="eastAsia" w:ascii="仿宋_GB2312" w:hAnsi="黑体" w:eastAsia="仿宋_GB2312"/>
          <w:szCs w:val="30"/>
          <w:highlight w:val="none"/>
        </w:rPr>
        <w:t>标的相应绩效资料，提高项目效果的呈现;重视服务对象满意情</w:t>
      </w:r>
    </w:p>
    <w:p w14:paraId="4026F0E9">
      <w:pPr>
        <w:ind w:left="0" w:leftChars="0" w:firstLine="0" w:firstLineChars="0"/>
        <w:rPr>
          <w:rFonts w:ascii="仿宋_GB2312" w:hAnsi="黑体" w:eastAsia="仿宋_GB2312"/>
          <w:szCs w:val="30"/>
          <w:highlight w:val="yellow"/>
        </w:rPr>
      </w:pPr>
      <w:r>
        <w:rPr>
          <w:rFonts w:hint="eastAsia" w:ascii="仿宋_GB2312" w:hAnsi="黑体" w:eastAsia="仿宋_GB2312"/>
          <w:szCs w:val="30"/>
          <w:highlight w:val="none"/>
        </w:rPr>
        <w:t>况资料的搜集，提高问卷调查的科学性支撑。</w:t>
      </w:r>
      <w:r>
        <w:rPr>
          <w:rFonts w:hint="eastAsia" w:ascii="仿宋_GB2312" w:hAnsi="黑体" w:eastAsia="仿宋_GB2312"/>
          <w:szCs w:val="30"/>
          <w:highlight w:val="yellow"/>
        </w:rPr>
        <w:br w:type="page"/>
      </w:r>
    </w:p>
    <w:p w14:paraId="35699179">
      <w:pPr>
        <w:ind w:firstLine="0" w:firstLineChars="0"/>
        <w:jc w:val="center"/>
        <w:rPr>
          <w:rFonts w:ascii="黑体" w:hAnsi="黑体" w:eastAsia="黑体" w:cs="黑体"/>
          <w:b/>
          <w:bCs/>
          <w:sz w:val="52"/>
          <w:szCs w:val="52"/>
        </w:rPr>
      </w:pPr>
      <w:r>
        <w:rPr>
          <w:rFonts w:hint="eastAsia" w:ascii="黑体" w:hAnsi="黑体" w:eastAsia="黑体" w:cs="黑体"/>
          <w:b/>
          <w:bCs/>
          <w:sz w:val="52"/>
          <w:szCs w:val="52"/>
        </w:rPr>
        <w:t>“街道吹哨、部门报到”工作经费</w:t>
      </w:r>
    </w:p>
    <w:p w14:paraId="068417D5">
      <w:pPr>
        <w:ind w:firstLine="0" w:firstLineChars="0"/>
        <w:jc w:val="center"/>
        <w:rPr>
          <w:rFonts w:ascii="黑体" w:hAnsi="黑体" w:eastAsia="黑体" w:cs="黑体"/>
          <w:b/>
          <w:bCs/>
          <w:sz w:val="52"/>
          <w:szCs w:val="52"/>
        </w:rPr>
      </w:pPr>
      <w:r>
        <w:rPr>
          <w:rFonts w:hint="eastAsia" w:ascii="黑体" w:hAnsi="黑体" w:eastAsia="黑体" w:cs="黑体"/>
          <w:b/>
          <w:bCs/>
          <w:sz w:val="52"/>
          <w:szCs w:val="52"/>
        </w:rPr>
        <w:t>项目支出绩效自评报告</w:t>
      </w:r>
    </w:p>
    <w:p w14:paraId="4F5642B1">
      <w:pPr>
        <w:topLinePunct/>
        <w:spacing w:line="440" w:lineRule="exact"/>
        <w:ind w:firstLine="750" w:firstLineChars="250"/>
        <w:rPr>
          <w:rFonts w:ascii="仿宋_GB2312" w:eastAsia="仿宋_GB2312"/>
          <w:szCs w:val="30"/>
        </w:rPr>
      </w:pPr>
    </w:p>
    <w:p w14:paraId="143ECECC">
      <w:pPr>
        <w:pStyle w:val="5"/>
        <w:ind w:firstLine="602"/>
        <w:rPr>
          <w:rFonts w:ascii="黑体" w:hAnsi="黑体"/>
          <w:sz w:val="30"/>
          <w:szCs w:val="30"/>
        </w:rPr>
      </w:pPr>
      <w:bookmarkStart w:id="9" w:name="_Toc104753327"/>
      <w:r>
        <w:rPr>
          <w:rFonts w:hint="eastAsia" w:ascii="黑体" w:hAnsi="黑体"/>
          <w:sz w:val="30"/>
          <w:szCs w:val="30"/>
        </w:rPr>
        <w:t>一、项目基本情况</w:t>
      </w:r>
      <w:bookmarkEnd w:id="9"/>
    </w:p>
    <w:p w14:paraId="2FEBB7EC">
      <w:pPr>
        <w:pStyle w:val="6"/>
        <w:spacing w:before="0" w:after="0" w:line="360" w:lineRule="auto"/>
        <w:ind w:firstLine="602"/>
        <w:rPr>
          <w:rFonts w:ascii="楷体_GB2312" w:eastAsia="楷体_GB2312"/>
          <w:sz w:val="30"/>
          <w:szCs w:val="30"/>
        </w:rPr>
      </w:pPr>
      <w:bookmarkStart w:id="10" w:name="_Toc104753328"/>
      <w:r>
        <w:rPr>
          <w:rFonts w:hint="eastAsia" w:ascii="楷体_GB2312" w:eastAsia="楷体_GB2312"/>
          <w:sz w:val="30"/>
          <w:szCs w:val="30"/>
        </w:rPr>
        <w:t>（一）项目概况</w:t>
      </w:r>
      <w:bookmarkEnd w:id="10"/>
    </w:p>
    <w:p w14:paraId="4F9360D3">
      <w:pPr>
        <w:topLinePunct/>
        <w:spacing w:line="440" w:lineRule="exact"/>
        <w:ind w:firstLine="753" w:firstLineChars="250"/>
        <w:rPr>
          <w:rFonts w:ascii="仿宋_GB2312" w:hAnsi="楷体" w:eastAsia="仿宋_GB2312"/>
          <w:b/>
          <w:bCs/>
          <w:szCs w:val="30"/>
        </w:rPr>
      </w:pPr>
      <w:r>
        <w:rPr>
          <w:rFonts w:hint="eastAsia" w:ascii="仿宋_GB2312" w:hAnsi="楷体" w:eastAsia="仿宋_GB2312"/>
          <w:b/>
          <w:bCs/>
          <w:szCs w:val="30"/>
        </w:rPr>
        <w:t>1.立项背景及目的。</w:t>
      </w:r>
    </w:p>
    <w:p w14:paraId="3BC3F90F">
      <w:pPr>
        <w:ind w:firstLine="600"/>
        <w:rPr>
          <w:rFonts w:hint="eastAsia" w:ascii="仿宋_GB2312" w:hAnsi="黑体" w:eastAsia="仿宋_GB2312"/>
          <w:szCs w:val="30"/>
          <w:highlight w:val="none"/>
        </w:rPr>
      </w:pPr>
      <w:r>
        <w:rPr>
          <w:rFonts w:hint="eastAsia" w:ascii="仿宋_GB2312" w:hAnsi="黑体" w:eastAsia="仿宋_GB2312"/>
          <w:szCs w:val="30"/>
          <w:highlight w:val="none"/>
        </w:rPr>
        <w:t>项目立项背景：本项目根据中共昆明市盘龙区委办公室+昆明市盘龙区人民政府办公室印发《盘龙区关于党建引领基层治理推动实现+“街道吹哨、部门报到”实施方案》的通知（盘办通〔2019〕59号），关于印发《关于建立“街道吹哨、部门报到”工作机制+落实街道对综合事项统筹调度权的实施办法（试行）》的通知（盘政办通〔2019〕83号）立项。</w:t>
      </w:r>
    </w:p>
    <w:p w14:paraId="07B1EA74">
      <w:pPr>
        <w:ind w:firstLine="600"/>
        <w:rPr>
          <w:rFonts w:hint="eastAsia" w:ascii="仿宋_GB2312" w:hAnsi="黑体" w:eastAsia="仿宋_GB2312"/>
          <w:szCs w:val="30"/>
          <w:highlight w:val="none"/>
        </w:rPr>
      </w:pPr>
      <w:r>
        <w:rPr>
          <w:rFonts w:hint="eastAsia" w:ascii="仿宋_GB2312" w:hAnsi="黑体" w:eastAsia="仿宋_GB2312"/>
          <w:szCs w:val="30"/>
          <w:highlight w:val="none"/>
        </w:rPr>
        <w:t>项目目的：“街道吹哨、部门报到”是解决基层治理难题的有效手段。这一机制以街</w:t>
      </w:r>
      <w:r>
        <w:rPr>
          <w:rFonts w:hint="eastAsia" w:ascii="仿宋_GB2312" w:hAnsi="黑体" w:eastAsia="仿宋_GB2312"/>
          <w:szCs w:val="30"/>
          <w:highlight w:val="none"/>
          <w:lang w:eastAsia="zh-CN"/>
        </w:rPr>
        <w:t>道</w:t>
      </w:r>
      <w:r>
        <w:rPr>
          <w:rFonts w:hint="eastAsia" w:ascii="仿宋_GB2312" w:hAnsi="黑体" w:eastAsia="仿宋_GB2312"/>
          <w:szCs w:val="30"/>
          <w:highlight w:val="none"/>
        </w:rPr>
        <w:t>为核心，街</w:t>
      </w:r>
      <w:r>
        <w:rPr>
          <w:rFonts w:hint="eastAsia" w:ascii="仿宋_GB2312" w:hAnsi="黑体" w:eastAsia="仿宋_GB2312"/>
          <w:szCs w:val="30"/>
          <w:highlight w:val="none"/>
          <w:lang w:eastAsia="zh-CN"/>
        </w:rPr>
        <w:t>道</w:t>
      </w:r>
      <w:r>
        <w:rPr>
          <w:rFonts w:hint="eastAsia" w:ascii="仿宋_GB2312" w:hAnsi="黑体" w:eastAsia="仿宋_GB2312"/>
          <w:szCs w:val="30"/>
          <w:highlight w:val="none"/>
        </w:rPr>
        <w:t>具有承上启下的优势，它离社区、群众最近，最容易发现城市管理和社区治理中存在的问题，同时又便于与上级各职能部门对接联系。这一机制是在党建引领下进行的，基层党组织和党员发挥了模范带头作用，和群众一起发现及解决基层难题，党建引领赋予它旺盛的生命力。</w:t>
      </w:r>
    </w:p>
    <w:p w14:paraId="77B731E5">
      <w:pPr>
        <w:ind w:firstLine="600"/>
        <w:rPr>
          <w:rFonts w:ascii="仿宋_GB2312" w:eastAsia="仿宋_GB2312"/>
          <w:b/>
          <w:bCs/>
          <w:szCs w:val="30"/>
        </w:rPr>
      </w:pPr>
      <w:r>
        <w:rPr>
          <w:rFonts w:hint="eastAsia" w:ascii="仿宋_GB2312" w:eastAsia="仿宋_GB2312"/>
          <w:b/>
          <w:bCs/>
          <w:szCs w:val="30"/>
          <w:lang w:val="en-US" w:eastAsia="zh-CN"/>
        </w:rPr>
        <w:t>2</w:t>
      </w:r>
      <w:r>
        <w:rPr>
          <w:rFonts w:hint="eastAsia" w:ascii="仿宋_GB2312" w:eastAsia="仿宋_GB2312"/>
          <w:b/>
          <w:bCs/>
          <w:szCs w:val="30"/>
        </w:rPr>
        <w:t>.项目实施情况。</w:t>
      </w:r>
    </w:p>
    <w:p w14:paraId="53BE0C59">
      <w:pPr>
        <w:ind w:firstLine="600"/>
        <w:rPr>
          <w:rFonts w:hint="eastAsia" w:ascii="仿宋_GB2312" w:hAnsi="黑体" w:eastAsia="仿宋_GB2312"/>
          <w:szCs w:val="30"/>
          <w:highlight w:val="none"/>
        </w:rPr>
      </w:pPr>
      <w:r>
        <w:rPr>
          <w:rFonts w:hint="eastAsia" w:ascii="仿宋_GB2312" w:hAnsi="黑体" w:eastAsia="仿宋_GB2312"/>
          <w:szCs w:val="30"/>
          <w:highlight w:val="none"/>
        </w:rPr>
        <w:t>本项目用于大力改善市容环境、生态环境、设施环境及旅游监管、疫情防控</w:t>
      </w:r>
      <w:r>
        <w:rPr>
          <w:rFonts w:hint="eastAsia" w:ascii="仿宋_GB2312" w:hAnsi="黑体" w:eastAsia="仿宋_GB2312"/>
          <w:szCs w:val="30"/>
          <w:highlight w:val="none"/>
          <w:lang w:eastAsia="zh-CN"/>
        </w:rPr>
        <w:t>工作、</w:t>
      </w:r>
      <w:r>
        <w:rPr>
          <w:rFonts w:hint="eastAsia" w:ascii="仿宋_GB2312" w:hAnsi="黑体" w:eastAsia="仿宋_GB2312"/>
          <w:szCs w:val="30"/>
          <w:highlight w:val="none"/>
          <w:lang w:val="en-US" w:eastAsia="zh-CN"/>
        </w:rPr>
        <w:t>加强基层组织建设、</w:t>
      </w:r>
      <w:r>
        <w:rPr>
          <w:rFonts w:hint="eastAsia" w:ascii="仿宋_GB2312" w:hAnsi="黑体" w:eastAsia="仿宋_GB2312"/>
          <w:szCs w:val="30"/>
          <w:highlight w:val="none"/>
        </w:rPr>
        <w:t>电梯安全等开支。</w:t>
      </w:r>
    </w:p>
    <w:p w14:paraId="524A48A9">
      <w:pPr>
        <w:ind w:firstLine="600"/>
        <w:rPr>
          <w:rFonts w:hint="eastAsia" w:ascii="仿宋_GB2312" w:hAnsi="黑体" w:eastAsia="仿宋_GB2312"/>
          <w:szCs w:val="30"/>
          <w:highlight w:val="none"/>
        </w:rPr>
      </w:pPr>
      <w:r>
        <w:rPr>
          <w:rFonts w:hint="eastAsia" w:ascii="仿宋_GB2312" w:hAnsi="黑体" w:eastAsia="仿宋_GB2312"/>
          <w:szCs w:val="30"/>
          <w:highlight w:val="none"/>
        </w:rPr>
        <w:t>本项目主要实施了以下内容：</w:t>
      </w:r>
    </w:p>
    <w:p w14:paraId="2BD38110">
      <w:pPr>
        <w:ind w:firstLine="600"/>
        <w:rPr>
          <w:rFonts w:hint="eastAsia" w:ascii="仿宋_GB2312" w:hAnsi="黑体" w:eastAsia="仿宋_GB2312"/>
          <w:szCs w:val="30"/>
          <w:highlight w:val="none"/>
          <w:lang w:val="en-US" w:eastAsia="zh-CN"/>
        </w:rPr>
      </w:pPr>
      <w:r>
        <w:rPr>
          <w:rFonts w:hint="eastAsia" w:ascii="仿宋_GB2312" w:hAnsi="黑体" w:eastAsia="仿宋_GB2312"/>
          <w:szCs w:val="30"/>
          <w:highlight w:val="none"/>
        </w:rPr>
        <w:t>对小区基础类民生</w:t>
      </w:r>
      <w:r>
        <w:rPr>
          <w:rFonts w:hint="eastAsia" w:ascii="仿宋_GB2312" w:hAnsi="黑体" w:eastAsia="仿宋_GB2312"/>
          <w:szCs w:val="30"/>
          <w:highlight w:val="none"/>
          <w:lang w:eastAsia="zh-CN"/>
        </w:rPr>
        <w:t>方面</w:t>
      </w:r>
      <w:r>
        <w:rPr>
          <w:rFonts w:hint="eastAsia" w:ascii="仿宋_GB2312" w:hAnsi="黑体" w:eastAsia="仿宋_GB2312"/>
          <w:szCs w:val="30"/>
          <w:highlight w:val="none"/>
        </w:rPr>
        <w:t>：</w:t>
      </w:r>
      <w:r>
        <w:rPr>
          <w:rFonts w:hint="eastAsia" w:ascii="仿宋_GB2312" w:hAnsi="黑体" w:eastAsia="仿宋_GB2312"/>
          <w:szCs w:val="30"/>
          <w:highlight w:val="none"/>
          <w:lang w:val="en-US" w:eastAsia="zh-CN"/>
        </w:rPr>
        <w:t>对辖区消防、危房、燃气、建筑工地、食品安全、烟花爆竹、用电用气等方面进行检查，开展房屋安全隐患排查。</w:t>
      </w:r>
      <w:r>
        <w:rPr>
          <w:rFonts w:hint="default" w:ascii="仿宋_GB2312" w:hAnsi="黑体" w:eastAsia="仿宋_GB2312"/>
          <w:szCs w:val="30"/>
          <w:highlight w:val="none"/>
          <w:lang w:val="en-US" w:eastAsia="zh-CN"/>
        </w:rPr>
        <w:t>开展昆纺大沟、鼓楼大沟、</w:t>
      </w:r>
      <w:r>
        <w:rPr>
          <w:rFonts w:hint="eastAsia" w:ascii="仿宋_GB2312" w:hAnsi="黑体" w:eastAsia="仿宋_GB2312"/>
          <w:szCs w:val="30"/>
          <w:highlight w:val="none"/>
          <w:lang w:val="en-US" w:eastAsia="zh-CN"/>
        </w:rPr>
        <w:t>羊清河、</w:t>
      </w:r>
      <w:r>
        <w:rPr>
          <w:rFonts w:hint="default" w:ascii="仿宋_GB2312" w:hAnsi="黑体" w:eastAsia="仿宋_GB2312"/>
          <w:szCs w:val="30"/>
          <w:highlight w:val="none"/>
          <w:lang w:val="en-US" w:eastAsia="zh-CN"/>
        </w:rPr>
        <w:t>明通河</w:t>
      </w:r>
      <w:r>
        <w:rPr>
          <w:rFonts w:hint="eastAsia" w:ascii="仿宋_GB2312" w:hAnsi="黑体" w:eastAsia="仿宋_GB2312"/>
          <w:szCs w:val="30"/>
          <w:highlight w:val="none"/>
          <w:lang w:val="en-US" w:eastAsia="zh-CN"/>
        </w:rPr>
        <w:t>及</w:t>
      </w:r>
      <w:r>
        <w:rPr>
          <w:rFonts w:hint="default" w:ascii="仿宋_GB2312" w:hAnsi="黑体" w:eastAsia="仿宋_GB2312"/>
          <w:szCs w:val="30"/>
          <w:highlight w:val="none"/>
          <w:lang w:val="en-US" w:eastAsia="zh-CN"/>
        </w:rPr>
        <w:t>雨污分流工作</w:t>
      </w:r>
      <w:r>
        <w:rPr>
          <w:rFonts w:hint="eastAsia" w:ascii="仿宋_GB2312" w:hAnsi="黑体" w:eastAsia="仿宋_GB2312"/>
          <w:szCs w:val="30"/>
          <w:highlight w:val="none"/>
          <w:lang w:val="en-US" w:eastAsia="zh-CN"/>
        </w:rPr>
        <w:t>。</w:t>
      </w:r>
      <w:r>
        <w:rPr>
          <w:rFonts w:hint="default" w:ascii="仿宋_GB2312" w:hAnsi="黑体" w:eastAsia="仿宋_GB2312"/>
          <w:szCs w:val="30"/>
          <w:highlight w:val="none"/>
          <w:lang w:val="en-US" w:eastAsia="zh-CN"/>
        </w:rPr>
        <w:t>加强建筑工地扬尘污染治理和餐饮服务油烟污染治理，确保空气质量达标</w:t>
      </w:r>
      <w:r>
        <w:rPr>
          <w:rFonts w:hint="eastAsia" w:ascii="仿宋_GB2312" w:hAnsi="黑体" w:eastAsia="仿宋_GB2312"/>
          <w:szCs w:val="30"/>
          <w:highlight w:val="none"/>
          <w:lang w:val="en-US" w:eastAsia="zh-CN"/>
        </w:rPr>
        <w:t>。从2022年街道共上报哨件20件，其中上报区级哨件10件，社区上报区级哨件10件。</w:t>
      </w:r>
      <w:r>
        <w:rPr>
          <w:rFonts w:hint="eastAsia" w:ascii="仿宋_GB2312" w:hAnsi="黑体" w:eastAsia="仿宋_GB2312"/>
          <w:szCs w:val="30"/>
          <w:highlight w:val="none"/>
        </w:rPr>
        <w:t>开展</w:t>
      </w:r>
      <w:r>
        <w:rPr>
          <w:rFonts w:hint="eastAsia" w:ascii="仿宋_GB2312" w:hAnsi="黑体" w:eastAsia="仿宋_GB2312"/>
          <w:szCs w:val="30"/>
          <w:highlight w:val="none"/>
          <w:lang w:val="en-US" w:eastAsia="zh-CN"/>
        </w:rPr>
        <w:t>了以</w:t>
      </w:r>
      <w:r>
        <w:rPr>
          <w:rFonts w:hint="eastAsia" w:ascii="仿宋_GB2312" w:hAnsi="黑体" w:eastAsia="仿宋_GB2312"/>
          <w:szCs w:val="30"/>
          <w:highlight w:val="none"/>
        </w:rPr>
        <w:t>春节、元宵、清明、端午、中秋、重阳等传统节日</w:t>
      </w:r>
      <w:r>
        <w:rPr>
          <w:rFonts w:hint="eastAsia" w:ascii="仿宋_GB2312" w:hAnsi="黑体" w:eastAsia="仿宋_GB2312"/>
          <w:szCs w:val="30"/>
          <w:highlight w:val="none"/>
          <w:lang w:val="en-US" w:eastAsia="zh-CN"/>
        </w:rPr>
        <w:t>为主题</w:t>
      </w:r>
      <w:r>
        <w:rPr>
          <w:rFonts w:hint="eastAsia" w:ascii="仿宋_GB2312" w:hAnsi="黑体" w:eastAsia="仿宋_GB2312"/>
          <w:szCs w:val="30"/>
          <w:highlight w:val="none"/>
        </w:rPr>
        <w:t>的</w:t>
      </w:r>
      <w:r>
        <w:rPr>
          <w:rFonts w:hint="eastAsia" w:ascii="仿宋_GB2312" w:hAnsi="黑体" w:eastAsia="仿宋_GB2312"/>
          <w:szCs w:val="30"/>
          <w:highlight w:val="none"/>
          <w:lang w:val="en-US" w:eastAsia="zh-CN"/>
        </w:rPr>
        <w:t>各项</w:t>
      </w:r>
      <w:r>
        <w:rPr>
          <w:rFonts w:hint="eastAsia" w:ascii="仿宋_GB2312" w:hAnsi="黑体" w:eastAsia="仿宋_GB2312"/>
          <w:szCs w:val="30"/>
          <w:highlight w:val="none"/>
        </w:rPr>
        <w:t>活动，</w:t>
      </w:r>
      <w:r>
        <w:rPr>
          <w:rFonts w:hint="eastAsia" w:ascii="仿宋_GB2312" w:hAnsi="黑体" w:eastAsia="仿宋_GB2312"/>
          <w:szCs w:val="30"/>
          <w:highlight w:val="none"/>
          <w:lang w:val="en-US" w:eastAsia="zh-CN"/>
        </w:rPr>
        <w:t>并</w:t>
      </w:r>
      <w:r>
        <w:rPr>
          <w:rFonts w:hint="eastAsia" w:ascii="仿宋_GB2312" w:hAnsi="黑体" w:eastAsia="仿宋_GB2312"/>
          <w:szCs w:val="30"/>
          <w:highlight w:val="none"/>
        </w:rPr>
        <w:t>承办第42届盘龙江文化艺术节鼓楼分会场“书香盘龙”全民阅读系列活动——“盘龙江畔话好人”讲故事比赛</w:t>
      </w:r>
      <w:r>
        <w:rPr>
          <w:rFonts w:hint="eastAsia" w:ascii="仿宋_GB2312" w:hAnsi="黑体" w:eastAsia="仿宋_GB2312"/>
          <w:szCs w:val="30"/>
          <w:highlight w:val="none"/>
          <w:lang w:eastAsia="zh-CN"/>
        </w:rPr>
        <w:t>、</w:t>
      </w:r>
      <w:r>
        <w:rPr>
          <w:rFonts w:hint="eastAsia" w:ascii="仿宋_GB2312" w:hAnsi="黑体" w:eastAsia="仿宋_GB2312"/>
          <w:szCs w:val="30"/>
          <w:highlight w:val="none"/>
        </w:rPr>
        <w:t>“科普之花开在我的家”故事演讲等传统性文化活动。做好旅游市场管理工作</w:t>
      </w:r>
      <w:r>
        <w:rPr>
          <w:rFonts w:hint="eastAsia" w:ascii="仿宋_GB2312" w:hAnsi="黑体" w:eastAsia="仿宋_GB2312"/>
          <w:szCs w:val="30"/>
          <w:highlight w:val="none"/>
          <w:lang w:val="en-US" w:eastAsia="zh-CN"/>
        </w:rPr>
        <w:t>，</w:t>
      </w:r>
      <w:r>
        <w:rPr>
          <w:rFonts w:hint="eastAsia" w:ascii="仿宋_GB2312" w:hAnsi="黑体" w:eastAsia="仿宋_GB2312"/>
          <w:szCs w:val="30"/>
          <w:highlight w:val="none"/>
        </w:rPr>
        <w:t>对</w:t>
      </w:r>
      <w:r>
        <w:rPr>
          <w:rFonts w:hint="eastAsia" w:ascii="仿宋_GB2312" w:hAnsi="黑体" w:eastAsia="仿宋_GB2312"/>
          <w:szCs w:val="30"/>
          <w:highlight w:val="none"/>
          <w:lang w:val="en-US" w:eastAsia="zh-CN"/>
        </w:rPr>
        <w:t>辖区内</w:t>
      </w:r>
      <w:r>
        <w:rPr>
          <w:rFonts w:hint="eastAsia" w:ascii="仿宋_GB2312" w:hAnsi="黑体" w:eastAsia="仿宋_GB2312"/>
          <w:szCs w:val="30"/>
          <w:highlight w:val="none"/>
        </w:rPr>
        <w:t>的旅行社、住宿业进行集中整治。</w:t>
      </w:r>
    </w:p>
    <w:p w14:paraId="44166325">
      <w:pPr>
        <w:ind w:firstLine="600"/>
        <w:rPr>
          <w:rFonts w:hint="eastAsia" w:ascii="仿宋_GB2312" w:hAnsi="黑体" w:eastAsia="仿宋_GB2312"/>
          <w:szCs w:val="30"/>
          <w:highlight w:val="none"/>
          <w:lang w:eastAsia="zh-CN"/>
        </w:rPr>
      </w:pPr>
      <w:r>
        <w:rPr>
          <w:rFonts w:hint="eastAsia" w:ascii="仿宋_GB2312" w:hAnsi="黑体" w:eastAsia="仿宋_GB2312"/>
          <w:szCs w:val="30"/>
          <w:highlight w:val="none"/>
        </w:rPr>
        <w:t>环境提升改造</w:t>
      </w:r>
      <w:r>
        <w:rPr>
          <w:rFonts w:hint="eastAsia" w:ascii="仿宋_GB2312" w:hAnsi="黑体" w:eastAsia="仿宋_GB2312"/>
          <w:szCs w:val="30"/>
          <w:highlight w:val="none"/>
          <w:lang w:eastAsia="zh-CN"/>
        </w:rPr>
        <w:t>方面</w:t>
      </w:r>
      <w:r>
        <w:rPr>
          <w:rFonts w:hint="eastAsia" w:ascii="仿宋_GB2312" w:hAnsi="黑体" w:eastAsia="仿宋_GB2312"/>
          <w:szCs w:val="30"/>
          <w:highlight w:val="none"/>
        </w:rPr>
        <w:t>：清理占道经营</w:t>
      </w:r>
      <w:r>
        <w:rPr>
          <w:rFonts w:hint="eastAsia" w:ascii="仿宋_GB2312" w:hAnsi="黑体" w:eastAsia="仿宋_GB2312"/>
          <w:szCs w:val="30"/>
          <w:highlight w:val="none"/>
          <w:lang w:val="en-US" w:eastAsia="zh-CN"/>
        </w:rPr>
        <w:t>960</w:t>
      </w:r>
      <w:r>
        <w:rPr>
          <w:rFonts w:hint="eastAsia" w:ascii="仿宋_GB2312" w:hAnsi="黑体" w:eastAsia="仿宋_GB2312"/>
          <w:szCs w:val="30"/>
          <w:highlight w:val="none"/>
        </w:rPr>
        <w:t>余起，查处、规范“门前三包”1200余起，规范门头招牌</w:t>
      </w:r>
      <w:r>
        <w:rPr>
          <w:rFonts w:hint="eastAsia" w:ascii="仿宋_GB2312" w:hAnsi="黑体" w:eastAsia="仿宋_GB2312"/>
          <w:szCs w:val="30"/>
          <w:highlight w:val="none"/>
          <w:lang w:val="en-US" w:eastAsia="zh-CN"/>
        </w:rPr>
        <w:t>150</w:t>
      </w:r>
      <w:r>
        <w:rPr>
          <w:rFonts w:hint="eastAsia" w:ascii="仿宋_GB2312" w:hAnsi="黑体" w:eastAsia="仿宋_GB2312"/>
          <w:szCs w:val="30"/>
          <w:highlight w:val="none"/>
        </w:rPr>
        <w:t>余起 ，拆除不规范的广告牌</w:t>
      </w:r>
      <w:r>
        <w:rPr>
          <w:rFonts w:hint="eastAsia" w:ascii="仿宋_GB2312" w:hAnsi="黑体" w:eastAsia="仿宋_GB2312"/>
          <w:szCs w:val="30"/>
          <w:highlight w:val="none"/>
          <w:lang w:val="en-US" w:eastAsia="zh-CN"/>
        </w:rPr>
        <w:t>200</w:t>
      </w:r>
      <w:r>
        <w:rPr>
          <w:rFonts w:hint="eastAsia" w:ascii="仿宋_GB2312" w:hAnsi="黑体" w:eastAsia="仿宋_GB2312"/>
          <w:szCs w:val="30"/>
          <w:highlight w:val="none"/>
        </w:rPr>
        <w:t>平方，整治夜市摊点20处，督促700家经营户对店容店面进行整改，共计出动文明卫生监督岗1600余人次，执法队员</w:t>
      </w:r>
      <w:r>
        <w:rPr>
          <w:rFonts w:hint="eastAsia" w:ascii="仿宋_GB2312" w:hAnsi="黑体" w:eastAsia="仿宋_GB2312"/>
          <w:szCs w:val="30"/>
          <w:highlight w:val="none"/>
          <w:lang w:val="en-US" w:eastAsia="zh-CN"/>
        </w:rPr>
        <w:t>12</w:t>
      </w:r>
      <w:r>
        <w:rPr>
          <w:rFonts w:hint="eastAsia" w:ascii="仿宋_GB2312" w:hAnsi="黑体" w:eastAsia="仿宋_GB2312"/>
          <w:szCs w:val="30"/>
          <w:highlight w:val="none"/>
        </w:rPr>
        <w:t>00余人次，执法车150班次，垃圾压缩车50班次，清运垃圾140吨，清铲小广告6000余条,极大地改善了辖区的环境卫生，积极配合社区清理卫生死角200余个。</w:t>
      </w:r>
      <w:r>
        <w:rPr>
          <w:rFonts w:hint="eastAsia" w:ascii="仿宋_GB2312" w:hAnsi="黑体" w:eastAsia="仿宋_GB2312"/>
          <w:szCs w:val="30"/>
          <w:highlight w:val="none"/>
          <w:lang w:val="en-US" w:eastAsia="zh-CN"/>
        </w:rPr>
        <w:t>大宥城7户违法私搭乱建已全部拆除完毕，拆除面积共计120㎡。开展工地洒水降尘、工地裸土覆盖等各项工作，严格落实施工扬尘控制。巩固提升“清垃圾、扫厕所、勤洗手、净餐馆、常消毒、管集市、众参与”爱国卫生“7个专项行动”成果，建立健全城区环境卫生管理长效机制，补齐公共卫生环境短板，持续将爱国卫生“7个专项行动”向辖区延伸。</w:t>
      </w:r>
    </w:p>
    <w:p w14:paraId="160B1DEF">
      <w:pPr>
        <w:ind w:firstLine="600"/>
        <w:rPr>
          <w:rFonts w:hint="eastAsia" w:ascii="仿宋_GB2312" w:hAnsi="黑体" w:eastAsia="仿宋_GB2312"/>
          <w:szCs w:val="30"/>
          <w:highlight w:val="none"/>
          <w:lang w:eastAsia="zh-CN"/>
        </w:rPr>
      </w:pPr>
      <w:r>
        <w:rPr>
          <w:rFonts w:hint="eastAsia" w:ascii="仿宋_GB2312" w:hAnsi="黑体" w:eastAsia="仿宋_GB2312"/>
          <w:szCs w:val="30"/>
          <w:highlight w:val="none"/>
        </w:rPr>
        <w:t>疫情防控</w:t>
      </w:r>
      <w:r>
        <w:rPr>
          <w:rFonts w:hint="eastAsia" w:ascii="仿宋_GB2312" w:hAnsi="黑体" w:eastAsia="仿宋_GB2312"/>
          <w:szCs w:val="30"/>
          <w:highlight w:val="none"/>
          <w:lang w:eastAsia="zh-CN"/>
        </w:rPr>
        <w:t>工作方面</w:t>
      </w:r>
      <w:r>
        <w:rPr>
          <w:rFonts w:hint="eastAsia" w:ascii="仿宋_GB2312" w:hAnsi="黑体" w:eastAsia="仿宋_GB2312"/>
          <w:szCs w:val="30"/>
          <w:highlight w:val="none"/>
        </w:rPr>
        <w:t>：严格贯彻落实“外防输入、内防反弹”的防控政策，保障人民群众生命及身体健康。排查准确及时，明确要求辖区内所有单位、小区要有联络员、排查员，与各社区网格员随时保持沟通联系，有人员排查信息时，第一时间联防联动</w:t>
      </w:r>
      <w:r>
        <w:rPr>
          <w:rFonts w:hint="eastAsia" w:ascii="仿宋_GB2312" w:hAnsi="黑体" w:eastAsia="仿宋_GB2312"/>
          <w:szCs w:val="30"/>
          <w:highlight w:val="none"/>
          <w:lang w:eastAsia="zh-CN"/>
        </w:rPr>
        <w:t>。街道新冠疫苗接种任务36936剂，累计接种数</w:t>
      </w:r>
      <w:r>
        <w:rPr>
          <w:rFonts w:hint="eastAsia" w:ascii="仿宋_GB2312" w:hAnsi="黑体" w:eastAsia="仿宋_GB2312"/>
          <w:szCs w:val="30"/>
          <w:highlight w:val="none"/>
          <w:lang w:val="en-US" w:eastAsia="zh-CN"/>
        </w:rPr>
        <w:t>40919</w:t>
      </w:r>
      <w:r>
        <w:rPr>
          <w:rFonts w:hint="eastAsia" w:ascii="仿宋_GB2312" w:hAnsi="黑体" w:eastAsia="仿宋_GB2312"/>
          <w:szCs w:val="30"/>
          <w:highlight w:val="none"/>
          <w:lang w:eastAsia="zh-CN"/>
        </w:rPr>
        <w:t>剂，指标完成率</w:t>
      </w:r>
      <w:r>
        <w:rPr>
          <w:rFonts w:hint="eastAsia" w:ascii="仿宋_GB2312" w:hAnsi="黑体" w:eastAsia="仿宋_GB2312"/>
          <w:szCs w:val="30"/>
          <w:highlight w:val="none"/>
          <w:lang w:val="en-US" w:eastAsia="zh-CN"/>
        </w:rPr>
        <w:t>110.78</w:t>
      </w:r>
      <w:r>
        <w:rPr>
          <w:rFonts w:hint="eastAsia" w:ascii="仿宋_GB2312" w:hAnsi="黑体" w:eastAsia="仿宋_GB2312"/>
          <w:szCs w:val="30"/>
          <w:highlight w:val="none"/>
          <w:lang w:eastAsia="zh-CN"/>
        </w:rPr>
        <w:t>%。60-69岁接种任务3829完成接种78</w:t>
      </w:r>
      <w:r>
        <w:rPr>
          <w:rFonts w:hint="eastAsia" w:ascii="仿宋_GB2312" w:hAnsi="黑体" w:eastAsia="仿宋_GB2312"/>
          <w:szCs w:val="30"/>
          <w:highlight w:val="none"/>
          <w:lang w:val="en-US" w:eastAsia="zh-CN"/>
        </w:rPr>
        <w:t>27</w:t>
      </w:r>
      <w:r>
        <w:rPr>
          <w:rFonts w:hint="eastAsia" w:ascii="仿宋_GB2312" w:hAnsi="黑体" w:eastAsia="仿宋_GB2312"/>
          <w:szCs w:val="30"/>
          <w:highlight w:val="none"/>
          <w:lang w:eastAsia="zh-CN"/>
        </w:rPr>
        <w:t>剂，完成率204.</w:t>
      </w:r>
      <w:r>
        <w:rPr>
          <w:rFonts w:hint="eastAsia" w:ascii="仿宋_GB2312" w:hAnsi="黑体" w:eastAsia="仿宋_GB2312"/>
          <w:szCs w:val="30"/>
          <w:highlight w:val="none"/>
          <w:lang w:val="en-US" w:eastAsia="zh-CN"/>
        </w:rPr>
        <w:t>41</w:t>
      </w:r>
      <w:r>
        <w:rPr>
          <w:rFonts w:hint="eastAsia" w:ascii="仿宋_GB2312" w:hAnsi="黑体" w:eastAsia="仿宋_GB2312"/>
          <w:szCs w:val="30"/>
          <w:highlight w:val="none"/>
          <w:lang w:eastAsia="zh-CN"/>
        </w:rPr>
        <w:t>%，70-79岁接种任务2514剂，完成接种3</w:t>
      </w:r>
      <w:r>
        <w:rPr>
          <w:rFonts w:hint="eastAsia" w:ascii="仿宋_GB2312" w:hAnsi="黑体" w:eastAsia="仿宋_GB2312"/>
          <w:szCs w:val="30"/>
          <w:highlight w:val="none"/>
          <w:lang w:val="en-US" w:eastAsia="zh-CN"/>
        </w:rPr>
        <w:t>805</w:t>
      </w:r>
      <w:r>
        <w:rPr>
          <w:rFonts w:hint="eastAsia" w:ascii="仿宋_GB2312" w:hAnsi="黑体" w:eastAsia="仿宋_GB2312"/>
          <w:szCs w:val="30"/>
          <w:highlight w:val="none"/>
          <w:lang w:eastAsia="zh-CN"/>
        </w:rPr>
        <w:t>剂，完成率15</w:t>
      </w:r>
      <w:r>
        <w:rPr>
          <w:rFonts w:hint="eastAsia" w:ascii="仿宋_GB2312" w:hAnsi="黑体" w:eastAsia="仿宋_GB2312"/>
          <w:szCs w:val="30"/>
          <w:highlight w:val="none"/>
          <w:lang w:val="en-US" w:eastAsia="zh-CN"/>
        </w:rPr>
        <w:t>1.35</w:t>
      </w:r>
      <w:r>
        <w:rPr>
          <w:rFonts w:hint="eastAsia" w:ascii="仿宋_GB2312" w:hAnsi="黑体" w:eastAsia="仿宋_GB2312"/>
          <w:szCs w:val="30"/>
          <w:highlight w:val="none"/>
          <w:lang w:eastAsia="zh-CN"/>
        </w:rPr>
        <w:t>%，80岁以上接种任务1527剂，完成接种9</w:t>
      </w:r>
      <w:r>
        <w:rPr>
          <w:rFonts w:hint="eastAsia" w:ascii="仿宋_GB2312" w:hAnsi="黑体" w:eastAsia="仿宋_GB2312"/>
          <w:szCs w:val="30"/>
          <w:highlight w:val="none"/>
          <w:lang w:val="en-US" w:eastAsia="zh-CN"/>
        </w:rPr>
        <w:t>76</w:t>
      </w:r>
      <w:r>
        <w:rPr>
          <w:rFonts w:hint="eastAsia" w:ascii="仿宋_GB2312" w:hAnsi="黑体" w:eastAsia="仿宋_GB2312"/>
          <w:szCs w:val="30"/>
          <w:highlight w:val="none"/>
          <w:lang w:eastAsia="zh-CN"/>
        </w:rPr>
        <w:t>剂，完成率63.</w:t>
      </w:r>
      <w:r>
        <w:rPr>
          <w:rFonts w:hint="eastAsia" w:ascii="仿宋_GB2312" w:hAnsi="黑体" w:eastAsia="仿宋_GB2312"/>
          <w:szCs w:val="30"/>
          <w:highlight w:val="none"/>
          <w:lang w:val="en-US" w:eastAsia="zh-CN"/>
        </w:rPr>
        <w:t>92</w:t>
      </w:r>
      <w:r>
        <w:rPr>
          <w:rFonts w:hint="eastAsia" w:ascii="仿宋_GB2312" w:hAnsi="黑体" w:eastAsia="仿宋_GB2312"/>
          <w:szCs w:val="30"/>
          <w:highlight w:val="none"/>
          <w:lang w:eastAsia="zh-CN"/>
        </w:rPr>
        <w:t>%。</w:t>
      </w:r>
    </w:p>
    <w:p w14:paraId="0645F695">
      <w:pPr>
        <w:ind w:firstLine="600"/>
        <w:rPr>
          <w:rFonts w:hint="eastAsia" w:ascii="仿宋_GB2312" w:hAnsi="黑体" w:eastAsia="仿宋_GB2312"/>
          <w:szCs w:val="30"/>
          <w:highlight w:val="none"/>
          <w:lang w:val="en-US" w:eastAsia="zh-CN"/>
        </w:rPr>
      </w:pPr>
      <w:r>
        <w:rPr>
          <w:rFonts w:hint="eastAsia" w:ascii="仿宋_GB2312" w:hAnsi="黑体" w:eastAsia="仿宋_GB2312"/>
          <w:szCs w:val="30"/>
          <w:highlight w:val="none"/>
          <w:lang w:val="en-US" w:eastAsia="zh-CN"/>
        </w:rPr>
        <w:t>加强基层组织建设方面：一是</w:t>
      </w:r>
      <w:r>
        <w:rPr>
          <w:rFonts w:hint="eastAsia" w:ascii="仿宋_GB2312" w:hAnsi="黑体" w:eastAsia="仿宋_GB2312"/>
          <w:szCs w:val="30"/>
          <w:highlight w:val="none"/>
          <w:lang w:val="zh-CN" w:eastAsia="zh-CN"/>
        </w:rPr>
        <w:t>深化支部规范化建设，完成10</w:t>
      </w:r>
      <w:r>
        <w:rPr>
          <w:rFonts w:hint="eastAsia" w:ascii="仿宋_GB2312" w:hAnsi="黑体" w:eastAsia="仿宋_GB2312"/>
          <w:szCs w:val="30"/>
          <w:highlight w:val="none"/>
          <w:lang w:val="en-US" w:eastAsia="zh-CN"/>
        </w:rPr>
        <w:t>3个</w:t>
      </w:r>
      <w:r>
        <w:rPr>
          <w:rFonts w:hint="eastAsia" w:ascii="仿宋_GB2312" w:hAnsi="黑体" w:eastAsia="仿宋_GB2312"/>
          <w:szCs w:val="30"/>
          <w:highlight w:val="none"/>
          <w:lang w:val="zh-CN" w:eastAsia="zh-CN"/>
        </w:rPr>
        <w:t>实体党组织党支部全覆盖分析研判和分类定级，完成鼓楼街道党组织支部规范化达标创建工作，完成</w:t>
      </w:r>
      <w:r>
        <w:rPr>
          <w:rFonts w:hint="eastAsia" w:ascii="仿宋_GB2312" w:hAnsi="黑体" w:eastAsia="仿宋_GB2312"/>
          <w:szCs w:val="30"/>
          <w:highlight w:val="none"/>
          <w:lang w:val="en-US" w:eastAsia="zh-CN"/>
        </w:rPr>
        <w:t>2022年</w:t>
      </w:r>
      <w:r>
        <w:rPr>
          <w:rFonts w:hint="eastAsia" w:ascii="仿宋_GB2312" w:hAnsi="黑体" w:eastAsia="仿宋_GB2312"/>
          <w:szCs w:val="30"/>
          <w:highlight w:val="none"/>
          <w:lang w:val="zh-CN" w:eastAsia="zh-CN"/>
        </w:rPr>
        <w:t>社区“五个先锋”创建工作；</w:t>
      </w:r>
      <w:r>
        <w:rPr>
          <w:rFonts w:hint="eastAsia" w:ascii="仿宋_GB2312" w:hAnsi="黑体" w:eastAsia="仿宋_GB2312"/>
          <w:szCs w:val="30"/>
          <w:highlight w:val="none"/>
          <w:lang w:val="en-US" w:eastAsia="zh-CN"/>
        </w:rPr>
        <w:t>严格党组织按期换届制度，指导4个党组织完成换届工作，正在推进14个党组织换届工作。</w:t>
      </w:r>
      <w:r>
        <w:rPr>
          <w:rFonts w:hint="eastAsia" w:ascii="仿宋_GB2312" w:hAnsi="黑体" w:eastAsia="仿宋_GB2312"/>
          <w:szCs w:val="30"/>
          <w:highlight w:val="none"/>
          <w:lang w:val="zh-CN" w:eastAsia="zh-CN"/>
        </w:rPr>
        <w:t>二是加强</w:t>
      </w:r>
      <w:r>
        <w:rPr>
          <w:rFonts w:hint="eastAsia" w:ascii="仿宋_GB2312" w:hAnsi="黑体" w:eastAsia="仿宋_GB2312"/>
          <w:szCs w:val="30"/>
          <w:highlight w:val="none"/>
          <w:lang w:val="en-US" w:eastAsia="zh-CN"/>
        </w:rPr>
        <w:t>“两新”党组织建设，全面启用“两新”数字系统，统计录入辖区内544家“两新”非公企业及社会组织，实现街道“两新”非公企业及社区组织管理数字化；保障和提升“两新”党组织书记工作待遇，完成2020年、2022年“两新”党组织党建工作经费发放，共计27.68万元；2022年共发展4家两新党组织，其中于3月整建制转入社会组织昆明惠工社会服务中心党支部，进一步推动街道、社区与“两新”组织共驻共建、互联互动。三是加强“新业态新就业群体”党建工作，以互联网类的新业态新就业群体为重点，成立街道“两新”党委、街道新业态工作党支部、新业态企业党支部，形成“街道党工委—‘两新’组织党委—新业态工作党支部、新业态企业党支部”全链条、闭合式组织体系，累计排查新业态企业6家，8月成立新业态企业党组织云南溜达客科技有限公司党支部，目前已经储备8名新业态新就业群体入党积极分子，下属5个社区分别组建了新业态新就业群体服务阵地，帮助新业态新就业群体解决实际困难问题37个。</w:t>
      </w:r>
    </w:p>
    <w:p w14:paraId="7DF19E5D">
      <w:pPr>
        <w:ind w:firstLine="600"/>
        <w:rPr>
          <w:rFonts w:hint="default" w:ascii="仿宋_GB2312" w:hAnsi="黑体" w:eastAsia="仿宋_GB2312"/>
          <w:szCs w:val="30"/>
          <w:highlight w:val="none"/>
          <w:lang w:val="en-US" w:eastAsia="zh-CN"/>
        </w:rPr>
      </w:pPr>
      <w:r>
        <w:rPr>
          <w:rFonts w:hint="default" w:ascii="仿宋_GB2312" w:hAnsi="黑体" w:eastAsia="仿宋_GB2312"/>
          <w:szCs w:val="30"/>
          <w:highlight w:val="none"/>
          <w:lang w:val="en-US" w:eastAsia="zh-CN"/>
        </w:rPr>
        <w:t>党建引领基层服务</w:t>
      </w:r>
      <w:r>
        <w:rPr>
          <w:rFonts w:hint="eastAsia" w:ascii="仿宋_GB2312" w:hAnsi="黑体" w:eastAsia="仿宋_GB2312"/>
          <w:szCs w:val="30"/>
          <w:highlight w:val="none"/>
          <w:lang w:val="en-US" w:eastAsia="zh-CN"/>
        </w:rPr>
        <w:t>方面：</w:t>
      </w:r>
      <w:r>
        <w:rPr>
          <w:rFonts w:hint="default" w:ascii="仿宋_GB2312" w:hAnsi="黑体" w:eastAsia="仿宋_GB2312"/>
          <w:szCs w:val="30"/>
          <w:highlight w:val="none"/>
          <w:lang w:val="en-US" w:eastAsia="zh-CN"/>
        </w:rPr>
        <w:t>一是坚持以党建引领、以党组织为纽带、以资源共享、目标共同、需</w:t>
      </w:r>
      <w:r>
        <w:rPr>
          <w:rFonts w:hint="default" w:ascii="仿宋_GB2312" w:hAnsi="黑体" w:eastAsia="仿宋_GB2312"/>
          <w:szCs w:val="30"/>
          <w:highlight w:val="none"/>
        </w:rPr>
        <w:t>求相同为基础，深化“街道吹哨</w:t>
      </w:r>
      <w:r>
        <w:rPr>
          <w:rFonts w:hint="default" w:ascii="仿宋_GB2312" w:hAnsi="黑体" w:eastAsia="仿宋_GB2312"/>
          <w:szCs w:val="30"/>
          <w:highlight w:val="none"/>
          <w:lang w:eastAsia="zh-CN"/>
        </w:rPr>
        <w:t>、</w:t>
      </w:r>
      <w:r>
        <w:rPr>
          <w:rFonts w:hint="default" w:ascii="仿宋_GB2312" w:hAnsi="黑体" w:eastAsia="仿宋_GB2312"/>
          <w:szCs w:val="30"/>
          <w:highlight w:val="none"/>
        </w:rPr>
        <w:t>部门报到”改革</w:t>
      </w:r>
      <w:r>
        <w:rPr>
          <w:rFonts w:hint="default" w:ascii="仿宋_GB2312" w:hAnsi="黑体" w:eastAsia="仿宋_GB2312"/>
          <w:szCs w:val="30"/>
          <w:highlight w:val="none"/>
          <w:lang w:eastAsia="zh-CN"/>
        </w:rPr>
        <w:t>，</w:t>
      </w:r>
      <w:r>
        <w:rPr>
          <w:rFonts w:hint="default" w:ascii="仿宋_GB2312" w:hAnsi="黑体" w:eastAsia="仿宋_GB2312"/>
          <w:szCs w:val="30"/>
          <w:highlight w:val="none"/>
        </w:rPr>
        <w:t>各部门跨界协同治理，提升基层管理水平和服务质量</w:t>
      </w:r>
      <w:r>
        <w:rPr>
          <w:rFonts w:hint="default" w:ascii="仿宋_GB2312" w:hAnsi="黑体" w:eastAsia="仿宋_GB2312"/>
          <w:szCs w:val="30"/>
          <w:highlight w:val="none"/>
          <w:lang w:eastAsia="zh-CN"/>
        </w:rPr>
        <w:t>，</w:t>
      </w:r>
      <w:r>
        <w:rPr>
          <w:rFonts w:hint="default" w:ascii="仿宋_GB2312" w:hAnsi="黑体" w:eastAsia="仿宋_GB2312"/>
          <w:szCs w:val="30"/>
          <w:highlight w:val="none"/>
        </w:rPr>
        <w:t>截止</w:t>
      </w:r>
      <w:r>
        <w:rPr>
          <w:rFonts w:hint="default" w:ascii="仿宋_GB2312" w:hAnsi="黑体" w:eastAsia="仿宋_GB2312"/>
          <w:szCs w:val="30"/>
          <w:highlight w:val="none"/>
          <w:lang w:val="en-US" w:eastAsia="zh-CN"/>
        </w:rPr>
        <w:t>10</w:t>
      </w:r>
      <w:r>
        <w:rPr>
          <w:rFonts w:hint="default" w:ascii="仿宋_GB2312" w:hAnsi="黑体" w:eastAsia="仿宋_GB2312"/>
          <w:szCs w:val="30"/>
          <w:highlight w:val="none"/>
        </w:rPr>
        <w:t>月31日，共完成市级哨</w:t>
      </w:r>
      <w:r>
        <w:rPr>
          <w:rFonts w:hint="default" w:ascii="仿宋_GB2312" w:hAnsi="黑体" w:eastAsia="仿宋_GB2312"/>
          <w:szCs w:val="30"/>
          <w:highlight w:val="none"/>
          <w:lang w:val="en-US" w:eastAsia="zh-CN"/>
        </w:rPr>
        <w:t>10</w:t>
      </w:r>
      <w:r>
        <w:rPr>
          <w:rFonts w:hint="default" w:ascii="仿宋_GB2312" w:hAnsi="黑体" w:eastAsia="仿宋_GB2312"/>
          <w:szCs w:val="30"/>
          <w:highlight w:val="none"/>
        </w:rPr>
        <w:t>件，街道哨</w:t>
      </w:r>
      <w:r>
        <w:rPr>
          <w:rFonts w:hint="default" w:ascii="仿宋_GB2312" w:hAnsi="黑体" w:eastAsia="仿宋_GB2312"/>
          <w:szCs w:val="30"/>
          <w:highlight w:val="none"/>
          <w:lang w:val="en-US" w:eastAsia="zh-CN"/>
        </w:rPr>
        <w:t>10</w:t>
      </w:r>
      <w:r>
        <w:rPr>
          <w:rFonts w:hint="default" w:ascii="仿宋_GB2312" w:hAnsi="黑体" w:eastAsia="仿宋_GB2312"/>
          <w:szCs w:val="30"/>
          <w:highlight w:val="none"/>
        </w:rPr>
        <w:t>件</w:t>
      </w:r>
      <w:r>
        <w:rPr>
          <w:rFonts w:hint="default" w:ascii="仿宋_GB2312" w:hAnsi="黑体" w:eastAsia="仿宋_GB2312"/>
          <w:szCs w:val="30"/>
          <w:highlight w:val="none"/>
          <w:lang w:eastAsia="zh-CN"/>
        </w:rPr>
        <w:t>。二是</w:t>
      </w:r>
      <w:r>
        <w:rPr>
          <w:rFonts w:hint="default" w:ascii="仿宋_GB2312" w:hAnsi="黑体" w:eastAsia="仿宋_GB2312"/>
          <w:szCs w:val="30"/>
          <w:highlight w:val="none"/>
          <w:lang w:val="en-US" w:eastAsia="zh-CN"/>
        </w:rPr>
        <w:t>对辖区内居民小区数量、类型、业主数量和党员业主分布情况、物业服务企业情况以及业委会或物委会建设情况等进行集中摸排，对组建业委会或物委会的条件进行分析研判，</w:t>
      </w:r>
      <w:r>
        <w:rPr>
          <w:rFonts w:hint="default" w:ascii="仿宋_GB2312" w:hAnsi="黑体" w:eastAsia="仿宋_GB2312"/>
          <w:szCs w:val="30"/>
          <w:highlight w:val="none"/>
        </w:rPr>
        <w:t>建完成1个</w:t>
      </w:r>
      <w:r>
        <w:rPr>
          <w:rFonts w:hint="default" w:ascii="仿宋_GB2312" w:hAnsi="黑体" w:eastAsia="仿宋_GB2312"/>
          <w:szCs w:val="30"/>
          <w:highlight w:val="none"/>
          <w:lang w:eastAsia="zh-CN"/>
        </w:rPr>
        <w:t>业委会</w:t>
      </w:r>
      <w:r>
        <w:rPr>
          <w:rFonts w:hint="default" w:ascii="仿宋_GB2312" w:hAnsi="黑体" w:eastAsia="仿宋_GB2312"/>
          <w:szCs w:val="30"/>
          <w:highlight w:val="none"/>
        </w:rPr>
        <w:t>（86街U2公寓）、在建1个业委会（银海国际花园）</w:t>
      </w:r>
      <w:r>
        <w:rPr>
          <w:rFonts w:hint="default" w:ascii="仿宋_GB2312" w:hAnsi="黑体" w:eastAsia="仿宋_GB2312"/>
          <w:szCs w:val="30"/>
          <w:highlight w:val="none"/>
          <w:lang w:eastAsia="zh-CN"/>
        </w:rPr>
        <w:t>，</w:t>
      </w:r>
      <w:r>
        <w:rPr>
          <w:rFonts w:hint="default" w:ascii="仿宋_GB2312" w:hAnsi="黑体" w:eastAsia="仿宋_GB2312"/>
          <w:szCs w:val="30"/>
          <w:highlight w:val="none"/>
          <w:lang w:val="en-US" w:eastAsia="zh-CN"/>
        </w:rPr>
        <w:t>进行物委会的组建，完成整合后45个小区（院坝）的物业管理委员会组建工作。三是持续推进2项城市基层党建“书记领航”项目，开展党建引领城市社区“垃圾分类”工作，深化居民区小组党建、“双报到双服务双报告”、“民生小实事”等工作。</w:t>
      </w:r>
    </w:p>
    <w:p w14:paraId="511D6862">
      <w:pPr>
        <w:ind w:firstLine="600"/>
        <w:rPr>
          <w:rFonts w:hint="default" w:ascii="仿宋_GB2312" w:hAnsi="黑体" w:eastAsia="仿宋_GB2312"/>
          <w:szCs w:val="30"/>
          <w:highlight w:val="none"/>
          <w:lang w:val="en-US" w:eastAsia="zh-CN"/>
        </w:rPr>
      </w:pPr>
      <w:r>
        <w:rPr>
          <w:rFonts w:hint="eastAsia" w:ascii="仿宋_GB2312" w:hAnsi="黑体" w:eastAsia="仿宋_GB2312"/>
          <w:szCs w:val="30"/>
          <w:highlight w:val="none"/>
          <w:lang w:val="en-US" w:eastAsia="zh-CN"/>
        </w:rPr>
        <w:t>3.资金来源及使用情况。</w:t>
      </w:r>
    </w:p>
    <w:p w14:paraId="24233D85">
      <w:pPr>
        <w:ind w:firstLine="600"/>
        <w:rPr>
          <w:rFonts w:hint="default" w:ascii="仿宋_GB2312" w:hAnsi="黑体" w:eastAsia="仿宋_GB2312"/>
          <w:szCs w:val="30"/>
          <w:highlight w:val="none"/>
          <w:lang w:val="en-US" w:eastAsia="zh-CN"/>
        </w:rPr>
      </w:pPr>
      <w:r>
        <w:rPr>
          <w:rFonts w:hint="eastAsia" w:ascii="仿宋_GB2312" w:hAnsi="黑体" w:eastAsia="仿宋_GB2312"/>
          <w:szCs w:val="30"/>
          <w:highlight w:val="none"/>
          <w:lang w:val="en-US" w:eastAsia="zh-CN"/>
        </w:rPr>
        <w:t>本项目资金收入200万元，全部为一般公共预算拨款，本年度已全部支付完毕。</w:t>
      </w:r>
    </w:p>
    <w:p w14:paraId="330FE584">
      <w:pPr>
        <w:ind w:firstLine="600"/>
        <w:rPr>
          <w:rFonts w:hint="eastAsia" w:ascii="仿宋_GB2312" w:hAnsi="黑体" w:eastAsia="仿宋_GB2312"/>
          <w:szCs w:val="30"/>
          <w:highlight w:val="none"/>
          <w:lang w:val="en-US" w:eastAsia="zh-CN"/>
        </w:rPr>
      </w:pPr>
      <w:r>
        <w:rPr>
          <w:rFonts w:hint="eastAsia" w:ascii="仿宋_GB2312" w:hAnsi="黑体" w:eastAsia="仿宋_GB2312"/>
          <w:szCs w:val="30"/>
          <w:highlight w:val="none"/>
          <w:lang w:val="en-US" w:eastAsia="zh-CN"/>
        </w:rPr>
        <w:t>4.组织及管理情况。</w:t>
      </w:r>
    </w:p>
    <w:p w14:paraId="5DBD3CB4">
      <w:pPr>
        <w:ind w:firstLine="600"/>
        <w:rPr>
          <w:rFonts w:hint="default" w:ascii="仿宋_GB2312" w:hAnsi="黑体" w:eastAsia="仿宋_GB2312"/>
          <w:szCs w:val="30"/>
          <w:highlight w:val="none"/>
          <w:lang w:val="en-US" w:eastAsia="zh-CN"/>
        </w:rPr>
      </w:pPr>
      <w:r>
        <w:rPr>
          <w:rFonts w:hint="eastAsia" w:ascii="仿宋_GB2312" w:hAnsi="黑体" w:eastAsia="仿宋_GB2312"/>
          <w:szCs w:val="30"/>
          <w:highlight w:val="none"/>
          <w:lang w:val="en-US" w:eastAsia="zh-CN"/>
        </w:rPr>
        <w:t>包括项目组织情况、项目实施流程、资金拨付流程。</w:t>
      </w:r>
    </w:p>
    <w:p w14:paraId="3E9FA433">
      <w:pPr>
        <w:ind w:firstLine="600"/>
        <w:rPr>
          <w:rFonts w:hint="default" w:ascii="仿宋_GB2312" w:hAnsi="黑体" w:eastAsia="仿宋_GB2312"/>
          <w:szCs w:val="30"/>
          <w:highlight w:val="none"/>
          <w:lang w:val="en-US" w:eastAsia="zh-CN"/>
        </w:rPr>
      </w:pPr>
      <w:r>
        <w:rPr>
          <w:rFonts w:hint="eastAsia" w:ascii="仿宋_GB2312" w:hAnsi="黑体" w:eastAsia="仿宋_GB2312"/>
          <w:szCs w:val="30"/>
          <w:highlight w:val="none"/>
          <w:lang w:val="en-US" w:eastAsia="zh-CN"/>
        </w:rPr>
        <w:t>项目实施情况由项目部门领导组织负责监督管理，项目经费严格按照上级有关规定及鼓楼街道办事处三重一大等财务管理制度进行拨付和使用，严格按照国家规定实施政府采购及资金拨付，无任何违规、不存在截留、挤占、挪用、虚列支出，乱收费现象。</w:t>
      </w:r>
    </w:p>
    <w:p w14:paraId="7EB1EE41">
      <w:pPr>
        <w:pStyle w:val="6"/>
        <w:spacing w:before="0" w:after="0" w:line="360" w:lineRule="auto"/>
        <w:ind w:firstLine="602"/>
        <w:rPr>
          <w:rFonts w:ascii="楷体_GB2312" w:eastAsia="楷体_GB2312"/>
          <w:sz w:val="30"/>
          <w:szCs w:val="30"/>
        </w:rPr>
      </w:pPr>
      <w:bookmarkStart w:id="11" w:name="_Toc104753329"/>
      <w:r>
        <w:rPr>
          <w:rFonts w:hint="eastAsia" w:ascii="楷体_GB2312" w:eastAsia="楷体_GB2312"/>
          <w:sz w:val="30"/>
          <w:szCs w:val="30"/>
        </w:rPr>
        <w:t>（二）绩效目标</w:t>
      </w:r>
      <w:bookmarkEnd w:id="11"/>
    </w:p>
    <w:p w14:paraId="715DC667">
      <w:pPr>
        <w:ind w:firstLine="600"/>
        <w:rPr>
          <w:rFonts w:hint="eastAsia" w:ascii="仿宋_GB2312" w:hAnsi="黑体" w:eastAsia="仿宋_GB2312"/>
          <w:szCs w:val="30"/>
          <w:highlight w:val="none"/>
          <w:lang w:val="en-US" w:eastAsia="zh-CN"/>
        </w:rPr>
      </w:pPr>
      <w:r>
        <w:rPr>
          <w:rFonts w:hint="eastAsia" w:ascii="仿宋_GB2312" w:hAnsi="黑体" w:eastAsia="仿宋_GB2312"/>
          <w:szCs w:val="30"/>
          <w:highlight w:val="none"/>
          <w:lang w:val="en-US" w:eastAsia="zh-CN"/>
        </w:rPr>
        <w:t>1.总目标。</w:t>
      </w:r>
    </w:p>
    <w:p w14:paraId="520C47A7">
      <w:pPr>
        <w:ind w:firstLine="600"/>
        <w:rPr>
          <w:rFonts w:hint="eastAsia" w:ascii="仿宋_GB2312" w:hAnsi="黑体" w:eastAsia="仿宋_GB2312"/>
          <w:szCs w:val="30"/>
          <w:highlight w:val="none"/>
          <w:lang w:val="en-US" w:eastAsia="zh-CN"/>
        </w:rPr>
      </w:pPr>
      <w:r>
        <w:rPr>
          <w:rFonts w:hint="eastAsia" w:ascii="仿宋_GB2312" w:hAnsi="黑体" w:eastAsia="仿宋_GB2312"/>
          <w:szCs w:val="30"/>
          <w:highlight w:val="none"/>
          <w:lang w:val="en-US" w:eastAsia="zh-CN"/>
        </w:rPr>
        <w:t>充分发挥基层党组织的战斗堡垒作用，加强党组织对基层社会治理的领导，推动党建引领下的精治共治法治一体化建设、把党的领导植根于基层、植根于群众，夯实党的执政基础。以党建引领街乡管理体制机制创新，实现“街道吹哨，部门报到”，赋予街道更多自主权，充分发挥街道积极性、主动性，推动重心下移、力量下沉、服务基层;条块结合,形成工作合力，以人民为中心解决关系群众切身利益的问题，办好群众家门口的事，进一步提升人民群众的获得感。</w:t>
      </w:r>
    </w:p>
    <w:p w14:paraId="6FE571B6">
      <w:pPr>
        <w:ind w:firstLine="600"/>
        <w:rPr>
          <w:rFonts w:hint="eastAsia" w:ascii="仿宋_GB2312" w:hAnsi="黑体" w:eastAsia="仿宋_GB2312"/>
          <w:szCs w:val="30"/>
          <w:highlight w:val="none"/>
          <w:lang w:val="en-US" w:eastAsia="zh-CN"/>
        </w:rPr>
      </w:pPr>
      <w:r>
        <w:rPr>
          <w:rFonts w:hint="eastAsia" w:ascii="仿宋_GB2312" w:hAnsi="黑体" w:eastAsia="仿宋_GB2312"/>
          <w:szCs w:val="30"/>
          <w:highlight w:val="none"/>
          <w:lang w:val="en-US" w:eastAsia="zh-CN"/>
        </w:rPr>
        <w:t>2.年度目标。包括产出目标、效果目标。</w:t>
      </w:r>
    </w:p>
    <w:p w14:paraId="39D36048">
      <w:pPr>
        <w:ind w:firstLine="600"/>
        <w:rPr>
          <w:rFonts w:hint="eastAsia" w:ascii="仿宋_GB2312" w:hAnsi="黑体" w:eastAsia="仿宋_GB2312"/>
          <w:szCs w:val="30"/>
          <w:highlight w:val="none"/>
          <w:lang w:val="en-US" w:eastAsia="zh-CN"/>
        </w:rPr>
      </w:pPr>
      <w:r>
        <w:rPr>
          <w:rFonts w:hint="eastAsia" w:ascii="仿宋_GB2312" w:hAnsi="黑体" w:eastAsia="仿宋_GB2312"/>
          <w:szCs w:val="30"/>
          <w:highlight w:val="none"/>
          <w:lang w:val="en-US" w:eastAsia="zh-CN"/>
        </w:rPr>
        <w:t>严格按照中共昆明市盘龙区委办公室+昆明市盘龙区人民政府办公室印发《盘龙区关于党建引领基层治理推动实现+“街道吹哨、部门报到”实施方案》的通知（盘办通〔2019〕59号），关于印发《关于建立“街道吹哨、部门报到”工作机制+落实街道对综合事项统筹调度权的实施办法（试行）》的通知（盘政办通〔2019〕83号）文件要求实施，项目产出指标200万元，执行完毕绩效指标200万元，完成率100%，年底按时完成街道办事处计划完成的相应指标及各项行政事务，群众满意度达到95%以上。</w:t>
      </w:r>
    </w:p>
    <w:p w14:paraId="6A24BD43">
      <w:pPr>
        <w:pStyle w:val="5"/>
        <w:ind w:firstLine="643"/>
      </w:pPr>
      <w:bookmarkStart w:id="12" w:name="_Toc104753330"/>
      <w:r>
        <w:rPr>
          <w:rFonts w:hint="eastAsia"/>
        </w:rPr>
        <w:t>二、绩效评价工作情况</w:t>
      </w:r>
      <w:bookmarkEnd w:id="12"/>
    </w:p>
    <w:p w14:paraId="781BAE2E">
      <w:pPr>
        <w:topLinePunct/>
        <w:spacing w:line="440" w:lineRule="exact"/>
        <w:ind w:firstLine="753" w:firstLineChars="250"/>
        <w:rPr>
          <w:rFonts w:ascii="楷体_GB2312" w:hAnsi="楷体" w:eastAsia="楷体_GB2312"/>
          <w:b/>
          <w:szCs w:val="32"/>
        </w:rPr>
      </w:pPr>
      <w:r>
        <w:rPr>
          <w:rFonts w:hint="eastAsia" w:ascii="楷体_GB2312" w:hAnsi="楷体" w:eastAsia="楷体_GB2312"/>
          <w:b/>
          <w:szCs w:val="32"/>
        </w:rPr>
        <w:t>（一）绩效评价目的。</w:t>
      </w:r>
    </w:p>
    <w:p w14:paraId="338022F7">
      <w:pPr>
        <w:ind w:firstLine="600"/>
        <w:rPr>
          <w:rFonts w:hint="eastAsia" w:ascii="仿宋_GB2312" w:hAnsi="黑体" w:eastAsia="仿宋_GB2312"/>
          <w:szCs w:val="30"/>
          <w:highlight w:val="none"/>
          <w:lang w:val="en-US" w:eastAsia="zh-CN"/>
        </w:rPr>
      </w:pPr>
      <w:r>
        <w:rPr>
          <w:rFonts w:hint="eastAsia" w:ascii="仿宋_GB2312" w:hAnsi="黑体" w:eastAsia="仿宋_GB2312"/>
          <w:szCs w:val="30"/>
          <w:highlight w:val="none"/>
          <w:lang w:val="en-US" w:eastAsia="zh-CN"/>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14:paraId="1EC0EDDC">
      <w:pPr>
        <w:topLinePunct/>
        <w:spacing w:line="440" w:lineRule="exact"/>
        <w:ind w:firstLine="753" w:firstLineChars="250"/>
        <w:rPr>
          <w:rFonts w:ascii="楷体_GB2312" w:hAnsi="楷体" w:eastAsia="楷体_GB2312"/>
          <w:b/>
          <w:szCs w:val="32"/>
        </w:rPr>
      </w:pPr>
      <w:r>
        <w:rPr>
          <w:rFonts w:hint="eastAsia" w:ascii="楷体_GB2312" w:hAnsi="楷体" w:eastAsia="楷体_GB2312"/>
          <w:b/>
          <w:szCs w:val="32"/>
        </w:rPr>
        <w:t>（二）绩效评价工作方案制定过程。</w:t>
      </w:r>
    </w:p>
    <w:p w14:paraId="2261720C">
      <w:pPr>
        <w:ind w:firstLine="600"/>
        <w:rPr>
          <w:rFonts w:ascii="仿宋_GB2312" w:eastAsia="仿宋_GB2312"/>
          <w:b/>
          <w:bCs/>
          <w:szCs w:val="30"/>
        </w:rPr>
      </w:pPr>
      <w:r>
        <w:rPr>
          <w:rFonts w:hint="eastAsia" w:ascii="仿宋_GB2312" w:eastAsia="仿宋_GB2312"/>
          <w:b/>
          <w:bCs/>
          <w:szCs w:val="30"/>
        </w:rPr>
        <w:t>1.前期调研。</w:t>
      </w:r>
    </w:p>
    <w:p w14:paraId="4FC60CDC">
      <w:pPr>
        <w:ind w:firstLine="600"/>
        <w:rPr>
          <w:rFonts w:hint="eastAsia" w:ascii="仿宋_GB2312" w:hAnsi="黑体" w:eastAsia="仿宋_GB2312"/>
          <w:szCs w:val="30"/>
          <w:highlight w:val="none"/>
          <w:lang w:val="en-US" w:eastAsia="zh-CN"/>
        </w:rPr>
      </w:pPr>
      <w:r>
        <w:rPr>
          <w:rFonts w:hint="eastAsia" w:ascii="仿宋_GB2312" w:hAnsi="黑体" w:eastAsia="仿宋_GB2312"/>
          <w:szCs w:val="30"/>
          <w:highlight w:val="none"/>
          <w:lang w:val="en-US" w:eastAsia="zh-CN"/>
        </w:rPr>
        <w:t>本次绩效评价开始前，评价组对项目开展情况、资金使用管理情况、财务账务处理等进行了前期调研，掌握了项目运行的第一手资料，为该项目绩效评价工作的开展打下了坚实的基础。</w:t>
      </w:r>
    </w:p>
    <w:p w14:paraId="4E59F5AB">
      <w:pPr>
        <w:ind w:firstLine="600"/>
        <w:rPr>
          <w:rFonts w:ascii="仿宋_GB2312" w:eastAsia="仿宋_GB2312"/>
          <w:b/>
          <w:bCs/>
          <w:szCs w:val="30"/>
        </w:rPr>
      </w:pPr>
      <w:r>
        <w:rPr>
          <w:rFonts w:hint="eastAsia" w:ascii="仿宋_GB2312" w:eastAsia="仿宋_GB2312"/>
          <w:b/>
          <w:bCs/>
          <w:szCs w:val="30"/>
        </w:rPr>
        <w:t>2.研究文件。</w:t>
      </w:r>
    </w:p>
    <w:p w14:paraId="4547FCBE">
      <w:pPr>
        <w:ind w:firstLine="600"/>
        <w:rPr>
          <w:rFonts w:ascii="仿宋_GB2312" w:eastAsia="仿宋_GB2312"/>
          <w:szCs w:val="30"/>
        </w:rPr>
      </w:pPr>
      <w:r>
        <w:rPr>
          <w:rFonts w:hint="eastAsia" w:ascii="仿宋_GB2312" w:eastAsia="仿宋_GB2312"/>
          <w:szCs w:val="30"/>
        </w:rPr>
        <w:t>评价组对《盘龙区区级部门预算绩效自评管理暂行办法》、</w:t>
      </w:r>
      <w:r>
        <w:rPr>
          <w:rFonts w:hint="eastAsia" w:ascii="仿宋_GB2312" w:eastAsia="仿宋_GB2312"/>
          <w:szCs w:val="30"/>
          <w:highlight w:val="none"/>
        </w:rPr>
        <w:t>《昆明市盘龙区财政局关于开展2022年度区级预算支出绩效自评工作的通知</w:t>
      </w:r>
      <w:r>
        <w:rPr>
          <w:rFonts w:hint="eastAsia" w:ascii="仿宋_GB2312" w:eastAsia="仿宋_GB2312"/>
          <w:szCs w:val="30"/>
          <w:highlight w:val="none"/>
          <w:lang w:eastAsia="zh-CN"/>
        </w:rPr>
        <w:t>》</w:t>
      </w:r>
      <w:r>
        <w:rPr>
          <w:rFonts w:hint="eastAsia" w:ascii="仿宋_GB2312" w:eastAsia="仿宋_GB2312"/>
          <w:szCs w:val="30"/>
          <w:highlight w:val="none"/>
        </w:rPr>
        <w:t>（盘财绩[2023]14号）、进</w:t>
      </w:r>
      <w:r>
        <w:rPr>
          <w:rFonts w:hint="eastAsia" w:ascii="仿宋_GB2312" w:eastAsia="仿宋_GB2312"/>
          <w:szCs w:val="30"/>
        </w:rPr>
        <w:t>行了认真研究，吃透文件精神，以确保绩效评价工作符合盘龙区财政局的相关要求。</w:t>
      </w:r>
    </w:p>
    <w:p w14:paraId="1EC9AFDA">
      <w:pPr>
        <w:ind w:left="0" w:leftChars="0" w:firstLine="0" w:firstLineChars="0"/>
        <w:rPr>
          <w:rFonts w:ascii="仿宋_GB2312" w:eastAsia="仿宋_GB2312"/>
          <w:szCs w:val="30"/>
        </w:rPr>
      </w:pPr>
      <w:r>
        <w:rPr>
          <w:rFonts w:hint="eastAsia" w:ascii="仿宋_GB2312" w:eastAsia="仿宋_GB2312"/>
          <w:szCs w:val="30"/>
        </w:rPr>
        <w:t>根据202</w:t>
      </w:r>
      <w:r>
        <w:rPr>
          <w:rFonts w:hint="eastAsia" w:ascii="仿宋_GB2312" w:eastAsia="仿宋_GB2312"/>
          <w:szCs w:val="30"/>
          <w:lang w:val="en-US" w:eastAsia="zh-CN"/>
        </w:rPr>
        <w:t>2</w:t>
      </w:r>
      <w:r>
        <w:rPr>
          <w:rFonts w:hint="eastAsia" w:ascii="仿宋_GB2312" w:eastAsia="仿宋_GB2312"/>
          <w:szCs w:val="30"/>
        </w:rPr>
        <w:t>年度各项资金使用进度及项目完成情况结合年初预算及上级补助资金使用总额，评价本单位是否资金使用达到预期目标，资金使用是否规范，是否专款专用，资金使用过程中是否做到按照合理的进度支付。</w:t>
      </w:r>
    </w:p>
    <w:p w14:paraId="2E878EED">
      <w:pPr>
        <w:ind w:firstLine="600"/>
        <w:rPr>
          <w:rFonts w:ascii="仿宋_GB2312" w:eastAsia="仿宋_GB2312"/>
          <w:b/>
          <w:bCs/>
          <w:szCs w:val="30"/>
        </w:rPr>
      </w:pPr>
      <w:r>
        <w:rPr>
          <w:rFonts w:hint="eastAsia" w:ascii="仿宋_GB2312" w:eastAsia="仿宋_GB2312"/>
          <w:b/>
          <w:bCs/>
          <w:szCs w:val="30"/>
        </w:rPr>
        <w:t>3.绩效评价指标体系及工作方案的设计。</w:t>
      </w:r>
    </w:p>
    <w:p w14:paraId="0A380887">
      <w:pPr>
        <w:ind w:firstLine="600"/>
        <w:rPr>
          <w:rFonts w:hint="eastAsia" w:ascii="仿宋_GB2312" w:eastAsia="仿宋_GB2312"/>
          <w:szCs w:val="30"/>
        </w:rPr>
      </w:pPr>
      <w:r>
        <w:rPr>
          <w:rFonts w:hint="eastAsia" w:ascii="仿宋_GB2312" w:eastAsia="仿宋_GB2312"/>
          <w:szCs w:val="30"/>
        </w:rPr>
        <w:t>评价组参照《盘龙区区级部门预算绩效自评管理暂行办法》的项目支出共性指标，结合项目资金使用部门的职能职责和项目资金的具体用途，设计该项目支出的绩效评价指标体系和评价工作方案，以确保方案可行，绩效评价指标符合项目实际，具有准确性和可操作性。</w:t>
      </w:r>
    </w:p>
    <w:p w14:paraId="46672F36">
      <w:pPr>
        <w:topLinePunct/>
        <w:spacing w:line="440" w:lineRule="exact"/>
        <w:ind w:firstLine="753" w:firstLineChars="250"/>
        <w:rPr>
          <w:rFonts w:ascii="楷体_GB2312" w:hAnsi="楷体" w:eastAsia="楷体_GB2312"/>
          <w:b/>
          <w:szCs w:val="32"/>
        </w:rPr>
      </w:pPr>
      <w:r>
        <w:rPr>
          <w:rFonts w:hint="eastAsia" w:ascii="楷体_GB2312" w:hAnsi="楷体" w:eastAsia="楷体_GB2312"/>
          <w:b/>
          <w:szCs w:val="32"/>
        </w:rPr>
        <w:t>（三）绩效评价原则、评价方法</w:t>
      </w:r>
    </w:p>
    <w:p w14:paraId="44661E52">
      <w:pPr>
        <w:ind w:firstLine="600"/>
        <w:rPr>
          <w:rFonts w:ascii="仿宋_GB2312" w:eastAsia="仿宋_GB2312"/>
          <w:szCs w:val="30"/>
        </w:rPr>
      </w:pPr>
      <w:r>
        <w:rPr>
          <w:rFonts w:hint="eastAsia" w:ascii="仿宋_GB2312" w:eastAsia="仿宋_GB2312"/>
          <w:b/>
          <w:bCs/>
          <w:szCs w:val="30"/>
        </w:rPr>
        <w:t>1.绩效评价原则。</w:t>
      </w:r>
      <w:r>
        <w:rPr>
          <w:rFonts w:hint="eastAsia" w:ascii="仿宋_GB2312" w:eastAsia="仿宋_GB2312"/>
          <w:szCs w:val="30"/>
        </w:rPr>
        <w:t>包括科学规范、公开公正、绩效相关等原则。</w:t>
      </w:r>
    </w:p>
    <w:p w14:paraId="218F186E">
      <w:pPr>
        <w:ind w:firstLine="600"/>
        <w:rPr>
          <w:rFonts w:hint="eastAsia" w:ascii="仿宋_GB2312" w:eastAsia="仿宋_GB2312"/>
          <w:szCs w:val="30"/>
        </w:rPr>
      </w:pPr>
      <w:r>
        <w:rPr>
          <w:rFonts w:hint="eastAsia" w:ascii="仿宋_GB2312" w:eastAsia="仿宋_GB2312"/>
          <w:szCs w:val="30"/>
        </w:rPr>
        <w:t>本项目绩效评价坚持事实求是、公平公正、科学规范等原则。通过对项目实施以及财政专项资金使用情况的调研和评价，客观反映项目的实施状态、财政资金使用效益，总结项目成功经验，科学研判项目实施以及资金使用过程中存在的难题和局限，为进一步提升预算管理水平、提高公共服务质量、优化公共资源配置提供决策参考。</w:t>
      </w:r>
    </w:p>
    <w:p w14:paraId="54DAE9A1">
      <w:pPr>
        <w:ind w:firstLine="600"/>
        <w:rPr>
          <w:rFonts w:hint="eastAsia" w:ascii="仿宋_GB2312" w:eastAsia="仿宋_GB2312"/>
          <w:szCs w:val="30"/>
        </w:rPr>
      </w:pPr>
      <w:r>
        <w:rPr>
          <w:rFonts w:hint="eastAsia" w:ascii="仿宋_GB2312" w:eastAsia="仿宋_GB2312"/>
          <w:b/>
          <w:bCs/>
          <w:szCs w:val="30"/>
        </w:rPr>
        <w:t>2.绩效评价方法。</w:t>
      </w:r>
      <w:r>
        <w:rPr>
          <w:rFonts w:hint="eastAsia" w:ascii="仿宋_GB2312" w:eastAsia="仿宋_GB2312"/>
          <w:szCs w:val="30"/>
        </w:rPr>
        <w:t>包括指标评价、数据采集和社会调查中所采用的方法。</w:t>
      </w:r>
    </w:p>
    <w:p w14:paraId="49E31D29">
      <w:pPr>
        <w:ind w:firstLine="600"/>
        <w:rPr>
          <w:rFonts w:hint="eastAsia" w:ascii="仿宋_GB2312" w:eastAsia="仿宋_GB2312"/>
          <w:szCs w:val="30"/>
        </w:rPr>
      </w:pPr>
      <w:r>
        <w:rPr>
          <w:rFonts w:hint="eastAsia" w:ascii="仿宋_GB2312" w:eastAsia="仿宋_GB2312"/>
          <w:szCs w:val="30"/>
        </w:rPr>
        <w:t>本项目项目绩效评价采用指标评价、数据采集方法评价绩效目标的实现程度和效果总体评价绩效预期完成情况。</w:t>
      </w:r>
    </w:p>
    <w:p w14:paraId="799D7A5E">
      <w:pPr>
        <w:topLinePunct/>
        <w:spacing w:line="440" w:lineRule="exact"/>
        <w:ind w:firstLine="753" w:firstLineChars="250"/>
        <w:rPr>
          <w:rFonts w:ascii="楷体_GB2312" w:hAnsi="楷体" w:eastAsia="楷体_GB2312"/>
          <w:b/>
          <w:szCs w:val="32"/>
        </w:rPr>
      </w:pPr>
      <w:r>
        <w:rPr>
          <w:rFonts w:hint="eastAsia" w:ascii="楷体_GB2312" w:hAnsi="楷体" w:eastAsia="楷体_GB2312"/>
          <w:b/>
          <w:szCs w:val="32"/>
        </w:rPr>
        <w:t>（四）绩效评价实施过程</w:t>
      </w:r>
    </w:p>
    <w:p w14:paraId="3968E951">
      <w:pPr>
        <w:ind w:firstLine="600"/>
        <w:rPr>
          <w:rFonts w:ascii="仿宋_GB2312" w:eastAsia="仿宋_GB2312"/>
          <w:b/>
          <w:bCs/>
          <w:szCs w:val="30"/>
        </w:rPr>
      </w:pPr>
      <w:r>
        <w:rPr>
          <w:rFonts w:hint="eastAsia" w:ascii="仿宋_GB2312" w:eastAsia="仿宋_GB2312"/>
          <w:b/>
          <w:bCs/>
          <w:szCs w:val="30"/>
        </w:rPr>
        <w:t>1.数据填报和采集。</w:t>
      </w:r>
    </w:p>
    <w:p w14:paraId="45D112CF">
      <w:pPr>
        <w:ind w:firstLine="600"/>
        <w:rPr>
          <w:rFonts w:hint="eastAsia" w:ascii="仿宋_GB2312" w:eastAsia="仿宋_GB2312"/>
          <w:szCs w:val="30"/>
        </w:rPr>
      </w:pPr>
      <w:r>
        <w:rPr>
          <w:rFonts w:hint="eastAsia" w:ascii="仿宋_GB2312" w:eastAsia="仿宋_GB2312"/>
          <w:szCs w:val="30"/>
        </w:rPr>
        <w:t>本项目实施部门根据项目组织情况统计各活动经费、收集绩效评价所需资料。</w:t>
      </w:r>
    </w:p>
    <w:p w14:paraId="73B6E006">
      <w:pPr>
        <w:ind w:firstLine="600"/>
        <w:rPr>
          <w:rFonts w:ascii="仿宋_GB2312" w:eastAsia="仿宋_GB2312"/>
          <w:b/>
          <w:bCs/>
          <w:szCs w:val="30"/>
        </w:rPr>
      </w:pPr>
      <w:r>
        <w:rPr>
          <w:rFonts w:hint="eastAsia" w:ascii="仿宋_GB2312" w:eastAsia="仿宋_GB2312"/>
          <w:b/>
          <w:bCs/>
          <w:szCs w:val="30"/>
        </w:rPr>
        <w:t>2.社会调查。</w:t>
      </w:r>
    </w:p>
    <w:p w14:paraId="21BEF142">
      <w:pPr>
        <w:ind w:firstLine="600"/>
        <w:rPr>
          <w:rFonts w:hint="eastAsia" w:ascii="仿宋_GB2312" w:eastAsia="仿宋_GB2312"/>
          <w:szCs w:val="30"/>
        </w:rPr>
      </w:pPr>
      <w:r>
        <w:rPr>
          <w:rFonts w:hint="eastAsia" w:ascii="仿宋_GB2312" w:eastAsia="仿宋_GB2312"/>
          <w:szCs w:val="30"/>
        </w:rPr>
        <w:t>针对本项目对服务对象采用问卷调查或现场抽样调查的方式收集服务对象满意度。</w:t>
      </w:r>
    </w:p>
    <w:p w14:paraId="186AB4F5">
      <w:pPr>
        <w:ind w:firstLine="600"/>
        <w:rPr>
          <w:rFonts w:ascii="仿宋_GB2312" w:eastAsia="仿宋_GB2312"/>
          <w:b/>
          <w:bCs/>
          <w:szCs w:val="30"/>
        </w:rPr>
      </w:pPr>
      <w:r>
        <w:rPr>
          <w:rFonts w:hint="eastAsia" w:ascii="仿宋_GB2312" w:eastAsia="仿宋_GB2312"/>
          <w:b/>
          <w:bCs/>
          <w:szCs w:val="30"/>
        </w:rPr>
        <w:t>3.数据分析和撰写报告。</w:t>
      </w:r>
    </w:p>
    <w:p w14:paraId="4BA0C287">
      <w:pPr>
        <w:ind w:firstLine="600"/>
        <w:rPr>
          <w:rFonts w:hint="eastAsia" w:ascii="仿宋_GB2312" w:eastAsia="仿宋_GB2312"/>
          <w:szCs w:val="30"/>
        </w:rPr>
      </w:pPr>
      <w:r>
        <w:rPr>
          <w:rFonts w:hint="eastAsia" w:ascii="仿宋_GB2312" w:eastAsia="仿宋_GB2312"/>
          <w:szCs w:val="30"/>
        </w:rPr>
        <w:t>根据本项目年初预算与执行进度、资金使用进行对比分析是否对服务对象产生影响，成本是否超过预算、时效是否满足预算，是否做到专款专用等。</w:t>
      </w:r>
    </w:p>
    <w:p w14:paraId="1DE84F4C">
      <w:pPr>
        <w:topLinePunct/>
        <w:spacing w:line="440" w:lineRule="exact"/>
        <w:ind w:firstLine="753" w:firstLineChars="250"/>
        <w:rPr>
          <w:rFonts w:ascii="楷体_GB2312" w:hAnsi="楷体" w:eastAsia="楷体_GB2312"/>
          <w:b/>
          <w:szCs w:val="32"/>
        </w:rPr>
      </w:pPr>
      <w:r>
        <w:rPr>
          <w:rFonts w:hint="eastAsia" w:ascii="楷体_GB2312" w:hAnsi="楷体" w:eastAsia="楷体_GB2312"/>
          <w:b/>
          <w:szCs w:val="32"/>
        </w:rPr>
        <w:t>（五）本次绩效评价的局限性</w:t>
      </w:r>
    </w:p>
    <w:p w14:paraId="0EF62B00">
      <w:pPr>
        <w:ind w:firstLine="600"/>
        <w:rPr>
          <w:rFonts w:ascii="仿宋_GB2312" w:eastAsia="仿宋_GB2312"/>
          <w:szCs w:val="30"/>
        </w:rPr>
      </w:pPr>
      <w:r>
        <w:rPr>
          <w:rFonts w:hint="eastAsia" w:ascii="仿宋_GB2312" w:eastAsia="仿宋_GB2312"/>
          <w:szCs w:val="30"/>
        </w:rPr>
        <w:t>绩效评价主要采取自评方式，具有一定的主观性。</w:t>
      </w:r>
    </w:p>
    <w:p w14:paraId="6AEB5252">
      <w:pPr>
        <w:pStyle w:val="5"/>
        <w:ind w:firstLine="643"/>
      </w:pPr>
      <w:bookmarkStart w:id="13" w:name="_Toc104753331"/>
      <w:r>
        <w:rPr>
          <w:rFonts w:hint="eastAsia"/>
        </w:rPr>
        <w:t>三、评价结论和绩效分析</w:t>
      </w:r>
      <w:bookmarkEnd w:id="13"/>
    </w:p>
    <w:p w14:paraId="1D438A53">
      <w:pPr>
        <w:topLinePunct/>
        <w:spacing w:line="440" w:lineRule="exact"/>
        <w:ind w:firstLine="753" w:firstLineChars="250"/>
        <w:rPr>
          <w:rFonts w:ascii="楷体_GB2312" w:hAnsi="楷体" w:eastAsia="楷体_GB2312"/>
          <w:b/>
          <w:szCs w:val="32"/>
        </w:rPr>
      </w:pPr>
      <w:r>
        <w:rPr>
          <w:rFonts w:hint="eastAsia" w:ascii="楷体_GB2312" w:hAnsi="楷体" w:eastAsia="楷体_GB2312"/>
          <w:b/>
          <w:szCs w:val="32"/>
        </w:rPr>
        <w:t>（一）评价结论</w:t>
      </w:r>
    </w:p>
    <w:p w14:paraId="384221DD">
      <w:pPr>
        <w:ind w:firstLine="600"/>
        <w:rPr>
          <w:rFonts w:hint="eastAsia" w:ascii="仿宋_GB2312" w:eastAsia="仿宋_GB2312"/>
          <w:szCs w:val="30"/>
        </w:rPr>
      </w:pPr>
      <w:r>
        <w:rPr>
          <w:rFonts w:hint="eastAsia" w:ascii="仿宋_GB2312" w:eastAsia="仿宋_GB2312"/>
          <w:szCs w:val="30"/>
        </w:rPr>
        <w:t>根据对投入类指标、过程类指标和产出效益类指标的分析，严格执行财务管理相关制度的规定，财务制度健全，管理规范，做到了专款专用，无贪污、截留、挪用现象。通过项目实施，吹响鼓楼冲锋号，促发展惠民生，强化服务共同为辖区经济发展献力</w:t>
      </w:r>
      <w:r>
        <w:rPr>
          <w:rFonts w:hint="eastAsia" w:ascii="仿宋_GB2312" w:eastAsia="仿宋_GB2312"/>
          <w:szCs w:val="30"/>
          <w:lang w:val="en-US" w:eastAsia="zh-CN"/>
        </w:rPr>
        <w:t>,</w:t>
      </w:r>
      <w:r>
        <w:rPr>
          <w:rFonts w:hint="eastAsia" w:ascii="仿宋_GB2312" w:eastAsia="仿宋_GB2312"/>
          <w:szCs w:val="30"/>
        </w:rPr>
        <w:t>促进党建工作有机融合。项目除预算资金与年初资金安排存在差异外，其余均按照年初设定的绩效目标完成。</w:t>
      </w:r>
    </w:p>
    <w:p w14:paraId="28819361">
      <w:pPr>
        <w:ind w:firstLine="600"/>
        <w:rPr>
          <w:rFonts w:hint="eastAsia" w:ascii="仿宋_GB2312" w:eastAsia="仿宋_GB2312"/>
          <w:szCs w:val="30"/>
        </w:rPr>
      </w:pPr>
      <w:r>
        <w:rPr>
          <w:rFonts w:hint="eastAsia" w:ascii="仿宋_GB2312" w:eastAsia="仿宋_GB2312"/>
          <w:szCs w:val="30"/>
        </w:rPr>
        <w:t>综上，根据《盘龙区区级部门预算绩效自评管理暂行办法》，绩效评价得分为86.54分，自评结果为良。</w:t>
      </w:r>
    </w:p>
    <w:p w14:paraId="612186C1">
      <w:pPr>
        <w:topLinePunct/>
        <w:spacing w:line="440" w:lineRule="exact"/>
        <w:ind w:firstLine="753" w:firstLineChars="250"/>
        <w:rPr>
          <w:rFonts w:hint="eastAsia" w:ascii="楷体_GB2312" w:hAnsi="楷体" w:eastAsia="楷体_GB2312"/>
          <w:b/>
          <w:szCs w:val="32"/>
        </w:rPr>
      </w:pPr>
      <w:r>
        <w:rPr>
          <w:rFonts w:hint="eastAsia" w:ascii="楷体_GB2312" w:hAnsi="楷体" w:eastAsia="楷体_GB2312"/>
          <w:b/>
          <w:szCs w:val="32"/>
        </w:rPr>
        <w:t>（二）具体绩效分析</w:t>
      </w:r>
    </w:p>
    <w:p w14:paraId="54EB98A8">
      <w:pPr>
        <w:ind w:firstLine="600"/>
        <w:rPr>
          <w:rFonts w:hint="eastAsia" w:ascii="仿宋_GB2312" w:eastAsia="仿宋_GB2312"/>
          <w:szCs w:val="30"/>
        </w:rPr>
      </w:pPr>
      <w:r>
        <w:rPr>
          <w:rFonts w:hint="eastAsia" w:ascii="仿宋_GB2312" w:eastAsia="仿宋_GB2312"/>
          <w:szCs w:val="30"/>
        </w:rPr>
        <w:t>1.预算执行进度设置分值为10分，该项目预算执行率为100%，得分10分。</w:t>
      </w:r>
    </w:p>
    <w:p w14:paraId="68F56493">
      <w:pPr>
        <w:ind w:firstLine="600"/>
        <w:rPr>
          <w:rFonts w:hint="eastAsia" w:ascii="仿宋_GB2312" w:eastAsia="仿宋_GB2312"/>
          <w:szCs w:val="30"/>
        </w:rPr>
      </w:pPr>
      <w:r>
        <w:rPr>
          <w:rFonts w:hint="eastAsia" w:ascii="仿宋_GB2312" w:eastAsia="仿宋_GB2312"/>
          <w:szCs w:val="30"/>
        </w:rPr>
        <w:t>2.年初设定绩效指标完成情况设置分值为90分，项目得分为76.44分，具体情况详见附件1：“街道吹哨、部门报到”工作经费项目支出绩效评分表</w:t>
      </w:r>
    </w:p>
    <w:p w14:paraId="172D59D1">
      <w:pPr>
        <w:ind w:firstLine="600"/>
        <w:rPr>
          <w:rFonts w:hint="eastAsia" w:ascii="仿宋_GB2312" w:eastAsia="仿宋_GB2312"/>
          <w:szCs w:val="30"/>
        </w:rPr>
      </w:pPr>
      <w:r>
        <w:rPr>
          <w:rFonts w:hint="eastAsia" w:ascii="仿宋_GB2312" w:eastAsia="仿宋_GB2312"/>
          <w:szCs w:val="30"/>
        </w:rPr>
        <w:t>3.项目综合绩效得分86.54分。</w:t>
      </w:r>
    </w:p>
    <w:p w14:paraId="5DDB335E">
      <w:pPr>
        <w:pStyle w:val="5"/>
        <w:ind w:firstLine="643"/>
      </w:pPr>
      <w:bookmarkStart w:id="14" w:name="_Toc104753332"/>
      <w:r>
        <w:rPr>
          <w:rFonts w:hint="eastAsia"/>
        </w:rPr>
        <w:t>四、成本效益分析</w:t>
      </w:r>
      <w:bookmarkEnd w:id="14"/>
    </w:p>
    <w:p w14:paraId="71F56D32">
      <w:pPr>
        <w:ind w:firstLine="600"/>
        <w:rPr>
          <w:rFonts w:hint="eastAsia" w:ascii="仿宋_GB2312" w:eastAsia="仿宋_GB2312"/>
          <w:szCs w:val="30"/>
        </w:rPr>
      </w:pPr>
      <w:r>
        <w:rPr>
          <w:rFonts w:hint="eastAsia" w:ascii="仿宋_GB2312" w:eastAsia="仿宋_GB2312"/>
          <w:szCs w:val="30"/>
        </w:rPr>
        <w:t>我单位本项目经费主要用于改善市容环境，做到道路日常保洁、渣土管理、环卫设施管理；维护生态环境，大气污染管理、河湖管理、绿化管理；设施环境：广告设施、道路破损、公共设施、照明设施；秩序环境：施工管理、停车秩序、乱堆乱放、流浪乞讨、黑车拉客、噪音扰民、大件废弃物、广告涂鸦；旅游监管、电梯安全，各项目绩效明显，在成本性、效果性、公益性以及公平性等方面有很好的表现，具体表现为：一是成本性方面，在实施项目过程中充分比价，实施政府采购降低实施成本，项目经费的使用没有超出预算，达到标准的使用规范；二是效果性方面，按照项目用途用于支付相关资金，群众满意度达到95%;三是公益性方面，我单位各项目围绕改善生态环境卫生开展，促进人民安居立业，构建和谐社会，优化治安环境，提升社区治安情况，实现生态效益最大化 ，提高平安法治建设水平，促进人与自然和谐发展；四是公平性原则，我单位各项目的开展按照财务管理制度执行，没有造成社会不公，也不存在利用职务之便提供特权的现象。</w:t>
      </w:r>
    </w:p>
    <w:p w14:paraId="6DE9D540">
      <w:pPr>
        <w:pStyle w:val="5"/>
        <w:ind w:firstLine="643"/>
      </w:pPr>
      <w:bookmarkStart w:id="15" w:name="_Toc104753333"/>
      <w:r>
        <w:rPr>
          <w:rFonts w:hint="eastAsia"/>
        </w:rPr>
        <w:t>五、主要经验及做法、存在的问题和建议</w:t>
      </w:r>
      <w:bookmarkEnd w:id="15"/>
    </w:p>
    <w:p w14:paraId="6042A22D">
      <w:pPr>
        <w:pStyle w:val="6"/>
        <w:spacing w:before="0" w:after="0" w:line="360" w:lineRule="auto"/>
        <w:ind w:firstLine="643"/>
        <w:rPr>
          <w:rFonts w:ascii="楷体_GB2312" w:eastAsia="楷体_GB2312"/>
        </w:rPr>
      </w:pPr>
      <w:bookmarkStart w:id="16" w:name="_Toc104753334"/>
      <w:r>
        <w:rPr>
          <w:rFonts w:hint="eastAsia" w:ascii="楷体_GB2312" w:eastAsia="楷体_GB2312"/>
        </w:rPr>
        <w:t>（一）主要经验及做法</w:t>
      </w:r>
      <w:bookmarkEnd w:id="16"/>
    </w:p>
    <w:p w14:paraId="57AC032A">
      <w:pPr>
        <w:ind w:left="602" w:firstLine="0" w:firstLineChars="0"/>
        <w:rPr>
          <w:rFonts w:hint="eastAsia" w:eastAsia="仿宋_GB2312"/>
          <w:lang w:val="en-US" w:eastAsia="zh-CN"/>
        </w:rPr>
      </w:pPr>
      <w:bookmarkStart w:id="17" w:name="_Toc104753335"/>
      <w:r>
        <w:rPr>
          <w:rFonts w:hint="eastAsia" w:ascii="仿宋_GB2312" w:eastAsia="仿宋_GB2312"/>
          <w:b/>
          <w:bCs w:val="0"/>
          <w:szCs w:val="30"/>
        </w:rPr>
        <w:t>1</w:t>
      </w:r>
      <w:r>
        <w:rPr>
          <w:rFonts w:hint="eastAsia" w:ascii="仿宋_GB2312" w:eastAsia="仿宋_GB2312"/>
          <w:b/>
          <w:bCs w:val="0"/>
          <w:szCs w:val="30"/>
          <w:lang w:eastAsia="zh-CN"/>
        </w:rPr>
        <w:t>、强化组织领导</w:t>
      </w:r>
    </w:p>
    <w:p w14:paraId="524E46D1">
      <w:pPr>
        <w:ind w:firstLine="600"/>
        <w:rPr>
          <w:rFonts w:ascii="仿宋_GB2312" w:eastAsia="仿宋_GB2312"/>
          <w:szCs w:val="30"/>
        </w:rPr>
      </w:pPr>
      <w:r>
        <w:rPr>
          <w:rFonts w:ascii="仿宋_GB2312" w:eastAsia="仿宋_GB2312"/>
          <w:szCs w:val="30"/>
        </w:rPr>
        <w:t>成立由部门负责人任组长的绩效评价领导小组，保证了财政支出绩效评价各项工作的顺利开展。</w:t>
      </w:r>
    </w:p>
    <w:p w14:paraId="6B3F6EC1">
      <w:pPr>
        <w:ind w:firstLine="600"/>
        <w:rPr>
          <w:rFonts w:hint="eastAsia" w:ascii="仿宋_GB2312" w:eastAsia="仿宋_GB2312"/>
          <w:b/>
          <w:bCs/>
          <w:szCs w:val="30"/>
        </w:rPr>
      </w:pPr>
      <w:r>
        <w:rPr>
          <w:rFonts w:hint="eastAsia" w:ascii="仿宋_GB2312" w:eastAsia="仿宋_GB2312"/>
          <w:b/>
          <w:bCs/>
          <w:szCs w:val="30"/>
        </w:rPr>
        <w:t>2.加强学习，强化绩效管理的理念</w:t>
      </w:r>
    </w:p>
    <w:p w14:paraId="20B38F46">
      <w:pPr>
        <w:ind w:firstLine="600"/>
        <w:rPr>
          <w:rFonts w:ascii="仿宋_GB2312" w:eastAsia="仿宋_GB2312"/>
          <w:szCs w:val="30"/>
        </w:rPr>
      </w:pPr>
      <w:r>
        <w:rPr>
          <w:rFonts w:hint="eastAsia" w:ascii="仿宋_GB2312" w:eastAsia="仿宋_GB2312"/>
          <w:szCs w:val="30"/>
        </w:rPr>
        <w:t>认真学习财政部《关于推进预算绩效管理的指导意见》（财预〔2014〕416号）、云南省财政厅《云南省省级部门财政支出绩效办法》（云财预〔2016〕98号）、《昆明市盘龙区财政局关于开展2022年度区级预算支出绩效自评工作的通知</w:t>
      </w:r>
      <w:r>
        <w:rPr>
          <w:rFonts w:hint="eastAsia" w:ascii="仿宋_GB2312" w:eastAsia="仿宋_GB2312"/>
          <w:szCs w:val="30"/>
          <w:lang w:eastAsia="zh-CN"/>
        </w:rPr>
        <w:t>》</w:t>
      </w:r>
      <w:r>
        <w:rPr>
          <w:rFonts w:hint="eastAsia" w:ascii="仿宋_GB2312" w:eastAsia="仿宋_GB2312"/>
          <w:szCs w:val="30"/>
        </w:rPr>
        <w:t>（盘财绩[2023]14号）、</w:t>
      </w:r>
      <w:r>
        <w:rPr>
          <w:rFonts w:hint="eastAsia" w:ascii="仿宋_GB2312" w:eastAsia="仿宋_GB2312"/>
          <w:szCs w:val="30"/>
          <w:lang w:eastAsia="zh-CN"/>
        </w:rPr>
        <w:t>盘办通〔2019〕90号+关于印发《昆明市盘龙区（三定方案）人</w:t>
      </w:r>
      <w:bookmarkStart w:id="19" w:name="_GoBack"/>
      <w:r>
        <w:rPr>
          <w:rFonts w:hint="eastAsia" w:ascii="仿宋_GB2312" w:eastAsia="仿宋_GB2312"/>
          <w:szCs w:val="30"/>
          <w:lang w:eastAsia="zh-CN"/>
        </w:rPr>
        <w:t>民政府</w:t>
      </w:r>
      <w:bookmarkEnd w:id="19"/>
      <w:r>
        <w:rPr>
          <w:rFonts w:hint="eastAsia" w:ascii="仿宋_GB2312" w:eastAsia="仿宋_GB2312"/>
          <w:szCs w:val="30"/>
          <w:lang w:eastAsia="zh-CN"/>
        </w:rPr>
        <w:t>鼓楼街道办事处职能配置、内设机构、人员编制规定》的通知、盘政发〔2019〕13号++昆明市盘龙区</w:t>
      </w:r>
      <w:r>
        <w:rPr>
          <w:rFonts w:hint="eastAsia" w:ascii="仿宋_GB2312" w:eastAsia="仿宋_GB2312"/>
          <w:color w:val="auto"/>
          <w:szCs w:val="30"/>
          <w:highlight w:val="none"/>
          <w:lang w:eastAsia="zh-CN"/>
        </w:rPr>
        <w:t>人民政府关于印发昆明市盘龙区人民政府贯彻落实“三重一大”集体决策制度实施细则的通知（红头）、</w:t>
      </w:r>
      <w:r>
        <w:rPr>
          <w:rFonts w:hint="eastAsia" w:ascii="仿宋_GB2312" w:eastAsia="仿宋_GB2312"/>
          <w:szCs w:val="30"/>
          <w:highlight w:val="none"/>
        </w:rPr>
        <w:t>《盘龙区</w:t>
      </w:r>
      <w:r>
        <w:rPr>
          <w:rFonts w:hint="eastAsia" w:ascii="仿宋_GB2312" w:eastAsia="仿宋_GB2312"/>
          <w:szCs w:val="30"/>
        </w:rPr>
        <w:t>区级部门预算绩效自评管理暂行办法》相关绩效管理文件，吃透文件精神，强化绩效管理的理念。</w:t>
      </w:r>
    </w:p>
    <w:p w14:paraId="07C9F700">
      <w:pPr>
        <w:ind w:firstLine="600"/>
        <w:rPr>
          <w:rFonts w:ascii="仿宋_GB2312" w:eastAsia="仿宋_GB2312"/>
          <w:szCs w:val="30"/>
        </w:rPr>
      </w:pPr>
      <w:r>
        <w:rPr>
          <w:rFonts w:hint="eastAsia" w:ascii="仿宋_GB2312" w:eastAsia="仿宋_GB2312"/>
          <w:szCs w:val="30"/>
        </w:rPr>
        <w:t>3.</w:t>
      </w:r>
      <w:r>
        <w:rPr>
          <w:rFonts w:ascii="仿宋_GB2312" w:eastAsia="仿宋_GB2312"/>
          <w:szCs w:val="30"/>
        </w:rPr>
        <w:t>创新方式，落实责任</w:t>
      </w:r>
    </w:p>
    <w:p w14:paraId="16E07C60">
      <w:pPr>
        <w:ind w:firstLine="600"/>
        <w:rPr>
          <w:rFonts w:hint="eastAsia" w:ascii="仿宋_GB2312" w:eastAsia="仿宋_GB2312"/>
          <w:szCs w:val="30"/>
          <w:lang w:val="en-US" w:eastAsia="zh-CN"/>
        </w:rPr>
      </w:pPr>
      <w:r>
        <w:rPr>
          <w:rFonts w:hint="eastAsia" w:ascii="仿宋_GB2312" w:eastAsia="仿宋_GB2312"/>
          <w:szCs w:val="30"/>
        </w:rPr>
        <w:t>创新管理方式，落实岗位责任制，夯实基础工作，突出工作重点，强化制度建设，推动本单位预算绩效管理各项工作齐头并进</w:t>
      </w:r>
      <w:r>
        <w:rPr>
          <w:rFonts w:hint="eastAsia" w:ascii="仿宋_GB2312" w:eastAsia="仿宋_GB2312"/>
          <w:szCs w:val="30"/>
          <w:lang w:eastAsia="zh-CN"/>
        </w:rPr>
        <w:t>。</w:t>
      </w:r>
    </w:p>
    <w:p w14:paraId="213C7ED8">
      <w:pPr>
        <w:numPr>
          <w:ilvl w:val="0"/>
          <w:numId w:val="2"/>
        </w:numPr>
        <w:ind w:firstLine="643" w:firstLineChars="200"/>
        <w:rPr>
          <w:rFonts w:hint="eastAsia" w:ascii="楷体_GB2312" w:eastAsia="楷体_GB2312" w:cs="Times New Roman"/>
          <w:b/>
          <w:bCs/>
          <w:sz w:val="32"/>
          <w:szCs w:val="32"/>
        </w:rPr>
      </w:pPr>
      <w:r>
        <w:rPr>
          <w:rFonts w:hint="eastAsia" w:ascii="楷体_GB2312" w:eastAsia="楷体_GB2312" w:cs="Times New Roman"/>
          <w:b/>
          <w:bCs/>
          <w:sz w:val="32"/>
          <w:szCs w:val="32"/>
        </w:rPr>
        <w:t>存在的问题</w:t>
      </w:r>
      <w:bookmarkEnd w:id="17"/>
    </w:p>
    <w:p w14:paraId="50F00369">
      <w:pPr>
        <w:ind w:firstLine="600"/>
        <w:rPr>
          <w:rFonts w:hint="eastAsia" w:ascii="仿宋_GB2312" w:eastAsia="仿宋_GB2312"/>
          <w:szCs w:val="30"/>
          <w:lang w:eastAsia="zh-CN"/>
        </w:rPr>
      </w:pPr>
      <w:r>
        <w:rPr>
          <w:rFonts w:hint="eastAsia" w:ascii="仿宋_GB2312" w:eastAsia="仿宋_GB2312"/>
          <w:szCs w:val="30"/>
        </w:rPr>
        <w:t>资金支付过程中整体集中在年末支付，执行进度较缓慢，主要原因为项目实施中资料收集不及时，各项工作总结报告落实不到位，不能及时汇总。</w:t>
      </w:r>
      <w:r>
        <w:rPr>
          <w:rFonts w:hint="eastAsia" w:ascii="仿宋_GB2312" w:eastAsia="仿宋_GB2312"/>
          <w:szCs w:val="30"/>
          <w:lang w:eastAsia="zh-CN"/>
        </w:rPr>
        <w:t>受经济下行影响支付进度缓慢。</w:t>
      </w:r>
    </w:p>
    <w:p w14:paraId="4592FF77">
      <w:pPr>
        <w:pStyle w:val="2"/>
        <w:numPr>
          <w:ilvl w:val="0"/>
          <w:numId w:val="0"/>
        </w:numPr>
        <w:rPr>
          <w:rFonts w:hint="eastAsia"/>
        </w:rPr>
      </w:pPr>
    </w:p>
    <w:p w14:paraId="6D73B7ED">
      <w:pPr>
        <w:pStyle w:val="6"/>
        <w:spacing w:before="0" w:after="0" w:line="360" w:lineRule="auto"/>
        <w:ind w:firstLine="643"/>
        <w:rPr>
          <w:rFonts w:ascii="楷体_GB2312" w:eastAsia="楷体_GB2312"/>
          <w:highlight w:val="none"/>
        </w:rPr>
      </w:pPr>
      <w:bookmarkStart w:id="18" w:name="_Toc104753336"/>
      <w:r>
        <w:rPr>
          <w:rFonts w:hint="eastAsia" w:ascii="楷体_GB2312" w:eastAsia="楷体_GB2312"/>
          <w:highlight w:val="none"/>
        </w:rPr>
        <w:t>（三）建议和改进措施</w:t>
      </w:r>
      <w:bookmarkEnd w:id="18"/>
    </w:p>
    <w:p w14:paraId="1AC7047A">
      <w:pPr>
        <w:ind w:firstLine="600"/>
        <w:rPr>
          <w:rFonts w:hint="eastAsia" w:ascii="仿宋_GB2312" w:eastAsia="仿宋_GB2312"/>
          <w:szCs w:val="30"/>
        </w:rPr>
      </w:pPr>
      <w:r>
        <w:rPr>
          <w:rFonts w:hint="eastAsia" w:ascii="仿宋_GB2312" w:eastAsia="仿宋_GB2312"/>
          <w:szCs w:val="30"/>
        </w:rPr>
        <w:t>积极的进行绩效跟踪组织，及时把控各项目执行进度，将绩效完成情况同个人工作优秀与否挂钩，及时制定各工作阶段完成目标，对各阶段完成情况进行统计监督，理清工作思路，强化工作措施，加强培训，提升内部业务技术，结合下年工作目标、计划，科学合理的分配各块工作资金，确保年度绩效目标的整体实现；进一步完善绩效申报表的填报，细化相关指标，对内容进一步分类划分、深化执行分类控制，对绩效指标的定量指标进一步清晰、细化，提高可衡量性。</w:t>
      </w:r>
    </w:p>
    <w:p w14:paraId="3B09EF0D">
      <w:pPr>
        <w:pStyle w:val="4"/>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PMingLiU">
    <w:altName w:val="PMingLiU-ExtB"/>
    <w:panose1 w:val="02020500000000000000"/>
    <w:charset w:val="88"/>
    <w:family w:val="auto"/>
    <w:pitch w:val="default"/>
    <w:sig w:usb0="00000000" w:usb1="00000000" w:usb2="00000016" w:usb3="00000000" w:csb0="00100001" w:csb1="00000000"/>
  </w:font>
  <w:font w:name="方正小标宋_GBK">
    <w:altName w:val="微软雅黑"/>
    <w:panose1 w:val="02000000000000000000"/>
    <w:charset w:val="86"/>
    <w:family w:val="auto"/>
    <w:pitch w:val="default"/>
    <w:sig w:usb0="00000000" w:usb1="00000000" w:usb2="0000001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32BF2">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BA6393">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9BA6393">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5F60C">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340FDB">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5340FDB">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00"/>
      </w:pPr>
      <w:r>
        <w:separator/>
      </w:r>
    </w:p>
  </w:footnote>
  <w:footnote w:type="continuationSeparator" w:id="1">
    <w:p>
      <w:pPr>
        <w:spacing w:line="360" w:lineRule="auto"/>
        <w:ind w:firstLine="6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A7A3B">
    <w:pPr>
      <w:pStyle w:val="1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3114A">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661E56"/>
    <w:multiLevelType w:val="singleLevel"/>
    <w:tmpl w:val="E9661E56"/>
    <w:lvl w:ilvl="0" w:tentative="0">
      <w:start w:val="2"/>
      <w:numFmt w:val="chineseCounting"/>
      <w:suff w:val="nothing"/>
      <w:lvlText w:val="（%1）"/>
      <w:lvlJc w:val="left"/>
      <w:rPr>
        <w:rFonts w:hint="eastAsia"/>
      </w:rPr>
    </w:lvl>
  </w:abstractNum>
  <w:abstractNum w:abstractNumId="1">
    <w:nsid w:val="49D3F00D"/>
    <w:multiLevelType w:val="singleLevel"/>
    <w:tmpl w:val="49D3F00D"/>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kNDAxM2Q1MTk2YTFkMTJlZDkzNzJmMTBmODI0ODIifQ=="/>
  </w:docVars>
  <w:rsids>
    <w:rsidRoot w:val="00172A27"/>
    <w:rsid w:val="000064BB"/>
    <w:rsid w:val="0011131F"/>
    <w:rsid w:val="001C19D9"/>
    <w:rsid w:val="002B4B12"/>
    <w:rsid w:val="00386942"/>
    <w:rsid w:val="003F09A3"/>
    <w:rsid w:val="00623763"/>
    <w:rsid w:val="0077164A"/>
    <w:rsid w:val="0077317B"/>
    <w:rsid w:val="007D1635"/>
    <w:rsid w:val="00834169"/>
    <w:rsid w:val="008B7FEC"/>
    <w:rsid w:val="008D2B71"/>
    <w:rsid w:val="009219A7"/>
    <w:rsid w:val="00A32926"/>
    <w:rsid w:val="00C17833"/>
    <w:rsid w:val="00C421CB"/>
    <w:rsid w:val="00CF57A4"/>
    <w:rsid w:val="00EB7EFE"/>
    <w:rsid w:val="00F33EC1"/>
    <w:rsid w:val="00FF405F"/>
    <w:rsid w:val="01647B4F"/>
    <w:rsid w:val="03D73B3B"/>
    <w:rsid w:val="059250FF"/>
    <w:rsid w:val="0673747B"/>
    <w:rsid w:val="0A137E97"/>
    <w:rsid w:val="0E0378E7"/>
    <w:rsid w:val="104069D3"/>
    <w:rsid w:val="10F05EB4"/>
    <w:rsid w:val="11001706"/>
    <w:rsid w:val="166750EC"/>
    <w:rsid w:val="17B56541"/>
    <w:rsid w:val="18F801C2"/>
    <w:rsid w:val="1AF74C98"/>
    <w:rsid w:val="1CB91921"/>
    <w:rsid w:val="1D903A81"/>
    <w:rsid w:val="1EA75CC6"/>
    <w:rsid w:val="222B395B"/>
    <w:rsid w:val="23227D24"/>
    <w:rsid w:val="2753423F"/>
    <w:rsid w:val="280D237B"/>
    <w:rsid w:val="28C33694"/>
    <w:rsid w:val="28D73457"/>
    <w:rsid w:val="2C73081C"/>
    <w:rsid w:val="2C9559DF"/>
    <w:rsid w:val="2F372DD7"/>
    <w:rsid w:val="309317B4"/>
    <w:rsid w:val="32A62490"/>
    <w:rsid w:val="33D23E50"/>
    <w:rsid w:val="346F2CA4"/>
    <w:rsid w:val="34A56ACD"/>
    <w:rsid w:val="35F920FC"/>
    <w:rsid w:val="3A570BEC"/>
    <w:rsid w:val="418531E4"/>
    <w:rsid w:val="428C517A"/>
    <w:rsid w:val="43814CDA"/>
    <w:rsid w:val="45205989"/>
    <w:rsid w:val="45B6739B"/>
    <w:rsid w:val="45C51D44"/>
    <w:rsid w:val="4764749F"/>
    <w:rsid w:val="47EB5395"/>
    <w:rsid w:val="494F4D4F"/>
    <w:rsid w:val="4A3A377C"/>
    <w:rsid w:val="4E4752EF"/>
    <w:rsid w:val="4E4A664E"/>
    <w:rsid w:val="4FEB479C"/>
    <w:rsid w:val="4FF24847"/>
    <w:rsid w:val="523D2D14"/>
    <w:rsid w:val="52657233"/>
    <w:rsid w:val="533A6935"/>
    <w:rsid w:val="53C00A34"/>
    <w:rsid w:val="544131D0"/>
    <w:rsid w:val="55EC312C"/>
    <w:rsid w:val="577B4C0F"/>
    <w:rsid w:val="579E1C25"/>
    <w:rsid w:val="57FF75EE"/>
    <w:rsid w:val="59A07A92"/>
    <w:rsid w:val="5A0E3F66"/>
    <w:rsid w:val="5D87484C"/>
    <w:rsid w:val="5F450E25"/>
    <w:rsid w:val="5F47482A"/>
    <w:rsid w:val="5FF55D61"/>
    <w:rsid w:val="64382322"/>
    <w:rsid w:val="6597578E"/>
    <w:rsid w:val="6BC36344"/>
    <w:rsid w:val="6D9363BB"/>
    <w:rsid w:val="6DB359A0"/>
    <w:rsid w:val="6E226C8D"/>
    <w:rsid w:val="6EF85F76"/>
    <w:rsid w:val="70E37655"/>
    <w:rsid w:val="71E772B3"/>
    <w:rsid w:val="724926F8"/>
    <w:rsid w:val="726A4EC2"/>
    <w:rsid w:val="72F64AF8"/>
    <w:rsid w:val="762F31CE"/>
    <w:rsid w:val="77C30CDF"/>
    <w:rsid w:val="79341EE6"/>
    <w:rsid w:val="7D0D5BE4"/>
    <w:rsid w:val="7F7740BC"/>
    <w:rsid w:val="7FC26B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040" w:firstLineChars="200"/>
      <w:jc w:val="both"/>
    </w:pPr>
    <w:rPr>
      <w:rFonts w:ascii="Calibri" w:hAnsi="Calibri" w:eastAsia="仿宋" w:cs="Times New Roman"/>
      <w:kern w:val="2"/>
      <w:sz w:val="30"/>
      <w:szCs w:val="22"/>
      <w:lang w:val="en-US" w:eastAsia="zh-CN" w:bidi="ar-SA"/>
    </w:rPr>
  </w:style>
  <w:style w:type="paragraph" w:styleId="4">
    <w:name w:val="heading 1"/>
    <w:basedOn w:val="1"/>
    <w:next w:val="1"/>
    <w:qFormat/>
    <w:uiPriority w:val="9"/>
    <w:pPr>
      <w:keepNext/>
      <w:keepLines/>
      <w:outlineLvl w:val="0"/>
    </w:pPr>
    <w:rPr>
      <w:rFonts w:eastAsia="黑体"/>
      <w:b/>
      <w:bCs/>
      <w:kern w:val="44"/>
      <w:sz w:val="32"/>
      <w:szCs w:val="44"/>
    </w:rPr>
  </w:style>
  <w:style w:type="paragraph" w:styleId="5">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6">
    <w:name w:val="heading 3"/>
    <w:basedOn w:val="1"/>
    <w:next w:val="1"/>
    <w:link w:val="27"/>
    <w:unhideWhenUsed/>
    <w:qFormat/>
    <w:uiPriority w:val="0"/>
    <w:pPr>
      <w:keepNext/>
      <w:keepLines/>
      <w:spacing w:before="260" w:after="260" w:line="413" w:lineRule="auto"/>
      <w:outlineLvl w:val="2"/>
    </w:pPr>
    <w:rPr>
      <w:b/>
      <w:sz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customStyle="1" w:styleId="2">
    <w:name w:val="正文缩进1"/>
    <w:next w:val="3"/>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paragraph" w:styleId="3">
    <w:name w:val="toc 1"/>
    <w:basedOn w:val="1"/>
    <w:next w:val="1"/>
    <w:qFormat/>
    <w:uiPriority w:val="39"/>
  </w:style>
  <w:style w:type="paragraph" w:styleId="7">
    <w:name w:val="Body Text"/>
    <w:basedOn w:val="1"/>
    <w:qFormat/>
    <w:uiPriority w:val="0"/>
    <w:pPr>
      <w:spacing w:beforeLines="0" w:beforeAutospacing="0" w:afterLines="50" w:afterAutospacing="0"/>
    </w:pPr>
  </w:style>
  <w:style w:type="paragraph" w:styleId="8">
    <w:name w:val="Body Text Indent"/>
    <w:basedOn w:val="1"/>
    <w:semiHidden/>
    <w:unhideWhenUsed/>
    <w:qFormat/>
    <w:uiPriority w:val="99"/>
    <w:pPr>
      <w:spacing w:after="120" w:afterLines="0" w:afterAutospacing="0"/>
      <w:ind w:left="420" w:leftChars="200"/>
    </w:pPr>
  </w:style>
  <w:style w:type="paragraph" w:styleId="9">
    <w:name w:val="toc 3"/>
    <w:basedOn w:val="1"/>
    <w:next w:val="1"/>
    <w:qFormat/>
    <w:uiPriority w:val="39"/>
    <w:pPr>
      <w:ind w:left="840" w:leftChars="400"/>
    </w:pPr>
  </w:style>
  <w:style w:type="paragraph" w:styleId="10">
    <w:name w:val="Balloon Text"/>
    <w:basedOn w:val="1"/>
    <w:link w:val="28"/>
    <w:qFormat/>
    <w:uiPriority w:val="0"/>
    <w:pPr>
      <w:spacing w:line="240" w:lineRule="auto"/>
    </w:pPr>
    <w:rPr>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2"/>
    <w:basedOn w:val="1"/>
    <w:next w:val="1"/>
    <w:qFormat/>
    <w:uiPriority w:val="39"/>
    <w:pPr>
      <w:ind w:left="420" w:leftChars="200"/>
    </w:pPr>
  </w:style>
  <w:style w:type="paragraph" w:styleId="14">
    <w:name w:val="Body Text First Indent 2"/>
    <w:basedOn w:val="8"/>
    <w:semiHidden/>
    <w:unhideWhenUsed/>
    <w:qFormat/>
    <w:uiPriority w:val="99"/>
    <w:pPr>
      <w:ind w:firstLine="420" w:firstLineChars="200"/>
    </w:pPr>
  </w:style>
  <w:style w:type="character" w:styleId="17">
    <w:name w:val="Hyperlink"/>
    <w:basedOn w:val="16"/>
    <w:unhideWhenUsed/>
    <w:qFormat/>
    <w:uiPriority w:val="99"/>
    <w:rPr>
      <w:color w:val="0563C1" w:themeColor="hyperlink"/>
      <w:u w:val="single"/>
      <w14:textFill>
        <w14:solidFill>
          <w14:schemeClr w14:val="hlink"/>
        </w14:solidFill>
      </w14:textFill>
    </w:rPr>
  </w:style>
  <w:style w:type="paragraph" w:customStyle="1" w:styleId="18">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customStyle="1" w:styleId="19">
    <w:name w:val="TOC 标题1"/>
    <w:basedOn w:val="4"/>
    <w:next w:val="1"/>
    <w:qFormat/>
    <w:uiPriority w:val="99"/>
    <w:pPr>
      <w:widowControl/>
      <w:spacing w:before="480" w:line="276" w:lineRule="auto"/>
      <w:jc w:val="left"/>
      <w:outlineLvl w:val="9"/>
    </w:pPr>
    <w:rPr>
      <w:rFonts w:ascii="Cambria" w:hAnsi="Cambria" w:eastAsia="宋体" w:cs="Cambria"/>
      <w:color w:val="365F91"/>
      <w:kern w:val="0"/>
      <w:sz w:val="28"/>
      <w:szCs w:val="28"/>
    </w:rPr>
  </w:style>
  <w:style w:type="character" w:customStyle="1" w:styleId="20">
    <w:name w:val="font41"/>
    <w:basedOn w:val="16"/>
    <w:qFormat/>
    <w:uiPriority w:val="0"/>
    <w:rPr>
      <w:rFonts w:hint="eastAsia" w:ascii="仿宋" w:hAnsi="仿宋" w:eastAsia="仿宋" w:cs="仿宋"/>
      <w:color w:val="000000"/>
      <w:sz w:val="18"/>
      <w:szCs w:val="18"/>
      <w:u w:val="none"/>
    </w:rPr>
  </w:style>
  <w:style w:type="character" w:customStyle="1" w:styleId="21">
    <w:name w:val="font31"/>
    <w:basedOn w:val="16"/>
    <w:qFormat/>
    <w:uiPriority w:val="0"/>
    <w:rPr>
      <w:rFonts w:hint="eastAsia" w:ascii="仿宋" w:hAnsi="仿宋" w:eastAsia="仿宋" w:cs="仿宋"/>
      <w:b/>
      <w:bCs/>
      <w:color w:val="000000"/>
      <w:sz w:val="18"/>
      <w:szCs w:val="18"/>
      <w:u w:val="none"/>
    </w:rPr>
  </w:style>
  <w:style w:type="character" w:customStyle="1" w:styleId="22">
    <w:name w:val="font21"/>
    <w:basedOn w:val="16"/>
    <w:qFormat/>
    <w:uiPriority w:val="0"/>
    <w:rPr>
      <w:rFonts w:hint="eastAsia" w:ascii="宋体" w:hAnsi="宋体" w:eastAsia="宋体" w:cs="宋体"/>
      <w:b/>
      <w:bCs/>
      <w:color w:val="000000"/>
      <w:sz w:val="18"/>
      <w:szCs w:val="18"/>
      <w:u w:val="none"/>
    </w:rPr>
  </w:style>
  <w:style w:type="character" w:customStyle="1" w:styleId="23">
    <w:name w:val="font01"/>
    <w:basedOn w:val="16"/>
    <w:qFormat/>
    <w:uiPriority w:val="0"/>
    <w:rPr>
      <w:rFonts w:hint="eastAsia" w:ascii="宋体" w:hAnsi="宋体" w:eastAsia="宋体" w:cs="宋体"/>
      <w:color w:val="000000"/>
      <w:sz w:val="18"/>
      <w:szCs w:val="18"/>
      <w:u w:val="none"/>
    </w:rPr>
  </w:style>
  <w:style w:type="paragraph" w:customStyle="1" w:styleId="24">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25">
    <w:name w:val="WPSOffice手动目录 1"/>
    <w:qFormat/>
    <w:uiPriority w:val="0"/>
    <w:rPr>
      <w:rFonts w:asciiTheme="minorHAnsi" w:hAnsiTheme="minorHAnsi" w:eastAsiaTheme="minorEastAsia" w:cstheme="minorBidi"/>
      <w:lang w:val="en-US" w:eastAsia="zh-CN" w:bidi="ar-SA"/>
    </w:rPr>
  </w:style>
  <w:style w:type="paragraph" w:customStyle="1" w:styleId="26">
    <w:name w:val="WPSOffice手动目录 3"/>
    <w:qFormat/>
    <w:uiPriority w:val="0"/>
    <w:pPr>
      <w:ind w:left="400" w:leftChars="400"/>
    </w:pPr>
    <w:rPr>
      <w:rFonts w:asciiTheme="minorHAnsi" w:hAnsiTheme="minorHAnsi" w:eastAsiaTheme="minorEastAsia" w:cstheme="minorBidi"/>
      <w:lang w:val="en-US" w:eastAsia="zh-CN" w:bidi="ar-SA"/>
    </w:rPr>
  </w:style>
  <w:style w:type="character" w:customStyle="1" w:styleId="27">
    <w:name w:val="标题 3 Char"/>
    <w:link w:val="6"/>
    <w:qFormat/>
    <w:uiPriority w:val="0"/>
    <w:rPr>
      <w:b/>
      <w:sz w:val="32"/>
    </w:rPr>
  </w:style>
  <w:style w:type="character" w:customStyle="1" w:styleId="28">
    <w:name w:val="批注框文本 Char"/>
    <w:basedOn w:val="16"/>
    <w:link w:val="10"/>
    <w:qFormat/>
    <w:uiPriority w:val="0"/>
    <w:rPr>
      <w:rFonts w:ascii="Calibri" w:hAnsi="Calibri" w:eastAsia="仿宋" w:cs="Times New Roman"/>
      <w:kern w:val="2"/>
      <w:sz w:val="18"/>
      <w:szCs w:val="18"/>
    </w:rPr>
  </w:style>
  <w:style w:type="paragraph" w:customStyle="1" w:styleId="29">
    <w:name w:val="实施方案正文"/>
    <w:basedOn w:val="1"/>
    <w:qFormat/>
    <w:uiPriority w:val="0"/>
    <w:pPr>
      <w:ind w:firstLine="566" w:firstLineChars="202"/>
    </w:pPr>
    <w:rPr>
      <w:rFonts w:ascii="等线" w:hAnsi="等线" w:eastAsia="等线"/>
      <w:szCs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95E858-3708-47D2-AB7A-BC2FAE6C2C49}">
  <ds:schemaRefs/>
</ds:datastoreItem>
</file>

<file path=docProps/app.xml><?xml version="1.0" encoding="utf-8"?>
<Properties xmlns="http://schemas.openxmlformats.org/officeDocument/2006/extended-properties" xmlns:vt="http://schemas.openxmlformats.org/officeDocument/2006/docPropsVTypes">
  <Template>Normal</Template>
  <Pages>18</Pages>
  <Words>310</Words>
  <Characters>320</Characters>
  <Lines>56</Lines>
  <Paragraphs>15</Paragraphs>
  <TotalTime>1</TotalTime>
  <ScaleCrop>false</ScaleCrop>
  <LinksUpToDate>false</LinksUpToDate>
  <CharactersWithSpaces>328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Administrator.PC-201610101051</dc:creator>
  <cp:lastModifiedBy>方</cp:lastModifiedBy>
  <cp:lastPrinted>2023-04-24T03:19:00Z</cp:lastPrinted>
  <dcterms:modified xsi:type="dcterms:W3CDTF">2026-05-11T08:58:21Z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ECA48C1F9248454D99E54F2659123F1D_13</vt:lpwstr>
  </property>
  <property fmtid="{D5CDD505-2E9C-101B-9397-08002B2CF9AE}" pid="4" name="KSOTemplateDocerSaveRecord">
    <vt:lpwstr>eyJoZGlkIjoiYWM4OTdjYmM5OTc1ZTExMjliOThhNWZiOGFiODE3Y2QiLCJ1c2VySWQiOiIxMTIxMzIwNzkyIn0=</vt:lpwstr>
  </property>
</Properties>
</file>